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09AD" w14:textId="77777777" w:rsidR="001A6FC7" w:rsidRDefault="00CA6D1A">
      <w:pPr>
        <w:ind w:left="434" w:right="14"/>
      </w:pPr>
      <w:r>
        <w:t>7.7 Neuskuteční-li se předmětné vystoupení zaviněním agentury, je tato povinna uhradit pořadateli náklady prokazatelně a účelně vynaložené v souvislosti s pořádáním předmětného vystoupení a vrátit pořadateli již uhrazenou odměnu, a to na základě písemné výzvy pořadatele.</w:t>
      </w:r>
    </w:p>
    <w:p w14:paraId="3AF80BE9" w14:textId="77777777" w:rsidR="001A6FC7" w:rsidRDefault="00CA6D1A">
      <w:pPr>
        <w:spacing w:after="337"/>
        <w:ind w:left="21" w:right="14" w:firstLine="0"/>
      </w:pPr>
      <w:r>
        <w:t>7.8 Smlouvu je možné ukončit také písemnou dohodou stran, podepsanou oběma smluvními stranami.</w:t>
      </w:r>
    </w:p>
    <w:p w14:paraId="58EDD038" w14:textId="77777777" w:rsidR="001A6FC7" w:rsidRDefault="00CA6D1A">
      <w:pPr>
        <w:pStyle w:val="Nadpis1"/>
        <w:spacing w:after="0" w:line="259" w:lineRule="auto"/>
        <w:ind w:left="36" w:firstLine="0"/>
      </w:pPr>
      <w:proofErr w:type="spellStart"/>
      <w:r>
        <w:t>vm</w:t>
      </w:r>
      <w:proofErr w:type="spellEnd"/>
      <w:r>
        <w:t>. ZÁVĚREČNÁ USTANOVENÍ</w:t>
      </w:r>
    </w:p>
    <w:p w14:paraId="3659E7BC" w14:textId="77777777" w:rsidR="001A6FC7" w:rsidRDefault="00CA6D1A">
      <w:pPr>
        <w:spacing w:after="274"/>
        <w:ind w:left="434" w:right="14"/>
      </w:pPr>
      <w:r>
        <w:t xml:space="preserve">8.I Agentura zpracovává veškeré osobní údaje fyzických osob, které jí byly poskytnuty v této smlouvě, nebo které v souvislosti s touto smlouvou získala, v souladu s právními předpisy včetně nařízení Evropského parlamentu a Rady 2016/679 0 ochraně fyzických osob v souvislosti se zpracováním osobních údajů a o volném pohybu těchto údajů (dále jen </w:t>
      </w:r>
      <w:r>
        <w:rPr>
          <w:noProof/>
        </w:rPr>
        <w:drawing>
          <wp:inline distT="0" distB="0" distL="0" distR="0" wp14:anchorId="4B9C8F7E" wp14:editId="5039B01C">
            <wp:extent cx="22868" cy="27443"/>
            <wp:effectExtent l="0" t="0" r="0" b="0"/>
            <wp:docPr id="2675" name="Picture 2675"/>
            <wp:cNvGraphicFramePr/>
            <a:graphic xmlns:a="http://schemas.openxmlformats.org/drawingml/2006/main">
              <a:graphicData uri="http://schemas.openxmlformats.org/drawingml/2006/picture">
                <pic:pic xmlns:pic="http://schemas.openxmlformats.org/drawingml/2006/picture">
                  <pic:nvPicPr>
                    <pic:cNvPr id="2675" name="Picture 2675"/>
                    <pic:cNvPicPr/>
                  </pic:nvPicPr>
                  <pic:blipFill>
                    <a:blip r:embed="rId4"/>
                    <a:stretch>
                      <a:fillRect/>
                    </a:stretch>
                  </pic:blipFill>
                  <pic:spPr>
                    <a:xfrm>
                      <a:off x="0" y="0"/>
                      <a:ext cx="22868" cy="27443"/>
                    </a:xfrm>
                    <a:prstGeom prst="rect">
                      <a:avLst/>
                    </a:prstGeom>
                  </pic:spPr>
                </pic:pic>
              </a:graphicData>
            </a:graphic>
          </wp:inline>
        </w:drawing>
      </w:r>
      <w:r>
        <w:t>,GDPR") a dále v souladu a způsobem dle „Zásad zpracování a ochrany osobních údajů” (dále jen ”Zásady”). Pořadatel potvrzuje, že Zásady mu byly Agenturou předloženy k prostudování před podpisem této smlouvy a s jejich obsahem se seznámil.</w:t>
      </w:r>
    </w:p>
    <w:p w14:paraId="321BE6A6" w14:textId="77777777" w:rsidR="001A6FC7" w:rsidRDefault="00CA6D1A">
      <w:pPr>
        <w:ind w:left="434" w:right="14"/>
      </w:pPr>
      <w:r>
        <w:t>8.2 Smlouva nabývá platnosti dnem podpisu oběma smluvními stranami a může být měněna a doplňována pouze formou písemných dodatků podepsaných oběma smluvními stranami.</w:t>
      </w:r>
    </w:p>
    <w:p w14:paraId="736C2F7D" w14:textId="77777777" w:rsidR="001A6FC7" w:rsidRDefault="00CA6D1A">
      <w:pPr>
        <w:ind w:left="434" w:right="14"/>
      </w:pPr>
      <w:r>
        <w:t xml:space="preserve">8.3 Smluvní strany berou na vědomí, že v případě, Že pořadatel je povinným subjektem dle zákona č. 340/2015 Sb., o zvláštních podmínkách účinnosti některých smluv, uveřejňování těchto smluv a o registru smluv (zákon o registru smluv), v platném znění, bude smlouva neprodleně po podpisu druhou smluvní stranou uveřejněna pořadatelem v </w:t>
      </w:r>
      <w:proofErr w:type="spellStart"/>
      <w:r>
        <w:t>registlti</w:t>
      </w:r>
      <w:proofErr w:type="spellEnd"/>
      <w:r>
        <w:t xml:space="preserve"> smluv dle tohoto zákona. </w:t>
      </w:r>
      <w:proofErr w:type="spellStart"/>
      <w:r>
        <w:t>Učinnosti</w:t>
      </w:r>
      <w:proofErr w:type="spellEnd"/>
      <w:r>
        <w:t xml:space="preserve"> pak nabývá tato smlouva až okamžikem jejího uveřejnění v registru smluv. Smluvní strany se dohodly, že k zajištění uveřejnění smlouvy v registru smluv se zavazuje pořadatel, a to nejpozději ve lhůtě požadované zákonem o registru smluv, jinak pořadatel odpovídá za veškerou škodu, která neuveřejněním smlouvy v registru smluv, v zákonem stanovených lhůtách, agentuře vznikne.</w:t>
      </w:r>
    </w:p>
    <w:p w14:paraId="1866CFAA" w14:textId="77777777" w:rsidR="001A6FC7" w:rsidRDefault="00CA6D1A">
      <w:pPr>
        <w:ind w:left="434" w:right="14"/>
      </w:pPr>
      <w:r>
        <w:t>8.4 Smluvní strany se zavazují, že o všech informacích a skutečnostech, týkajících se této smlouvy, o kterých se dozví v průběhu vzájemné spolupráce, budou zachovávat mlčenlivost po celou dobu trváni smlouvy, i po jejím skončení.</w:t>
      </w:r>
    </w:p>
    <w:p w14:paraId="3B396CF9" w14:textId="77777777" w:rsidR="001A6FC7" w:rsidRDefault="00CA6D1A">
      <w:pPr>
        <w:ind w:left="434" w:right="14"/>
      </w:pPr>
      <w:r>
        <w:t xml:space="preserve">8.5 Pokud je, nebo se stane některé z ustanovení této smlouvy neplatným či neúčinným, neplatnost nebo neúčinnost takového ustanovení nebude mít za následek neplatnost této smlouvy jako celku, ani jiných ustanovení této smlouvy, pokud je toto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w:t>
      </w:r>
      <w:proofErr w:type="spellStart"/>
      <w:r>
        <w:t>ustanovenĹ</w:t>
      </w:r>
      <w:proofErr w:type="spellEnd"/>
    </w:p>
    <w:p w14:paraId="2516597C" w14:textId="77777777" w:rsidR="001A6FC7" w:rsidRDefault="00CA6D1A">
      <w:pPr>
        <w:spacing w:after="455"/>
        <w:ind w:left="434" w:right="14"/>
      </w:pPr>
      <w:r>
        <w:t>8.6 Tato smlouva se řídí platnými předpisy České republiky. Tato smlouva, jakož i veškeré právní vztahy výslovně neupravené touto smlouvou, se řídí ustanoveními zákona č. 89/2012 Sb., občanský zákoník v platném znění.</w:t>
      </w:r>
    </w:p>
    <w:p w14:paraId="6573B965" w14:textId="77777777" w:rsidR="001A6FC7" w:rsidRDefault="00CA6D1A">
      <w:pPr>
        <w:ind w:left="434" w:right="14"/>
      </w:pPr>
      <w:r>
        <w:t>8.7 Smluvní strany, jakožto podnikatelé, si sjednávají pro řešeni sporů z této smlouvy vyplývající, jako místně příslušný obecný (okresní) soud agentury (soud, v jehož obvodě má agentura sídlo).</w:t>
      </w:r>
    </w:p>
    <w:p w14:paraId="239C3F3F" w14:textId="77777777" w:rsidR="001A6FC7" w:rsidRDefault="00CA6D1A">
      <w:pPr>
        <w:ind w:left="434" w:right="14"/>
      </w:pPr>
      <w:r>
        <w:t>8.8 Tato smlouva byla sepsána ve dvou vyhotoveních, po jednom pro každou ze smluvních stran. Agentura u podpisu uvede razítko agentury a podpis statutárního orgánu nebo zmocněnce agentury.</w:t>
      </w:r>
    </w:p>
    <w:p w14:paraId="3C330869" w14:textId="77777777" w:rsidR="001A6FC7" w:rsidRDefault="00CA6D1A">
      <w:pPr>
        <w:ind w:left="21" w:right="14" w:firstLine="0"/>
      </w:pPr>
      <w:r>
        <w:t>8.9 Strany této smlouvy prohlašují, že obsah této smlouvy vyjadřuje jejich vážnou a svobodnou vůli, což potvrzují</w:t>
      </w:r>
    </w:p>
    <w:p w14:paraId="0CD68AA6" w14:textId="77777777" w:rsidR="001A6FC7" w:rsidRDefault="001A6FC7">
      <w:pPr>
        <w:sectPr w:rsidR="001A6FC7">
          <w:pgSz w:w="11920" w:h="16840"/>
          <w:pgMar w:top="1184" w:right="1592" w:bottom="1952" w:left="1059" w:header="708" w:footer="708" w:gutter="0"/>
          <w:cols w:space="708"/>
        </w:sectPr>
      </w:pPr>
    </w:p>
    <w:p w14:paraId="1D91C85D" w14:textId="77777777" w:rsidR="001A6FC7" w:rsidRDefault="00CA6D1A">
      <w:pPr>
        <w:spacing w:after="1111"/>
        <w:ind w:left="468" w:right="14" w:firstLine="0"/>
      </w:pPr>
      <w:r>
        <w:t>vlastnoručními podpisy.</w:t>
      </w:r>
    </w:p>
    <w:p w14:paraId="7CC06B40" w14:textId="6A0252C1" w:rsidR="001A6FC7" w:rsidRDefault="002E045F">
      <w:pPr>
        <w:tabs>
          <w:tab w:val="center" w:pos="7519"/>
          <w:tab w:val="right" w:pos="9061"/>
        </w:tabs>
        <w:spacing w:after="0"/>
        <w:ind w:left="0" w:firstLine="0"/>
        <w:jc w:val="left"/>
        <w:rPr>
          <w:sz w:val="20"/>
        </w:rPr>
      </w:pPr>
      <w:r>
        <w:rPr>
          <w:noProof/>
        </w:rPr>
        <w:t>V</w:t>
      </w:r>
      <w:r w:rsidR="00CF20CC">
        <w:rPr>
          <w:noProof/>
        </w:rPr>
        <w:t xml:space="preserve">                         </w:t>
      </w:r>
      <w:r>
        <w:rPr>
          <w:noProof/>
        </w:rPr>
        <w:t xml:space="preserve"> dne                         </w:t>
      </w:r>
      <w:r w:rsidR="00CA6D1A">
        <w:rPr>
          <w:sz w:val="20"/>
        </w:rPr>
        <w:t>2021</w:t>
      </w:r>
      <w:r w:rsidR="00CA6D1A">
        <w:rPr>
          <w:sz w:val="20"/>
        </w:rPr>
        <w:tab/>
        <w:t>dne</w:t>
      </w:r>
      <w:r w:rsidR="00CA6D1A">
        <w:rPr>
          <w:sz w:val="20"/>
        </w:rPr>
        <w:tab/>
        <w:t>2021</w:t>
      </w:r>
    </w:p>
    <w:p w14:paraId="3C90B1C3" w14:textId="77777777" w:rsidR="002E045F" w:rsidRDefault="002E045F">
      <w:pPr>
        <w:tabs>
          <w:tab w:val="center" w:pos="7519"/>
          <w:tab w:val="right" w:pos="9061"/>
        </w:tabs>
        <w:spacing w:after="0"/>
        <w:ind w:left="0" w:firstLine="0"/>
        <w:jc w:val="left"/>
        <w:rPr>
          <w:noProof/>
        </w:rPr>
      </w:pPr>
    </w:p>
    <w:tbl>
      <w:tblPr>
        <w:tblStyle w:val="TableGrid"/>
        <w:tblW w:w="7995" w:type="dxa"/>
        <w:tblInd w:w="122" w:type="dxa"/>
        <w:tblCellMar>
          <w:top w:w="11" w:type="dxa"/>
        </w:tblCellMar>
        <w:tblLook w:val="04A0" w:firstRow="1" w:lastRow="0" w:firstColumn="1" w:lastColumn="0" w:noHBand="0" w:noVBand="1"/>
      </w:tblPr>
      <w:tblGrid>
        <w:gridCol w:w="3659"/>
        <w:gridCol w:w="4336"/>
      </w:tblGrid>
      <w:tr w:rsidR="001A6FC7" w14:paraId="2D40B270" w14:textId="77777777">
        <w:trPr>
          <w:trHeight w:val="281"/>
        </w:trPr>
        <w:tc>
          <w:tcPr>
            <w:tcW w:w="3659" w:type="dxa"/>
            <w:tcBorders>
              <w:top w:val="nil"/>
              <w:left w:val="nil"/>
              <w:bottom w:val="nil"/>
              <w:right w:val="nil"/>
            </w:tcBorders>
          </w:tcPr>
          <w:p w14:paraId="7CDF83C9" w14:textId="77777777" w:rsidR="001A6FC7" w:rsidRDefault="00CA6D1A">
            <w:pPr>
              <w:spacing w:after="0"/>
              <w:ind w:left="0" w:firstLine="0"/>
              <w:jc w:val="left"/>
            </w:pPr>
            <w:r>
              <w:rPr>
                <w:sz w:val="20"/>
              </w:rPr>
              <w:t>Razítko, podpis zprostředkovatele</w:t>
            </w:r>
          </w:p>
        </w:tc>
        <w:tc>
          <w:tcPr>
            <w:tcW w:w="4336" w:type="dxa"/>
            <w:tcBorders>
              <w:top w:val="nil"/>
              <w:left w:val="nil"/>
              <w:bottom w:val="nil"/>
              <w:right w:val="nil"/>
            </w:tcBorders>
          </w:tcPr>
          <w:p w14:paraId="25CFBADF" w14:textId="77777777" w:rsidR="001A6FC7" w:rsidRDefault="00CA6D1A">
            <w:pPr>
              <w:spacing w:after="0"/>
              <w:ind w:left="0" w:firstLine="0"/>
              <w:jc w:val="right"/>
            </w:pPr>
            <w:proofErr w:type="spellStart"/>
            <w:r>
              <w:rPr>
                <w:sz w:val="20"/>
              </w:rPr>
              <w:t>Razitko</w:t>
            </w:r>
            <w:proofErr w:type="spellEnd"/>
            <w:r>
              <w:rPr>
                <w:sz w:val="20"/>
              </w:rPr>
              <w:t>, podpis pořadatele</w:t>
            </w:r>
          </w:p>
        </w:tc>
      </w:tr>
    </w:tbl>
    <w:p w14:paraId="260A39B9" w14:textId="0B4A6D67" w:rsidR="001A6FC7" w:rsidRDefault="00CA6D1A">
      <w:pPr>
        <w:spacing w:after="0"/>
        <w:ind w:left="908" w:right="14" w:firstLine="0"/>
      </w:pPr>
      <w:r>
        <w:t>SJFTA</w:t>
      </w:r>
    </w:p>
    <w:p w14:paraId="7155292C" w14:textId="77777777" w:rsidR="001A6FC7" w:rsidRDefault="00CA6D1A">
      <w:pPr>
        <w:pStyle w:val="Nadpis2"/>
      </w:pPr>
      <w:r>
        <w:lastRenderedPageBreak/>
        <w:t>ATREUT</w:t>
      </w:r>
    </w:p>
    <w:p w14:paraId="6B197B50" w14:textId="276A030B" w:rsidR="001A6FC7" w:rsidRDefault="00CA6D1A" w:rsidP="002E045F">
      <w:pPr>
        <w:spacing w:after="0" w:line="216" w:lineRule="auto"/>
        <w:ind w:left="209" w:right="6230" w:firstLine="0"/>
        <w:jc w:val="left"/>
      </w:pPr>
      <w:r>
        <w:rPr>
          <w:sz w:val="20"/>
        </w:rPr>
        <w:t xml:space="preserve">Středočeská </w:t>
      </w:r>
      <w:proofErr w:type="spellStart"/>
      <w:r>
        <w:rPr>
          <w:sz w:val="20"/>
        </w:rPr>
        <w:t>umełecká</w:t>
      </w:r>
      <w:proofErr w:type="spellEnd"/>
      <w:r>
        <w:rPr>
          <w:sz w:val="20"/>
        </w:rPr>
        <w:t xml:space="preserve"> agentura </w:t>
      </w:r>
      <w:r w:rsidR="002E045F">
        <w:rPr>
          <w:sz w:val="20"/>
        </w:rPr>
        <w:t xml:space="preserve">  </w:t>
      </w:r>
      <w:r>
        <w:rPr>
          <w:sz w:val="20"/>
        </w:rPr>
        <w:t xml:space="preserve">Alešova </w:t>
      </w:r>
      <w:proofErr w:type="gramStart"/>
      <w:r>
        <w:rPr>
          <w:sz w:val="20"/>
        </w:rPr>
        <w:t>111%</w:t>
      </w:r>
      <w:proofErr w:type="gramEnd"/>
      <w:r>
        <w:rPr>
          <w:sz w:val="20"/>
        </w:rPr>
        <w:t xml:space="preserve"> ICO:</w:t>
      </w:r>
    </w:p>
    <w:sectPr w:rsidR="001A6FC7">
      <w:type w:val="continuous"/>
      <w:pgSz w:w="11920" w:h="16840"/>
      <w:pgMar w:top="1184" w:right="1851" w:bottom="1952" w:left="10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C7"/>
    <w:rsid w:val="001A6FC7"/>
    <w:rsid w:val="002E045F"/>
    <w:rsid w:val="00CA6D1A"/>
    <w:rsid w:val="00CF20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7F4C"/>
  <w15:docId w15:val="{00857328-CAA8-42FE-A7ED-56C99C91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44"/>
      <w:ind w:left="463" w:hanging="413"/>
      <w:jc w:val="both"/>
    </w:pPr>
    <w:rPr>
      <w:rFonts w:ascii="Calibri" w:eastAsia="Calibri" w:hAnsi="Calibri" w:cs="Calibri"/>
      <w:color w:val="000000"/>
      <w:sz w:val="18"/>
    </w:rPr>
  </w:style>
  <w:style w:type="paragraph" w:styleId="Nadpis1">
    <w:name w:val="heading 1"/>
    <w:next w:val="Normln"/>
    <w:link w:val="Nadpis1Char"/>
    <w:uiPriority w:val="9"/>
    <w:qFormat/>
    <w:pPr>
      <w:keepNext/>
      <w:keepLines/>
      <w:spacing w:after="272" w:line="225" w:lineRule="auto"/>
      <w:ind w:left="468" w:hanging="418"/>
      <w:jc w:val="center"/>
      <w:outlineLvl w:val="0"/>
    </w:pPr>
    <w:rPr>
      <w:rFonts w:ascii="Calibri" w:eastAsia="Calibri" w:hAnsi="Calibri" w:cs="Calibri"/>
      <w:color w:val="000000"/>
      <w:sz w:val="18"/>
    </w:rPr>
  </w:style>
  <w:style w:type="paragraph" w:styleId="Nadpis2">
    <w:name w:val="heading 2"/>
    <w:next w:val="Normln"/>
    <w:link w:val="Nadpis2Char"/>
    <w:uiPriority w:val="9"/>
    <w:unhideWhenUsed/>
    <w:qFormat/>
    <w:pPr>
      <w:keepNext/>
      <w:keepLines/>
      <w:spacing w:after="0"/>
      <w:ind w:left="1102"/>
      <w:outlineLvl w:val="1"/>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18"/>
    </w:rPr>
  </w:style>
  <w:style w:type="character" w:customStyle="1" w:styleId="Nadpis2Char">
    <w:name w:val="Nadpis 2 Char"/>
    <w:link w:val="Nadpis2"/>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3056</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Eliášová</dc:creator>
  <cp:keywords/>
  <cp:lastModifiedBy>Rumpelová Libuše</cp:lastModifiedBy>
  <cp:revision>4</cp:revision>
  <dcterms:created xsi:type="dcterms:W3CDTF">2021-07-02T09:44:00Z</dcterms:created>
  <dcterms:modified xsi:type="dcterms:W3CDTF">2021-07-07T09:34:00Z</dcterms:modified>
</cp:coreProperties>
</file>