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FE03" w14:textId="77777777" w:rsidR="00824ECC" w:rsidRDefault="00BB6EDE">
      <w:pPr>
        <w:spacing w:after="172"/>
        <w:ind w:left="449" w:right="21"/>
      </w:pPr>
      <w:r>
        <w:t xml:space="preserve">6.4 Poskytnutí rozhovorů s výkonnými umělci a podmínky pro fotografování během vystoupení musí novináři sjednat předem telefonicky s agenturou. Fotografování lze uskutečnit pouze v průběhu 1—3 písničky koncertu, a to pouze na základě dohodnuté akreditace. </w:t>
      </w:r>
      <w:r>
        <w:t>Neakreditovaní fotografové si mohou dohodnout výjimku s přítomným odpovědným pracovníkem agentury.</w:t>
      </w:r>
    </w:p>
    <w:p w14:paraId="5B6CB47F" w14:textId="77777777" w:rsidR="00824ECC" w:rsidRDefault="00BB6EDE">
      <w:pPr>
        <w:spacing w:after="164" w:line="226" w:lineRule="auto"/>
        <w:ind w:left="461" w:hanging="418"/>
        <w:jc w:val="left"/>
      </w:pPr>
      <w:r>
        <w:t>6.5 Pořadatel je povinen na žádost agentury zajistit v předsálí či jiném vhodném místě podmínky pro prodej zvukových nosičů a propagačních předmětů, zajišťov</w:t>
      </w:r>
      <w:r>
        <w:t>aný agenturou (poskytne potřebný prostor, stoly atp.). Zisk z tohoto prodeje náleží v plné své výši agentuře. Tato povinnost se nevztahuje na vystoupení jednotlivce v rámci jiné akce.</w:t>
      </w:r>
    </w:p>
    <w:p w14:paraId="74554C31" w14:textId="77777777" w:rsidR="00824ECC" w:rsidRDefault="00BB6EDE">
      <w:pPr>
        <w:spacing w:after="169"/>
        <w:ind w:left="449" w:right="21"/>
      </w:pPr>
      <w:r>
        <w:t>6.6 Pořadatel odpovídá za dodržení technických norem, hygienických, bezp</w:t>
      </w:r>
      <w:r>
        <w:t xml:space="preserve">ečnostních a požárních předpisů v místě konání akce. Pořadatel odpovídá za škody na zdraví i majetku, vzniklé výkonným umělcům či jiným osobám v souvislosti </w:t>
      </w:r>
      <w:r>
        <w:rPr>
          <w:noProof/>
        </w:rPr>
        <w:drawing>
          <wp:inline distT="0" distB="0" distL="0" distR="0" wp14:anchorId="157C0DB0" wp14:editId="5325C84B">
            <wp:extent cx="4573" cy="4574"/>
            <wp:effectExtent l="0" t="0" r="0" b="0"/>
            <wp:docPr id="5014" name="Picture 5014"/>
            <wp:cNvGraphicFramePr/>
            <a:graphic xmlns:a="http://schemas.openxmlformats.org/drawingml/2006/main">
              <a:graphicData uri="http://schemas.openxmlformats.org/drawingml/2006/picture">
                <pic:pic xmlns:pic="http://schemas.openxmlformats.org/drawingml/2006/picture">
                  <pic:nvPicPr>
                    <pic:cNvPr id="5014" name="Picture 5014"/>
                    <pic:cNvPicPr/>
                  </pic:nvPicPr>
                  <pic:blipFill>
                    <a:blip r:embed="rId5"/>
                    <a:stretch>
                      <a:fillRect/>
                    </a:stretch>
                  </pic:blipFill>
                  <pic:spPr>
                    <a:xfrm>
                      <a:off x="0" y="0"/>
                      <a:ext cx="4573" cy="4574"/>
                    </a:xfrm>
                    <a:prstGeom prst="rect">
                      <a:avLst/>
                    </a:prstGeom>
                  </pic:spPr>
                </pic:pic>
              </a:graphicData>
            </a:graphic>
          </wp:inline>
        </w:drawing>
      </w:r>
      <w:r>
        <w:t>s vystoupením, pokud nebyly prokazatelně zaviněny výkonnými umělci či jejich doprovodem, tj. pokud</w:t>
      </w:r>
      <w:r>
        <w:t xml:space="preserve"> vzniknou zejména v důsledku nedodržení předpisů o bezpečnosti a ochraně zdraví, při nedodržení technických norem a ostatních obecně závazných předpisů ze strany pořadatele.</w:t>
      </w:r>
    </w:p>
    <w:p w14:paraId="0758EEC3" w14:textId="77777777" w:rsidR="00824ECC" w:rsidRDefault="00BB6EDE">
      <w:pPr>
        <w:spacing w:after="145"/>
        <w:ind w:left="449" w:right="21"/>
      </w:pPr>
      <w:r>
        <w:t>6.7 Pokud bude pořadatel samostatného koncertu skupiny (samostatným koncertem se r</w:t>
      </w:r>
      <w:r>
        <w:t>ozumí i pokud vystupuje předkapela nebo jiný host) dodávat k akci svůj propagační materiál, má agentura právo předem odsouhlasit veškerý materiál určený k propagaci takového koncertu. Pořadatel se za tímto účelem zavazuje konzultovat s agenturou způsob pro</w:t>
      </w:r>
      <w:r>
        <w:t>pagace a v dostatečném předstihu, zaslat agentuře k posouzení a odsouhlasení veškeré materiály a podklady určené k propagaci koncertu (tj. plakáty, vstupenky, billboardy, tiskoviny apod.). Na všech takových propagačních materiálech, pokud bude uváděno logo</w:t>
      </w:r>
      <w:r>
        <w:t xml:space="preserve"> kapely, musí být uvedeno pouze a výhradně logo kapely MIG 21, jehož vyobrazení je k dispozici na webových stránkách kapely „</w:t>
      </w:r>
      <w:r>
        <w:rPr>
          <w:u w:val="single" w:color="000000"/>
        </w:rPr>
        <w:t>www.mig21.cz</w:t>
      </w:r>
      <w:r>
        <w:t xml:space="preserve"> Pokud by měla být na propagačních materiálech použita fotografie kapely, může být použita pouze a výhradně fotografie </w:t>
      </w:r>
      <w:r>
        <w:t>kapely umístěná na výše uvedených webových stránkách, která bude předem agenturou odsouhlasena. Porušení jakékoliv povinnosti pořadatele uvedené v tomto odstavci 6.7 se považuje za závažné (podstatné) porušení a agentura je oprávněna požadovat po pořadatel</w:t>
      </w:r>
      <w:r>
        <w:t>i úhradu veškeré škody (materiální i nemateriální újmu), která jí tímto porušením vznikne. Agentura je povinna zabezpečit, aby se výkonní umělci dostavili na místo vystoupení včas, tzn. tak, aby byli schopni začít své vystoupení ve sjednanou dobu. Agentura</w:t>
      </w:r>
      <w:r>
        <w:t xml:space="preserve"> však neodpovídá za případné zdržení z důvodu úrazu výkonných umělců nebo technického personálu, způsobené během cesty nebo na místě vystoupení či z důvodu vyšší moci.</w:t>
      </w:r>
    </w:p>
    <w:p w14:paraId="79CC6529" w14:textId="77777777" w:rsidR="00824ECC" w:rsidRDefault="00BB6EDE">
      <w:pPr>
        <w:spacing w:after="360"/>
        <w:ind w:left="449" w:right="21"/>
      </w:pPr>
      <w:r>
        <w:t>6.8 Agentura je oprávněna přerušit či ukončit koncert, při dodržení povinnosti úhrady ce</w:t>
      </w:r>
      <w:r>
        <w:t>lkové odměny za koncert dle čl. I (I. I) této smlouvy, v případě, že pořadatel nezajistí hladký průběh koncertu a dojde k jejímu narušení ze strany účastníků pod vlivem alkoholu či drog nebo jiné výtržnosti, v případě poškození aparatury, zejména v důsledk</w:t>
      </w:r>
      <w:r>
        <w:t>u nedodržení bezpečnostních norem a zásad ze strany pořadatele.</w:t>
      </w:r>
    </w:p>
    <w:p w14:paraId="3151CA2F" w14:textId="77777777" w:rsidR="00824ECC" w:rsidRDefault="00BB6EDE">
      <w:pPr>
        <w:pStyle w:val="Nadpis1"/>
        <w:spacing w:after="2" w:line="259" w:lineRule="auto"/>
        <w:ind w:left="699" w:hanging="634"/>
      </w:pPr>
      <w:r>
        <w:t>UKONČENÍ SMLOUVY</w:t>
      </w:r>
    </w:p>
    <w:p w14:paraId="29C64352" w14:textId="77777777" w:rsidR="00824ECC" w:rsidRDefault="00BB6EDE">
      <w:pPr>
        <w:ind w:left="449" w:right="21"/>
      </w:pPr>
      <w:r>
        <w:t>7.1</w:t>
      </w:r>
      <w:r>
        <w:tab/>
        <w:t xml:space="preserve">Smluvní strany prohlašují, že jsou si vědomy, že tuto smlouvu uzavírají v době trvání účinných opatření orgánů veřejné moci za účelem omezení šíření tzv. </w:t>
      </w:r>
      <w:proofErr w:type="spellStart"/>
      <w:r>
        <w:t>koronavirové</w:t>
      </w:r>
      <w:proofErr w:type="spellEnd"/>
      <w:r>
        <w:t xml:space="preserve"> epid</w:t>
      </w:r>
      <w:r>
        <w:t>emie (dále jen „opatření”).</w:t>
      </w:r>
    </w:p>
    <w:p w14:paraId="361156E3" w14:textId="77777777" w:rsidR="00824ECC" w:rsidRDefault="00BB6EDE">
      <w:pPr>
        <w:spacing w:after="236"/>
        <w:ind w:left="449" w:right="21"/>
      </w:pPr>
      <w:r>
        <w:t>7.2 Smluvní strany prohlašují a zavazují se, že v případě, že dojde k takovým změnám v šíři rozsahu omezení a zpřísnění opatření dle předchozího článku, které mohou ohrozit nebo ohrozí, ztíží či znemožní konání koncertu v termín</w:t>
      </w:r>
      <w:r>
        <w:t>u sjednaném v této dohodě, budou se dále řídit ustanoveními této smlouvy níže.</w:t>
      </w:r>
    </w:p>
    <w:p w14:paraId="523F21D9" w14:textId="77777777" w:rsidR="00824ECC" w:rsidRDefault="00BB6EDE">
      <w:pPr>
        <w:spacing w:after="240"/>
        <w:ind w:left="449" w:right="21"/>
      </w:pPr>
      <w:r>
        <w:t>7.3 Smluvní strana, která se bude chtít, z důvodů výše uvedených, dovolat opatření v souvislosti s plněním dle této smlouvy, je povinna druhou ze smluvních stran neprodleně info</w:t>
      </w:r>
      <w:r>
        <w:t>rmovat o takovém opatření, a to nejpozději do 7 kalendářních dnů od jeho vzniku. Nedodržení této lhůty má za následek zánik práva dovolávat se opatření. V případě, že z opatření bude automaticky vyplývat pro obě smluvní strany nemožnost plnění předmětu tét</w:t>
      </w:r>
      <w:r>
        <w:t>o smlouvy ve sjednaném termínu, rozsahu a za domluvených podmínek, je kterákoliv smluvní strana oprávněna od této smlouvy odstoupit.</w:t>
      </w:r>
    </w:p>
    <w:p w14:paraId="5B026470" w14:textId="77777777" w:rsidR="00824ECC" w:rsidRDefault="00BB6EDE">
      <w:pPr>
        <w:ind w:left="449" w:right="21"/>
      </w:pPr>
      <w:r>
        <w:t>7.4 Pokud dojde k rozšíření nebo zpřísnění opatření tak, že jedna ze smluvních stran bude mít na základě rozšíření či zpřís</w:t>
      </w:r>
      <w:r>
        <w:t>nění opatření podstatně ztíženy podmínky ke splnění předmětu této smlouvy, zejména nebude objektivně schopna plnit jednotlivé povinnosti dle smlouvy nutné k tomu, aby byl koncert uskutečněn řádně, ve sjednanému rozsahu, kvalitě nebo termínu, zavazuje se dr</w:t>
      </w:r>
      <w:r>
        <w:t>uhá ze smluvních stran k poskytnutí potřebné součinnosti či změně data konání koncertu v rámci předmětné akce pořádané pořadatelem. To platí pouze v případě, že se nejedná o zjevné zneužití práva některou ze smluvních stran. Povinnost úhrady odměny před ko</w:t>
      </w:r>
      <w:r>
        <w:t>náním koncertů, jakož i její výše tím nejsou dotčeny. V případě, že změnu data konání koncertu v rámci pořádané akce nelze po některé ze smluvních stran spravedlivě požadovat, má druhá ze smluvních stran právo od smlouvy odstoupit, nepřísluší jí však nárok</w:t>
      </w:r>
      <w:r>
        <w:t xml:space="preserve"> na sankční plnění či jiné plnění, které by jí jinak dle smlouvy náleželo, či náležet mohlo.</w:t>
      </w:r>
    </w:p>
    <w:p w14:paraId="05D3F807" w14:textId="77777777" w:rsidR="00824ECC" w:rsidRDefault="00BB6EDE">
      <w:pPr>
        <w:ind w:left="449" w:right="21"/>
      </w:pPr>
      <w:r>
        <w:t xml:space="preserve">7.5 Pokud bude vystoupení znemožněno, bez možnosti </w:t>
      </w:r>
      <w:proofErr w:type="gramStart"/>
      <w:r>
        <w:t>postupovat</w:t>
      </w:r>
      <w:proofErr w:type="gramEnd"/>
      <w:r>
        <w:t xml:space="preserve"> jak uvedeno výše, v důsledku jiné nepředvídatelné nebo neodvratitelné události, ležící mimo smluvní s</w:t>
      </w:r>
      <w:r>
        <w:t>trany, například přírodní katastrofa nebo z důvodu nepředvídatelné a neodvratitelné události na straně vystupujícího výkonného umělce, např. vážné onemocnění či úmrtí výkonného umělce, úraz, úmrtí v rodině atp., mají obě smluvní strany právo od této smlouv</w:t>
      </w:r>
      <w:r>
        <w:t>y odstoupit, bez jakýchkoli nároků na finanční úhradu vzniklé škody. Odstupující strana je povinna shora uvedené skutečnosti druhé smluvní straně řádně doložit.</w:t>
      </w:r>
    </w:p>
    <w:p w14:paraId="2FDEE821" w14:textId="77777777" w:rsidR="00824ECC" w:rsidRDefault="00BB6EDE">
      <w:pPr>
        <w:ind w:left="449" w:right="21"/>
      </w:pPr>
      <w:r>
        <w:lastRenderedPageBreak/>
        <w:t xml:space="preserve">7.6 Pokud se předmětné vystoupení neuskuteční z jiných </w:t>
      </w:r>
      <w:proofErr w:type="gramStart"/>
      <w:r>
        <w:t>důvodů,</w:t>
      </w:r>
      <w:proofErr w:type="gramEnd"/>
      <w:r>
        <w:t xml:space="preserve"> než z důvodu vyšší moci podle př</w:t>
      </w:r>
      <w:r>
        <w:t>edchozích odstavců, nebo ze zavinění agentury, považuje se taková skutečnost za porušení povinnosti pořadatele dle této smlouvy a pořadatel je povinen zaplatit agentuře celou částku sjednanou a uvedenou jako odměna v čl. I odst. (I. 1) této smlouvy jako ná</w:t>
      </w:r>
      <w:r>
        <w:t>hradu škody (ušlého zisku), která agentuře v důsledku neuskutečnění vystoupení vznikne, a to nejpozději na výzvu agentury. Tato povinnost náhrady škody (ušlého zisku) ve stejné výši platí i pro případ, že pořadatel odvolá (zruší) koncert ve lhůtě kratší ne</w:t>
      </w:r>
      <w:r>
        <w:t xml:space="preserve">ž 40 dnů před termínem konání </w:t>
      </w:r>
      <w:proofErr w:type="spellStart"/>
      <w:r>
        <w:t>konceltu</w:t>
      </w:r>
      <w:proofErr w:type="spellEnd"/>
      <w:r>
        <w:t xml:space="preserve"> dle této smlouvy a prohlašuje, že tuto povinnost ani výši částky nebude v tomto případě nijak rozporovat. Agentura je oprávněna započíst případně již složenou odměnu (zálohu na odměnu) na náhradu škody dle tohoto odst</w:t>
      </w:r>
      <w:r>
        <w:t>avce do 7 dnů.</w:t>
      </w:r>
    </w:p>
    <w:sectPr w:rsidR="00824ECC">
      <w:pgSz w:w="11920" w:h="16840"/>
      <w:pgMar w:top="1440" w:right="1520" w:bottom="1440" w:left="10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901B5"/>
    <w:multiLevelType w:val="hybridMultilevel"/>
    <w:tmpl w:val="4314DDEE"/>
    <w:lvl w:ilvl="0" w:tplc="B74EAE00">
      <w:start w:val="7"/>
      <w:numFmt w:val="upperRoman"/>
      <w:pStyle w:val="Nadpis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2C235E">
      <w:start w:val="1"/>
      <w:numFmt w:val="lowerLetter"/>
      <w:lvlText w:val="%2"/>
      <w:lvlJc w:val="left"/>
      <w:pPr>
        <w:ind w:left="4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42591A">
      <w:start w:val="1"/>
      <w:numFmt w:val="lowerRoman"/>
      <w:lvlText w:val="%3"/>
      <w:lvlJc w:val="left"/>
      <w:pPr>
        <w:ind w:left="5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9A19EA">
      <w:start w:val="1"/>
      <w:numFmt w:val="decimal"/>
      <w:lvlText w:val="%4"/>
      <w:lvlJc w:val="left"/>
      <w:pPr>
        <w:ind w:left="5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12FC30">
      <w:start w:val="1"/>
      <w:numFmt w:val="lowerLetter"/>
      <w:lvlText w:val="%5"/>
      <w:lvlJc w:val="left"/>
      <w:pPr>
        <w:ind w:left="6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B0C688">
      <w:start w:val="1"/>
      <w:numFmt w:val="lowerRoman"/>
      <w:lvlText w:val="%6"/>
      <w:lvlJc w:val="left"/>
      <w:pPr>
        <w:ind w:left="7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0417BA">
      <w:start w:val="1"/>
      <w:numFmt w:val="decimal"/>
      <w:lvlText w:val="%7"/>
      <w:lvlJc w:val="left"/>
      <w:pPr>
        <w:ind w:left="8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169664">
      <w:start w:val="1"/>
      <w:numFmt w:val="lowerLetter"/>
      <w:lvlText w:val="%8"/>
      <w:lvlJc w:val="left"/>
      <w:pPr>
        <w:ind w:left="8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56734E">
      <w:start w:val="1"/>
      <w:numFmt w:val="lowerRoman"/>
      <w:lvlText w:val="%9"/>
      <w:lvlJc w:val="left"/>
      <w:pPr>
        <w:ind w:left="9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CC"/>
    <w:rsid w:val="00824ECC"/>
    <w:rsid w:val="00BB6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8E1D"/>
  <w15:docId w15:val="{D113B5B7-DB93-4041-BFCB-4AA50E5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63" w:line="241" w:lineRule="auto"/>
      <w:ind w:left="464" w:hanging="421"/>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numPr>
        <w:numId w:val="1"/>
      </w:numPr>
      <w:spacing w:after="188" w:line="220" w:lineRule="auto"/>
      <w:ind w:left="468" w:hanging="425"/>
      <w:jc w:val="center"/>
      <w:outlineLvl w:val="0"/>
    </w:pPr>
    <w:rPr>
      <w:rFonts w:ascii="Times New Roman" w:eastAsia="Times New Roman" w:hAnsi="Times New Roman" w:cs="Times New Roman"/>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5705</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Eliášová</dc:creator>
  <cp:keywords/>
  <cp:lastModifiedBy>Markéta Eliášová</cp:lastModifiedBy>
  <cp:revision>2</cp:revision>
  <dcterms:created xsi:type="dcterms:W3CDTF">2021-07-02T09:47:00Z</dcterms:created>
  <dcterms:modified xsi:type="dcterms:W3CDTF">2021-07-02T09:47:00Z</dcterms:modified>
</cp:coreProperties>
</file>