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DC4BB" w14:textId="77777777" w:rsidR="005565EF" w:rsidRDefault="008E50AB">
      <w:pPr>
        <w:tabs>
          <w:tab w:val="center" w:pos="3702"/>
          <w:tab w:val="center" w:pos="5031"/>
        </w:tabs>
        <w:spacing w:after="15" w:line="259" w:lineRule="auto"/>
        <w:ind w:left="0" w:firstLine="0"/>
        <w:jc w:val="left"/>
      </w:pPr>
      <w:r>
        <w:rPr>
          <w:sz w:val="20"/>
        </w:rPr>
        <w:tab/>
      </w:r>
      <w:r>
        <w:rPr>
          <w:sz w:val="20"/>
        </w:rPr>
        <w:t xml:space="preserve">11. </w:t>
      </w:r>
      <w:r>
        <w:rPr>
          <w:sz w:val="20"/>
        </w:rPr>
        <w:tab/>
        <w:t>PŘEDMĚT SMLOUVY</w:t>
      </w:r>
    </w:p>
    <w:p w14:paraId="60910649" w14:textId="77777777" w:rsidR="005565EF" w:rsidRDefault="008E50AB">
      <w:pPr>
        <w:ind w:left="370" w:right="14"/>
      </w:pPr>
      <w:r>
        <w:t>2.I Agentura je povinna, za podmínek touto smlouvou stanovených, vytvořit (zajistit vytvoření) pro pořadatele za odměnu umělecké výkony členů kapely (koncert), kterými budou provedena díla podle repertoárového listu, přiloženého k této smlouvě a uděluje sv</w:t>
      </w:r>
      <w:r>
        <w:t>olení tyto umělecké výkony, za podmínek touto smlouvou stanovených, veřejně provozovat.</w:t>
      </w:r>
    </w:p>
    <w:p w14:paraId="36AAFBE2" w14:textId="77777777" w:rsidR="005565EF" w:rsidRDefault="008E50AB">
      <w:pPr>
        <w:spacing w:after="170"/>
        <w:ind w:left="370" w:right="14"/>
      </w:pPr>
      <w:r>
        <w:t>2.2 Pořadatel se zavazuje na svůj náklad řádně připravit koncert po stránce společenské, technické, hygienické a bezpečnostní, umělecké výkony na svůj náklad veřejně pr</w:t>
      </w:r>
      <w:r>
        <w:t>ovozovat a zaplatit agentuře odměnu za vytvoření uměleckých výkonů a za veřejné provozování uměleckých výkonů.</w:t>
      </w:r>
    </w:p>
    <w:p w14:paraId="588DCD04" w14:textId="77777777" w:rsidR="005565EF" w:rsidRDefault="008E50AB">
      <w:pPr>
        <w:spacing w:after="316"/>
        <w:ind w:left="370" w:right="14"/>
      </w:pPr>
      <w:r>
        <w:t>2.3 Agentura prohlašuje, že vykonává svým jménem práva výkonných umělců, jejichž umělecké výkony jsou při koncertu vytvářeny a veřejně provozován</w:t>
      </w:r>
      <w:r>
        <w:t>y. Agentura prohlašuje, že výkonní umělci mají právo, ve smyslu předmětu této smlouvy, veřejně provozovat autorská díla, která budou interprety v rámci vystoupení interpretována.</w:t>
      </w:r>
    </w:p>
    <w:p w14:paraId="52FEE9F8" w14:textId="77777777" w:rsidR="005565EF" w:rsidRDefault="008E50AB">
      <w:pPr>
        <w:pStyle w:val="Nadpis1"/>
        <w:tabs>
          <w:tab w:val="center" w:pos="3623"/>
          <w:tab w:val="center" w:pos="5031"/>
        </w:tabs>
        <w:ind w:left="0" w:firstLine="0"/>
        <w:jc w:val="left"/>
      </w:pPr>
      <w:r>
        <w:tab/>
      </w:r>
      <w:r>
        <w:t xml:space="preserve">111. </w:t>
      </w:r>
      <w:r>
        <w:tab/>
        <w:t>SPLATNOST ODMĚNY</w:t>
      </w:r>
    </w:p>
    <w:p w14:paraId="1862AEEE" w14:textId="77777777" w:rsidR="005565EF" w:rsidRDefault="008E50AB">
      <w:pPr>
        <w:ind w:left="370" w:right="14"/>
      </w:pPr>
      <w:r>
        <w:t>3.I Smluvní strany se dohodly, že odměna za vystoupen</w:t>
      </w:r>
      <w:r>
        <w:t>í bude uhrazena agentuře některým ze způsobů uvedených níže v tomto článku. Jednotlivý způsob úhrady odměny si smluvní strany potvrdí před konáním vystoupení.</w:t>
      </w:r>
    </w:p>
    <w:p w14:paraId="1CDDA027" w14:textId="77777777" w:rsidR="005565EF" w:rsidRDefault="008E50AB">
      <w:pPr>
        <w:ind w:left="370" w:right="14"/>
      </w:pPr>
      <w:r>
        <w:t>3.2 Odměna, ve výši sjednané v této smlouvě, je splatná před konáním koncertu, na základě faktury</w:t>
      </w:r>
      <w:r>
        <w:t xml:space="preserve"> vystavené a doručené pořadateli, splatné dne 23.7.2021</w:t>
      </w:r>
    </w:p>
    <w:p w14:paraId="7D55BAC7" w14:textId="77777777" w:rsidR="005565EF" w:rsidRDefault="008E50AB">
      <w:pPr>
        <w:spacing w:after="168"/>
        <w:ind w:left="370" w:right="14"/>
      </w:pPr>
      <w:r>
        <w:t xml:space="preserve">3.3 Úhrada odměny dle odst. 3.2 se provádí bankovním převodem na účet uvedený v záhlaví této smlouvy. Veškeré platby, které je pořadatel na základě této smlouvy </w:t>
      </w:r>
      <w:proofErr w:type="spellStart"/>
      <w:r>
        <w:t>povłnen</w:t>
      </w:r>
      <w:proofErr w:type="spellEnd"/>
      <w:r>
        <w:t xml:space="preserve"> platit agentuře, je pořadatel p</w:t>
      </w:r>
      <w:r>
        <w:t>ovinen platit na základě faktury. Pořadatel není oprávněn platit přímo výkonným umělcům, odměnu výkonným umělcům vyplatí agentura v souladu se smlouvami mezi výkonnými umělci a agenturou. Úhrada přímo výkonným umělcům se nepovažuje za splnění povinnosti uh</w:t>
      </w:r>
      <w:r>
        <w:t>radit odměnu dle této smlouvy.</w:t>
      </w:r>
    </w:p>
    <w:p w14:paraId="5CEB507D" w14:textId="77777777" w:rsidR="005565EF" w:rsidRDefault="008E50AB">
      <w:pPr>
        <w:spacing w:after="327"/>
        <w:ind w:left="370" w:right="14"/>
      </w:pPr>
      <w:r>
        <w:t>3.4 V případě prodlení se zaplacením odměny podle této smlouvy, je pořadatel povinen zaplatit agentuře smluvní pokutu ve výši 0,5 % z dlužné částky denně; tím není dotčeno ani omezeno právo agentury na náhradu škody.</w:t>
      </w:r>
    </w:p>
    <w:p w14:paraId="4A7BB057" w14:textId="77777777" w:rsidR="005565EF" w:rsidRDefault="008E50AB">
      <w:pPr>
        <w:pStyle w:val="Nadpis1"/>
        <w:tabs>
          <w:tab w:val="center" w:pos="2741"/>
          <w:tab w:val="center" w:pos="5013"/>
        </w:tabs>
        <w:ind w:left="0" w:firstLine="0"/>
        <w:jc w:val="left"/>
      </w:pPr>
      <w:r>
        <w:tab/>
      </w:r>
      <w:r>
        <w:t xml:space="preserve">IV. </w:t>
      </w:r>
      <w:r>
        <w:tab/>
        <w:t>TE</w:t>
      </w:r>
      <w:r>
        <w:t>CHNICKÉ A ORGANIZAČNÍ PODMÍNKY</w:t>
      </w:r>
    </w:p>
    <w:p w14:paraId="0628C6C9" w14:textId="77777777" w:rsidR="005565EF" w:rsidRDefault="008E50AB">
      <w:pPr>
        <w:ind w:left="370" w:right="14"/>
      </w:pPr>
      <w:r>
        <w:t xml:space="preserve">4.I Přiložené technické a organizační </w:t>
      </w:r>
      <w:proofErr w:type="spellStart"/>
      <w:r>
        <w:t>podminky</w:t>
      </w:r>
      <w:proofErr w:type="spellEnd"/>
      <w:r>
        <w:t xml:space="preserve"> (dále také jako „Podmínky”) a „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rider</w:t>
      </w:r>
      <w:proofErr w:type="spellEnd"/>
      <w:r>
        <w:t xml:space="preserve">” tvoří přílohu této smlouvy a </w:t>
      </w:r>
      <w:r>
        <w:rPr>
          <w:noProof/>
        </w:rPr>
        <w:drawing>
          <wp:inline distT="0" distB="0" distL="0" distR="0" wp14:anchorId="0BCD9F7C" wp14:editId="6A6C2239">
            <wp:extent cx="4573" cy="4574"/>
            <wp:effectExtent l="0" t="0" r="0" b="0"/>
            <wp:docPr id="3102" name="Picture 3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2" name="Picture 310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jsou nedílnou součástí této smlouvy. Jejich nedodržení může vést k ohrožení konání vystoupení a pova</w:t>
      </w:r>
      <w:r>
        <w:t>žuje se za závažné (podstatné) porušení této smlouvy. Agentura je oprávněna při tomto závažném (podstatném) porušení podmínek uvedených V technických a organizačních Podmínkách odstoupit od této smlouvy, v případě, že pořadatel neučiní ani po předchozím up</w:t>
      </w:r>
      <w:r>
        <w:t>ozornění agentury okamžitou nápravu bez negativního vlivu na vystoupení. Pořadatel v tomto případě není zbaven povinnosti zaplatit částku ve výši dle čl. I (</w:t>
      </w:r>
      <w:proofErr w:type="gramStart"/>
      <w:r>
        <w:t>I .I</w:t>
      </w:r>
      <w:proofErr w:type="gramEnd"/>
      <w:r>
        <w:t>) této smlouvy, a to jako smluvní pokutu za porušení povinností stanovených v této smlouvě (tec</w:t>
      </w:r>
      <w:r>
        <w:t>hnických a organizačních Podmínkách). Smluvní strany prohlašují, že považují výši smluvní pokuty za přiměřenou a pořadatel prohlašuje, že nebude její výši nijak rozporovat.</w:t>
      </w:r>
    </w:p>
    <w:p w14:paraId="655EC3F1" w14:textId="77777777" w:rsidR="005565EF" w:rsidRDefault="008E50AB">
      <w:pPr>
        <w:ind w:left="432" w:right="14" w:hanging="418"/>
      </w:pPr>
      <w:r>
        <w:t>4.2 Pořadatel je povinen potvrdit jednu kopii Podmínek svým podpisem a zašle tuto k</w:t>
      </w:r>
      <w:r>
        <w:t>opii spolu s podepsanou smlouvou zpět agentuře. Agentura si vyhrazuje právo neposkytnout jakékoliv plnění dle této smlouvy, až do doby obdržení podepsaných podmínek spolu se smlouvou.</w:t>
      </w:r>
    </w:p>
    <w:p w14:paraId="7F8FD3DB" w14:textId="77777777" w:rsidR="005565EF" w:rsidRDefault="008E50AB">
      <w:pPr>
        <w:spacing w:after="172"/>
        <w:ind w:left="432" w:right="14" w:hanging="418"/>
      </w:pPr>
      <w:r>
        <w:t>4.3 Technické a organizační podmínky mohou být upřesněny nebo měněny dle potřeb agentury (výkonných umělců) s tím, že toto upřesnění nebo změny musí být oznámeny písemně pořadateli s dostatečným předstihem tak, aby pořadatel mohl tyto podmínky řádné zajist</w:t>
      </w:r>
      <w:r>
        <w:t>it. Pořadatel zaslanou změnu nebo upřesnění Podmínek potvrdí svým podpisem a zašle zpět agentuře. Odmítnout splnění upřesněných/změněných požadavků může pořadatel pouze z vážného důvodu, s ohledem, na který nelze po něm splnění požadavku racionálně požadov</w:t>
      </w:r>
      <w:r>
        <w:t xml:space="preserve">at. Odmítnutí jejich splnění z jiných důvodů, než jsou uvedeny v tomto odstavci, se považuje za závažné (podstatné) porušení smlouvy a je důvodem pro odstoupení od smlouvy ze strany agentury. V případě odstoupení od smlouvy agenturou, je pořadatel povinen </w:t>
      </w:r>
      <w:r>
        <w:t>uhradit agentuře škodu ve výši všech vynaložených nákladů v souvislosti s pořádáním/přípravou předmětného vystoupení.</w:t>
      </w:r>
    </w:p>
    <w:p w14:paraId="4BBF7A8F" w14:textId="77777777" w:rsidR="005565EF" w:rsidRDefault="008E50AB">
      <w:pPr>
        <w:ind w:left="14" w:right="14" w:firstLine="0"/>
      </w:pPr>
      <w:r>
        <w:t>4.4 Výběr repertoáru, případně jeho změny, je výhradně v kompetenci agentury.</w:t>
      </w:r>
    </w:p>
    <w:sectPr w:rsidR="005565EF">
      <w:pgSz w:w="11920" w:h="16840"/>
      <w:pgMar w:top="1440" w:right="1534" w:bottom="1440" w:left="10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5EF"/>
    <w:rsid w:val="005565EF"/>
    <w:rsid w:val="008E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CDBF4"/>
  <w15:docId w15:val="{C07A0152-1B2C-4489-BD47-835569CF2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43" w:line="249" w:lineRule="auto"/>
      <w:ind w:left="399" w:hanging="356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30"/>
      <w:ind w:left="53" w:hanging="10"/>
      <w:jc w:val="center"/>
      <w:outlineLvl w:val="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614</Words>
  <Characters>3628</Characters>
  <Application>Microsoft Office Word</Application>
  <DocSecurity>0</DocSecurity>
  <Lines>30</Lines>
  <Paragraphs>8</Paragraphs>
  <ScaleCrop>false</ScaleCrop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Eliášová</dc:creator>
  <cp:keywords/>
  <cp:lastModifiedBy>Markéta Eliášová</cp:lastModifiedBy>
  <cp:revision>2</cp:revision>
  <dcterms:created xsi:type="dcterms:W3CDTF">2021-07-02T09:49:00Z</dcterms:created>
  <dcterms:modified xsi:type="dcterms:W3CDTF">2021-07-02T09:49:00Z</dcterms:modified>
</cp:coreProperties>
</file>