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č.29215/2021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59" w:lineRule="auto"/>
        <w:ind w:left="1460" w:right="0" w:hanging="146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ve smyslu § 2586 a následujícího zákona č. 89/2012 Sb., Občanského zákoníku v platném znění (dále jen ,,NOZ“) se řídí tímto zákonem.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1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Městys Nová Říše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starostou Ing. Jaroslavem Pachrem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Náměstí 40, 588 65 Nová Říše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38" w:val="left"/>
        </w:tabs>
        <w:bidi w:val="0"/>
        <w:spacing w:before="0" w:after="0" w:line="259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 00286311</w:t>
        <w:tab/>
        <w:t>DIČ : CZ00286311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38" w:val="left"/>
        </w:tabs>
        <w:bidi w:val="0"/>
        <w:spacing w:before="0" w:after="0" w:line="259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ČS, č. účtu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59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statutárním zástupcem: Ing.Radovanem Necidem - ředitelem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19" w:val="left"/>
        </w:tabs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  <w:tab/>
        <w:t>pověřený výrobní náměstek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30" w:val="left"/>
        </w:tabs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Jihlava,č.účtu: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30" w:val="left"/>
        </w:tabs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 : pan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na základě vzájemné shody tuto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Smlouvu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oprava a úprava povrchu místní komunikace a zpevněné plochy v městysu Nová Říše, které jsou ve vlastnictví městysu ( dále jen díla).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line="266" w:lineRule="auto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provedení zemních prací - odkopávek hor. 1-4 s naložením a vodorovným přemístěním zeminy na skládku, zhotovení podkladních vrstev ze štěrkodrtí, vyrovnání nerovnosti a výsprava výtluků stávající místní komunikace pomocí teplé asfaltové směsi, vysprávky pomocí turbomechanizmu a pokládky emulzního nátěru.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line="264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odsouhlasený položkový rozpočet.</w:t>
      </w:r>
      <w:r>
        <w:br w:type="page"/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1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1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1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5"/>
        <w:keepNext w:val="0"/>
        <w:keepLines w:val="0"/>
        <w:framePr w:w="336" w:h="13526" w:wrap="around" w:hAnchor="margin" w:x="-165" w:y="8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II.</w:t>
        <w:br/>
        <w:t>Doba plnění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2" w:lineRule="auto"/>
        <w:ind w:left="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na základě této smlouvy provést dílo v době : předpoklad zahájení stavebních prací - 07/2021. Ukončení díla : nejpozději do 60-ti dnů od zahájení stavebních prací.</w:t>
      </w:r>
    </w:p>
    <w:tbl>
      <w:tblPr>
        <w:tblOverlap w:val="never"/>
        <w:jc w:val="left"/>
        <w:tblLayout w:type="fixed"/>
      </w:tblPr>
      <w:tblGrid>
        <w:gridCol w:w="3106"/>
        <w:gridCol w:w="5635"/>
      </w:tblGrid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III.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dílo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provedení díla v rozsahu této smlouvy činní:</w:t>
      </w:r>
    </w:p>
    <w:tbl>
      <w:tblPr>
        <w:tblOverlap w:val="never"/>
        <w:jc w:val="left"/>
        <w:tblLayout w:type="fixed"/>
      </w:tblPr>
      <w:tblGrid>
        <w:gridCol w:w="2899"/>
        <w:gridCol w:w="5635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434 795,65 Kč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21% 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91 307,10 Kč</w:t>
            </w:r>
          </w:p>
        </w:tc>
      </w:tr>
      <w:tr>
        <w:trPr>
          <w:trHeight w:val="11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526 102,75 Kč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IV.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Platební podmínky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 doručení faktury objednateli.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28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náklady, které vzniknou zhotoviteli nad rámec této smlouvy je zhotovitel povinen předem oznámit objednateli.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1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Záruční doba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předmět této smlouvy poskytuje zhotovitel objednateli záruční dobu v délce 24 měsíců.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začíná běžet dnem podpisu záznamu o splnění, předání a převzetí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Součinnost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splnění předmětu této smlouvy poskytne objednatel zhotoviteli nezbytnou součinnost v tomto rozsahu: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době provádění díla zajistí objednatel vyloučení dopravy na této místní komunikaci.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496" w:left="621" w:right="686" w:bottom="900" w:header="68" w:footer="47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a účinnost smlouvy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5" w:val="left"/>
        </w:tabs>
        <w:bidi w:val="0"/>
        <w:spacing w:before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Smlouvu, a to oběma smluvními stranami)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5" w:val="left"/>
        </w:tabs>
        <w:bidi w:val="0"/>
        <w:spacing w:before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VIII.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5" w:val="left"/>
        </w:tabs>
        <w:bidi w:val="0"/>
        <w:spacing w:before="0" w:line="269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5" w:val="left"/>
        </w:tabs>
        <w:bidi w:val="0"/>
        <w:spacing w:before="0" w:line="264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doplnění této smlouvy jsou možné pouze písemnými číslovanými dodatky na základě vzájemné dohody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5" w:val="left"/>
        </w:tabs>
        <w:bidi w:val="0"/>
        <w:spacing w:before="0" w:line="259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 elektronické podobě, přičemž obě smluvní strany obdrží její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5" w:val="left"/>
        </w:tabs>
        <w:bidi w:val="0"/>
        <w:spacing w:before="0" w:after="1340" w:line="264" w:lineRule="auto"/>
        <w:ind w:left="380" w:right="0" w:hanging="38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1714500</wp:posOffset>
                </wp:positionV>
                <wp:extent cx="2133600" cy="560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0" cy="560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Nové Říši: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'bo.G-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Jaroslav Pachr - 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799999999999997pt;margin-top:135.pt;width:168.pt;height:44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Nové Říši: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'bo.G-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Jaroslav Pachr - starosta obce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podmínek. Na důkaz svého souhlasu s obsahem této smlouvy k ní smluvní strany připojují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42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: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- ředitel organizace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Zadání s výkazem výměr :</w:t>
      </w:r>
      <w:bookmarkEnd w:id="16"/>
      <w:bookmarkEnd w:id="17"/>
    </w:p>
    <w:p>
      <w:pPr>
        <w:pStyle w:val="Style5"/>
        <w:keepNext w:val="0"/>
        <w:keepLines w:val="0"/>
        <w:widowControl w:val="0"/>
        <w:shd w:val="clear" w:color="auto" w:fill="auto"/>
        <w:tabs>
          <w:tab w:pos="842" w:val="left"/>
        </w:tabs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165100</wp:posOffset>
                </wp:positionV>
                <wp:extent cx="1103630" cy="3136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363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JKSO: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0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12.05.2021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3.94999999999999pt;margin-top:13.pt;width:86.900000000000006pt;height:24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JKSO: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12.05.2021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Oprava místní komunikace - městys Nová Říše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4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  <w:tab/>
        <w:t>Místní komunikace : dvojnásobný emulzní nátěr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84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Část:</w:t>
        <w:tab/>
        <w:t>MK od křiž.sil.111/11271 poč.p. 310</w:t>
      </w:r>
    </w:p>
    <w:tbl>
      <w:tblPr>
        <w:tblOverlap w:val="never"/>
        <w:jc w:val="center"/>
        <w:tblLayout w:type="fixed"/>
      </w:tblPr>
      <w:tblGrid>
        <w:gridCol w:w="355"/>
        <w:gridCol w:w="499"/>
        <w:gridCol w:w="1085"/>
        <w:gridCol w:w="4522"/>
        <w:gridCol w:w="504"/>
        <w:gridCol w:w="907"/>
        <w:gridCol w:w="1018"/>
        <w:gridCol w:w="1536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P.Č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Zkrácený 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122401102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Odkopávky a prokopávky v hor. tř.4 do 500 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607,75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19448,00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132301209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Příplatek za lepivost hor. tř.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1373,60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162301101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Vodorov. přemístění výkopku z hor. tř. 1 až 4 do 500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1428,00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167101101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Nakládání výkopku do 100 m3 hornin tř. 1 až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141,10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4515,20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181951102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Úprava pláně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28459,80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564871111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Podklad ze štěrkodrtí tl. 250 mm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244,56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18342,00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565176111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Asfalt, beton ACP22 vrstva podkladní tl. 100 mm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634,57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47592,75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Štěrkodrť 0-32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565175113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Asfalt.beton vrstva podklad ACP 16 tl. 120 mm š. do 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717,55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50228,50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11-21221RL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Spojovací postřik emulzní 0,80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17117,50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11-21445RL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Uzavírací emulzní nátěr z drtí 2/5 množ. 14,00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80073,00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11-21446RL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Posyp podkladu z drtí 4/8 množ. 19,00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90507,50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11-21518RL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Vysprávky podkl. s použitím turbomech.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45000,00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11-21711RL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Výspravy výtluků za horka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40000,00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11-20111RL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Čištění vozovek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3485,00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11-21941RL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Vyrovnání povrchů dosavadních krytů živič.vozovek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216,32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6489,60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406335,85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434795,65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21 %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91 307,10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vč.DPH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526 102,75</w:t>
            </w:r>
          </w:p>
        </w:tc>
      </w:tr>
    </w:tbl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0" w:h="16840"/>
      <w:pgMar w:top="496" w:left="621" w:right="686" w:bottom="90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10185400</wp:posOffset>
              </wp:positionV>
              <wp:extent cx="133985" cy="1066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39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pt;margin-top:802.pt;width:10.55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1">
    <w:name w:val="Nadpis #3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hlaví nebo zápatí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2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10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FFFFFF"/>
      <w:spacing w:after="13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line="199" w:lineRule="auto"/>
      <w:ind w:left="16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hlaví nebo zápatí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spacing w:after="3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