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bookmarkStart w:id="0" w:name="_GoBack"/>
                            <w:r w:rsidR="00C8147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2016/S/450/343</w:t>
                            </w:r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bookmarkStart w:id="1" w:name="_GoBack"/>
                      <w:r w:rsidR="00C81471">
                        <w:rPr>
                          <w:rFonts w:ascii="Georgia" w:hAnsi="Georgia"/>
                          <w:sz w:val="22"/>
                          <w:szCs w:val="22"/>
                        </w:rPr>
                        <w:t>2016/S/450/343</w:t>
                      </w:r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2E2468" w:rsidP="00302EA3">
                            <w:pPr>
                              <w:pStyle w:val="Nzev"/>
                            </w:pPr>
                            <w:r w:rsidRPr="002E2468">
                              <w:t>Asociace hotelů a restaurací Č</w:t>
                            </w:r>
                            <w:r w:rsidR="008E0C98">
                              <w:t>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2E2468" w:rsidP="00302EA3">
                      <w:pPr>
                        <w:pStyle w:val="Nzev"/>
                      </w:pPr>
                      <w:r w:rsidRPr="002E2468">
                        <w:t>Asociace hotelů a restaurací Č</w:t>
                      </w:r>
                      <w:r w:rsidR="008E0C98">
                        <w:t>eské 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B3496" w:rsidP="00DD7A50">
            <w:pPr>
              <w:pStyle w:val="TableTextCzechTourism"/>
            </w:pPr>
            <w:r>
              <w:t>Alešem Pangrácem, ředitelem odboru regionální partnerství a vztahy B2B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3E4B01">
            <w:pPr>
              <w:pStyle w:val="TableTextCzechTourism"/>
            </w:pPr>
            <w:r>
              <w:t>Asociace hotelů a restaurací České republiky</w:t>
            </w:r>
            <w:r w:rsidR="006F083A">
              <w:t xml:space="preserve"> z.s.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8E0C98">
            <w:pPr>
              <w:pStyle w:val="TableTextCzechTourism"/>
            </w:pPr>
            <w:r>
              <w:t>Revoluční 762/13</w:t>
            </w:r>
            <w:r w:rsidR="00874A2A" w:rsidRPr="00874A2A">
              <w:t xml:space="preserve">, </w:t>
            </w:r>
            <w:r>
              <w:t>110 00 Praha 1 – Staré Město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3E4B01">
            <w:pPr>
              <w:pStyle w:val="TableTextCzechTourism"/>
            </w:pPr>
            <w:r>
              <w:t>Ing. Václavem Stárkem, prezidentem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3E4B01">
            <w:pPr>
              <w:pStyle w:val="TableTextCzechTourism"/>
            </w:pPr>
            <w:r>
              <w:t>00549436</w:t>
            </w:r>
          </w:p>
        </w:tc>
      </w:tr>
      <w:tr w:rsidR="00302EA3" w:rsidRPr="00874A2A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E0C98" w:rsidP="003E4B01">
            <w:pPr>
              <w:pStyle w:val="TableTextCzechTourism"/>
            </w:pPr>
            <w:r>
              <w:t>CZ00549436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874A2A" w:rsidRDefault="00302EA3" w:rsidP="00DD7A50">
            <w:pPr>
              <w:pStyle w:val="TableTextCzechTourism"/>
            </w:pPr>
            <w:r w:rsidRPr="00874A2A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874A2A" w:rsidRDefault="00874A2A" w:rsidP="003E4B01">
            <w:pPr>
              <w:pStyle w:val="TableTextCzechTourism"/>
            </w:pPr>
            <w:r w:rsidRPr="00874A2A">
              <w:t>Plátce DPH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objednateli: </w:t>
      </w:r>
    </w:p>
    <w:p w:rsidR="008F72FA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</w:t>
      </w:r>
      <w:r w:rsidRPr="008E0C98">
        <w:rPr>
          <w:rFonts w:ascii="Georgia" w:hAnsi="Georgia"/>
          <w:szCs w:val="22"/>
        </w:rPr>
        <w:t>rezentaci</w:t>
      </w:r>
      <w:r>
        <w:rPr>
          <w:rFonts w:ascii="Georgia" w:hAnsi="Georgia"/>
          <w:szCs w:val="22"/>
        </w:rPr>
        <w:t xml:space="preserve"> agentury</w:t>
      </w:r>
      <w:r w:rsidRPr="008E0C98">
        <w:rPr>
          <w:rFonts w:ascii="Georgia" w:hAnsi="Georgia"/>
          <w:szCs w:val="22"/>
        </w:rPr>
        <w:t xml:space="preserve"> CzechTourism v rámci Výroční konference Asociace hotelů a restaurací ČR</w:t>
      </w:r>
      <w:r>
        <w:rPr>
          <w:rFonts w:ascii="Georgia" w:hAnsi="Georgia"/>
          <w:szCs w:val="22"/>
        </w:rPr>
        <w:t xml:space="preserve">, </w:t>
      </w:r>
      <w:r w:rsidRPr="008E0C98">
        <w:rPr>
          <w:rFonts w:ascii="Georgia" w:hAnsi="Georgia"/>
          <w:szCs w:val="22"/>
        </w:rPr>
        <w:t>která se koná 25.</w:t>
      </w:r>
      <w:r>
        <w:rPr>
          <w:rFonts w:ascii="Georgia" w:hAnsi="Georgia"/>
          <w:szCs w:val="22"/>
        </w:rPr>
        <w:t xml:space="preserve"> </w:t>
      </w:r>
      <w:r w:rsidRPr="008E0C98">
        <w:rPr>
          <w:rFonts w:ascii="Georgia" w:hAnsi="Georgia"/>
          <w:szCs w:val="22"/>
        </w:rPr>
        <w:t>listopadu 2016</w:t>
      </w:r>
      <w:r>
        <w:rPr>
          <w:rFonts w:ascii="Georgia" w:hAnsi="Georgia"/>
          <w:szCs w:val="22"/>
        </w:rPr>
        <w:t xml:space="preserve"> </w:t>
      </w:r>
      <w:r w:rsidRPr="008E0C98">
        <w:rPr>
          <w:rFonts w:ascii="Georgia" w:hAnsi="Georgia"/>
          <w:szCs w:val="22"/>
        </w:rPr>
        <w:t>v Grand</w:t>
      </w:r>
      <w:r>
        <w:rPr>
          <w:rFonts w:ascii="Georgia" w:hAnsi="Georgia"/>
          <w:szCs w:val="22"/>
        </w:rPr>
        <w:t>h</w:t>
      </w:r>
      <w:r w:rsidRPr="008E0C98">
        <w:rPr>
          <w:rFonts w:ascii="Georgia" w:hAnsi="Georgia"/>
          <w:szCs w:val="22"/>
        </w:rPr>
        <w:t xml:space="preserve">otelu </w:t>
      </w:r>
      <w:proofErr w:type="spellStart"/>
      <w:r w:rsidRPr="008E0C98">
        <w:rPr>
          <w:rFonts w:ascii="Georgia" w:hAnsi="Georgia"/>
          <w:szCs w:val="22"/>
        </w:rPr>
        <w:t>Ambassador</w:t>
      </w:r>
      <w:proofErr w:type="spellEnd"/>
      <w:r w:rsidRPr="008E0C98">
        <w:rPr>
          <w:rFonts w:ascii="Georgia" w:hAnsi="Georgia"/>
          <w:szCs w:val="22"/>
        </w:rPr>
        <w:t xml:space="preserve"> v Karlových Varech</w:t>
      </w:r>
      <w:r>
        <w:rPr>
          <w:rFonts w:ascii="Georgia" w:hAnsi="Georgia"/>
          <w:szCs w:val="22"/>
        </w:rPr>
        <w:t>.</w:t>
      </w:r>
    </w:p>
    <w:p w:rsidR="008E0C98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 rámci prezentace bude zajištěno následující:</w:t>
      </w:r>
    </w:p>
    <w:p w:rsidR="00993FEC" w:rsidRDefault="008E0C98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vystoupení ředitelky agentury CzechTourism v rozsahu 20 minut</w:t>
      </w:r>
      <w:r w:rsidR="00993FEC">
        <w:rPr>
          <w:rFonts w:ascii="Georgia" w:hAnsi="Georgia"/>
          <w:szCs w:val="22"/>
        </w:rPr>
        <w:t>,</w:t>
      </w:r>
    </w:p>
    <w:p w:rsidR="008E0C98" w:rsidRDefault="008E0C98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uvedení agentury CzechTourism jako partnera konference,</w:t>
      </w:r>
    </w:p>
    <w:p w:rsidR="008E0C98" w:rsidRDefault="008E0C98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prezentace loga agentury CzechTourism na všech tištěných a online materiálech,</w:t>
      </w:r>
    </w:p>
    <w:p w:rsidR="008E0C98" w:rsidRDefault="008E0C98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prezentace agentury CzechTourism v mobilní aplikaci MIIA,</w:t>
      </w:r>
    </w:p>
    <w:p w:rsidR="008E0C98" w:rsidRDefault="008E0C98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možnost prezentace agentury CzechTourism formou </w:t>
      </w:r>
      <w:proofErr w:type="spellStart"/>
      <w:r>
        <w:rPr>
          <w:rFonts w:ascii="Georgia" w:hAnsi="Georgia"/>
          <w:szCs w:val="22"/>
        </w:rPr>
        <w:t>roll-upů</w:t>
      </w:r>
      <w:proofErr w:type="spellEnd"/>
      <w:r>
        <w:rPr>
          <w:rFonts w:ascii="Georgia" w:hAnsi="Georgia"/>
          <w:szCs w:val="22"/>
        </w:rPr>
        <w:t xml:space="preserve"> umístěných v místě konání a</w:t>
      </w:r>
      <w:r w:rsidR="00F640E1">
        <w:rPr>
          <w:rFonts w:ascii="Georgia" w:hAnsi="Georgia"/>
          <w:szCs w:val="22"/>
        </w:rPr>
        <w:t>kce,</w:t>
      </w:r>
    </w:p>
    <w:p w:rsidR="00F640E1" w:rsidRDefault="00F640E1" w:rsidP="00993FE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prezentaci loga agentury CzechTourism na tištěných materiálech pro závěrečný gala večer v Grandhotelu </w:t>
      </w:r>
      <w:proofErr w:type="spellStart"/>
      <w:r>
        <w:rPr>
          <w:rFonts w:ascii="Georgia" w:hAnsi="Georgia"/>
          <w:szCs w:val="22"/>
        </w:rPr>
        <w:t>Pupp</w:t>
      </w:r>
      <w:proofErr w:type="spellEnd"/>
      <w:r>
        <w:rPr>
          <w:rFonts w:ascii="Georgia" w:hAnsi="Georgia"/>
          <w:szCs w:val="22"/>
        </w:rPr>
        <w:t>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4513E0">
        <w:rPr>
          <w:rFonts w:ascii="Georgia" w:hAnsi="Georgia"/>
          <w:szCs w:val="22"/>
        </w:rPr>
        <w:t>19</w:t>
      </w:r>
      <w:r w:rsidR="00F640E1">
        <w:rPr>
          <w:rFonts w:ascii="Georgia" w:hAnsi="Georgia"/>
          <w:szCs w:val="22"/>
        </w:rPr>
        <w:t>9</w:t>
      </w:r>
      <w:r w:rsidR="000E22C2" w:rsidRPr="000E22C2">
        <w:rPr>
          <w:rFonts w:ascii="Georgia" w:hAnsi="Georgia"/>
          <w:szCs w:val="22"/>
        </w:rPr>
        <w:t xml:space="preserve"> </w:t>
      </w:r>
      <w:r w:rsidR="00F640E1">
        <w:rPr>
          <w:rFonts w:ascii="Georgia" w:hAnsi="Georgia"/>
          <w:szCs w:val="22"/>
        </w:rPr>
        <w:t>999</w:t>
      </w:r>
      <w:r w:rsidR="001C7C8C" w:rsidRPr="000E22C2">
        <w:rPr>
          <w:rFonts w:ascii="Georgia" w:hAnsi="Georgia"/>
          <w:szCs w:val="22"/>
        </w:rPr>
        <w:t>,-</w:t>
      </w:r>
      <w:r w:rsidR="001C7C8C" w:rsidRPr="00494608">
        <w:rPr>
          <w:rFonts w:ascii="Georgia" w:hAnsi="Georgia"/>
          <w:szCs w:val="22"/>
        </w:rPr>
        <w:t xml:space="preserve"> Kč bez DPH</w:t>
      </w:r>
      <w:r w:rsidR="001E6811">
        <w:rPr>
          <w:rFonts w:ascii="Georgia" w:hAnsi="Georgia"/>
          <w:szCs w:val="22"/>
        </w:rPr>
        <w:t xml:space="preserve"> (</w:t>
      </w:r>
      <w:r w:rsidR="00F640E1">
        <w:rPr>
          <w:rFonts w:ascii="Georgia" w:hAnsi="Georgia"/>
          <w:szCs w:val="22"/>
        </w:rPr>
        <w:t>241 998,79</w:t>
      </w:r>
      <w:r w:rsidR="001E6811">
        <w:rPr>
          <w:rFonts w:ascii="Georgia" w:hAnsi="Georgia"/>
          <w:szCs w:val="22"/>
        </w:rPr>
        <w:t>,- Kč vč.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0A1A42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poskytnuté služby bude </w:t>
      </w:r>
      <w:r w:rsidR="000E22C2">
        <w:rPr>
          <w:rFonts w:ascii="Georgia" w:hAnsi="Georgia"/>
          <w:szCs w:val="22"/>
        </w:rPr>
        <w:t>na základě</w:t>
      </w:r>
      <w:r w:rsidR="00A24C3A" w:rsidRPr="00A24C3A">
        <w:rPr>
          <w:rFonts w:ascii="Georgia" w:hAnsi="Georgia"/>
          <w:szCs w:val="22"/>
        </w:rPr>
        <w:t xml:space="preserve"> předané fakt</w:t>
      </w:r>
      <w:r w:rsidR="000E22C2">
        <w:rPr>
          <w:rFonts w:ascii="Georgia" w:hAnsi="Georgia"/>
          <w:szCs w:val="22"/>
        </w:rPr>
        <w:t>ury pouká</w:t>
      </w:r>
      <w:r w:rsidR="002D52A9">
        <w:rPr>
          <w:rFonts w:ascii="Georgia" w:hAnsi="Georgia"/>
          <w:szCs w:val="22"/>
        </w:rPr>
        <w:t xml:space="preserve">zána na </w:t>
      </w:r>
      <w:r w:rsidR="002D52A9" w:rsidRPr="00DB76FA">
        <w:rPr>
          <w:rFonts w:ascii="Georgia" w:hAnsi="Georgia"/>
          <w:szCs w:val="22"/>
        </w:rPr>
        <w:t xml:space="preserve">účet </w:t>
      </w:r>
      <w:r w:rsidR="00DB76FA" w:rsidRPr="00DB76FA">
        <w:rPr>
          <w:rFonts w:ascii="Georgia" w:hAnsi="Georgia"/>
          <w:szCs w:val="22"/>
        </w:rPr>
        <w:t>uvedený ve faktuře</w:t>
      </w:r>
      <w:r w:rsidR="00A24C3A" w:rsidRPr="00DB76FA">
        <w:rPr>
          <w:rFonts w:ascii="Georgia" w:hAnsi="Georgia"/>
          <w:szCs w:val="22"/>
        </w:rPr>
        <w:t xml:space="preserve">. </w:t>
      </w:r>
      <w:bookmarkStart w:id="32" w:name="_Toc203291568"/>
      <w:bookmarkStart w:id="33" w:name="_Toc203292588"/>
      <w:bookmarkStart w:id="34" w:name="_Toc203306977"/>
      <w:bookmarkStart w:id="35" w:name="_Toc204476145"/>
      <w:bookmarkStart w:id="36" w:name="_Toc235235104"/>
      <w:bookmarkStart w:id="37" w:name="_Toc238266055"/>
      <w:bookmarkStart w:id="38" w:name="_Toc240357474"/>
      <w:bookmarkStart w:id="39" w:name="_Toc240444510"/>
      <w:bookmarkStart w:id="40" w:name="_Toc240703976"/>
      <w:bookmarkStart w:id="41" w:name="_Toc240704350"/>
      <w:bookmarkStart w:id="42" w:name="_Toc240792067"/>
      <w:bookmarkStart w:id="43" w:name="_Toc240792927"/>
      <w:bookmarkStart w:id="44" w:name="_Toc241496091"/>
      <w:bookmarkStart w:id="45" w:name="_Toc241501192"/>
      <w:bookmarkStart w:id="46" w:name="_Toc241501589"/>
      <w:bookmarkStart w:id="47" w:name="_Toc241657906"/>
      <w:bookmarkStart w:id="48" w:name="_Toc243380729"/>
      <w:bookmarkStart w:id="49" w:name="_Toc274231386"/>
      <w:bookmarkStart w:id="50" w:name="_Toc274234503"/>
      <w:r w:rsidR="000E22C2">
        <w:rPr>
          <w:rFonts w:ascii="Georgia" w:hAnsi="Georgia"/>
          <w:szCs w:val="22"/>
        </w:rPr>
        <w:t xml:space="preserve">Faktura bude mít splatnost </w:t>
      </w:r>
      <w:r w:rsidR="001E6811">
        <w:rPr>
          <w:rFonts w:ascii="Georgia" w:hAnsi="Georgia"/>
          <w:szCs w:val="22"/>
        </w:rPr>
        <w:t xml:space="preserve">minimálně </w:t>
      </w:r>
      <w:r w:rsidR="000E22C2">
        <w:rPr>
          <w:rFonts w:ascii="Georgia" w:hAnsi="Georgia"/>
          <w:szCs w:val="22"/>
        </w:rPr>
        <w:t>15 dní.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51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2" w:name="_Toc203291569"/>
      <w:bookmarkStart w:id="53" w:name="_Toc203292589"/>
      <w:bookmarkStart w:id="54" w:name="_Toc203306978"/>
      <w:bookmarkStart w:id="55" w:name="_Toc204476146"/>
      <w:bookmarkStart w:id="56" w:name="_Toc235235105"/>
      <w:bookmarkStart w:id="57" w:name="_Toc238266056"/>
      <w:bookmarkStart w:id="58" w:name="_Toc240357475"/>
      <w:bookmarkStart w:id="59" w:name="_Toc240444511"/>
      <w:bookmarkStart w:id="60" w:name="_Toc240703977"/>
      <w:bookmarkStart w:id="61" w:name="_Toc240704351"/>
      <w:bookmarkStart w:id="62" w:name="_Toc240792068"/>
      <w:bookmarkStart w:id="63" w:name="_Toc240792928"/>
      <w:bookmarkStart w:id="64" w:name="_Toc241496092"/>
      <w:bookmarkStart w:id="65" w:name="_Toc241501193"/>
      <w:bookmarkStart w:id="66" w:name="_Toc241501590"/>
      <w:bookmarkStart w:id="67" w:name="_Toc241657907"/>
      <w:bookmarkStart w:id="68" w:name="_Toc243380730"/>
      <w:bookmarkStart w:id="69" w:name="_Toc274231387"/>
      <w:bookmarkStart w:id="70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</w:t>
      </w:r>
      <w:r w:rsidR="00FA6749" w:rsidRPr="003E437E">
        <w:rPr>
          <w:rFonts w:ascii="Georgia" w:eastAsia="Calibri" w:hAnsi="Georgia" w:cs="Arial"/>
          <w:b w:val="0"/>
          <w:sz w:val="22"/>
        </w:rPr>
        <w:lastRenderedPageBreak/>
        <w:t>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0E22C2" w:rsidRDefault="000E22C2" w:rsidP="000E22C2">
      <w:pPr>
        <w:rPr>
          <w:rFonts w:eastAsia="Calibri"/>
          <w:lang w:eastAsia="cs-CZ" w:bidi="ar-SA"/>
        </w:rPr>
      </w:pPr>
    </w:p>
    <w:p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590B4C">
        <w:rPr>
          <w:rFonts w:ascii="Georgia" w:eastAsia="Calibri" w:hAnsi="Georgia"/>
          <w:sz w:val="22"/>
          <w:szCs w:val="22"/>
          <w:lang w:eastAsia="cs-CZ" w:bidi="ar-SA"/>
        </w:rPr>
        <w:t>Klára Stárek Zachariášová</w:t>
      </w:r>
      <w:r w:rsidR="00F640E1">
        <w:rPr>
          <w:rFonts w:ascii="Georgia" w:eastAsia="Calibri" w:hAnsi="Georgia"/>
          <w:sz w:val="22"/>
          <w:szCs w:val="22"/>
          <w:lang w:eastAsia="cs-CZ" w:bidi="ar-SA"/>
        </w:rPr>
        <w:t xml:space="preserve"> </w:t>
      </w:r>
      <w:r w:rsidRPr="00FA60E5">
        <w:rPr>
          <w:rFonts w:ascii="Georgia" w:eastAsia="Calibri" w:hAnsi="Georgia"/>
          <w:sz w:val="22"/>
          <w:szCs w:val="22"/>
          <w:lang w:eastAsia="cs-CZ" w:bidi="ar-SA"/>
        </w:rPr>
        <w:t>(</w:t>
      </w:r>
      <w:hyperlink r:id="rId10" w:history="1">
        <w:r w:rsidR="00590B4C" w:rsidRPr="00601017">
          <w:rPr>
            <w:rStyle w:val="Hypertextovodkaz"/>
            <w:rFonts w:ascii="Georgia" w:eastAsia="Calibri" w:hAnsi="Georgia"/>
            <w:sz w:val="22"/>
            <w:szCs w:val="22"/>
            <w:lang w:eastAsia="cs-CZ" w:bidi="ar-SA"/>
          </w:rPr>
          <w:t>zachariasova@ahrcr.cz</w:t>
        </w:r>
      </w:hyperlink>
      <w:r w:rsidR="00FA60E5">
        <w:rPr>
          <w:rFonts w:ascii="Georgia" w:hAnsi="Georgia"/>
          <w:sz w:val="22"/>
          <w:szCs w:val="22"/>
        </w:rPr>
        <w:t>,</w:t>
      </w:r>
      <w:r w:rsidRPr="00FA60E5">
        <w:rPr>
          <w:rFonts w:ascii="Georgia" w:hAnsi="Georgia"/>
          <w:sz w:val="22"/>
          <w:szCs w:val="22"/>
        </w:rPr>
        <w:t xml:space="preserve"> </w:t>
      </w:r>
      <w:r w:rsidR="00590B4C">
        <w:rPr>
          <w:rFonts w:ascii="Georgia" w:hAnsi="Georgia"/>
          <w:sz w:val="22"/>
          <w:szCs w:val="22"/>
        </w:rPr>
        <w:t>236 042 387</w:t>
      </w:r>
      <w:r w:rsidRPr="000E22C2">
        <w:rPr>
          <w:rFonts w:ascii="Georgia" w:eastAsia="Calibri" w:hAnsi="Georgia"/>
          <w:sz w:val="22"/>
          <w:szCs w:val="22"/>
          <w:lang w:eastAsia="cs-CZ" w:bidi="ar-SA"/>
        </w:rPr>
        <w:t>).</w:t>
      </w:r>
    </w:p>
    <w:bookmarkEnd w:id="51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677F3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E4270F">
        <w:rPr>
          <w:rFonts w:ascii="Georgia" w:eastAsia="Calibri" w:hAnsi="Georgia" w:cs="Arial"/>
          <w:b w:val="0"/>
          <w:sz w:val="22"/>
        </w:rPr>
        <w:t>Adéla Pilařová (</w:t>
      </w:r>
      <w:hyperlink r:id="rId11" w:history="1">
        <w:r w:rsidR="004513E0" w:rsidRPr="00B03DA9">
          <w:rPr>
            <w:rStyle w:val="Hypertextovodkaz"/>
            <w:rFonts w:ascii="Georgia" w:eastAsia="Calibri" w:hAnsi="Georgia" w:cs="Arial"/>
            <w:b w:val="0"/>
            <w:sz w:val="22"/>
          </w:rPr>
          <w:t>pilarova@czechtourism.cz</w:t>
        </w:r>
      </w:hyperlink>
      <w:r w:rsidR="00E4270F">
        <w:rPr>
          <w:rFonts w:ascii="Georgia" w:eastAsia="Calibri" w:hAnsi="Georgia" w:cs="Arial"/>
          <w:b w:val="0"/>
          <w:sz w:val="22"/>
        </w:rPr>
        <w:t>, 221 580 429)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1" w:name="_Toc203291570"/>
      <w:bookmarkStart w:id="72" w:name="_Toc203292590"/>
      <w:bookmarkStart w:id="73" w:name="_Toc203306979"/>
      <w:bookmarkStart w:id="74" w:name="_Toc204476147"/>
      <w:bookmarkStart w:id="75" w:name="_Toc235235106"/>
      <w:bookmarkStart w:id="76" w:name="_Toc238266057"/>
      <w:bookmarkStart w:id="77" w:name="_Toc240357476"/>
      <w:bookmarkStart w:id="78" w:name="_Toc240444512"/>
      <w:bookmarkStart w:id="79" w:name="_Toc240703978"/>
      <w:bookmarkStart w:id="80" w:name="_Toc240704352"/>
      <w:bookmarkStart w:id="81" w:name="_Toc240792069"/>
      <w:bookmarkStart w:id="82" w:name="_Toc240792929"/>
      <w:bookmarkStart w:id="83" w:name="_Toc241496093"/>
      <w:bookmarkStart w:id="84" w:name="_Toc241501194"/>
      <w:bookmarkStart w:id="85" w:name="_Toc241501591"/>
      <w:bookmarkStart w:id="86" w:name="_Toc241657908"/>
      <w:bookmarkStart w:id="87" w:name="_Toc243380731"/>
      <w:bookmarkStart w:id="88" w:name="_Toc274231388"/>
      <w:bookmarkStart w:id="89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90" w:name="_Toc153595140"/>
      <w:bookmarkStart w:id="91" w:name="_Toc153797536"/>
      <w:bookmarkStart w:id="92" w:name="_Toc153797655"/>
      <w:bookmarkStart w:id="93" w:name="_Toc153808372"/>
      <w:bookmarkStart w:id="94" w:name="_Toc153941148"/>
      <w:bookmarkStart w:id="95" w:name="_Toc153941293"/>
      <w:bookmarkStart w:id="96" w:name="_Toc154462850"/>
      <w:bookmarkStart w:id="97" w:name="_Toc163543482"/>
      <w:bookmarkStart w:id="98" w:name="_Toc164137953"/>
      <w:bookmarkStart w:id="99" w:name="_Toc202955385"/>
      <w:bookmarkStart w:id="100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Pr="00B50605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</w:t>
      </w:r>
      <w:r w:rsidR="003E4B01">
        <w:rPr>
          <w:rFonts w:ascii="Georgia" w:hAnsi="Georgia"/>
          <w:b w:val="0"/>
          <w:sz w:val="22"/>
          <w:szCs w:val="22"/>
        </w:rPr>
        <w:t xml:space="preserve">do </w:t>
      </w:r>
      <w:r w:rsidR="00F640E1">
        <w:rPr>
          <w:rFonts w:ascii="Georgia" w:hAnsi="Georgia"/>
          <w:b w:val="0"/>
          <w:sz w:val="22"/>
          <w:szCs w:val="22"/>
        </w:rPr>
        <w:t>2</w:t>
      </w:r>
      <w:r w:rsidR="00546989">
        <w:rPr>
          <w:rFonts w:ascii="Georgia" w:hAnsi="Georgia"/>
          <w:b w:val="0"/>
          <w:sz w:val="22"/>
          <w:szCs w:val="22"/>
        </w:rPr>
        <w:t>5</w:t>
      </w:r>
      <w:r w:rsidR="003E4B01">
        <w:rPr>
          <w:rFonts w:ascii="Georgia" w:hAnsi="Georgia"/>
          <w:b w:val="0"/>
          <w:sz w:val="22"/>
          <w:szCs w:val="22"/>
        </w:rPr>
        <w:t>. 1</w:t>
      </w:r>
      <w:r w:rsidR="00F640E1">
        <w:rPr>
          <w:rFonts w:ascii="Georgia" w:hAnsi="Georgia"/>
          <w:b w:val="0"/>
          <w:sz w:val="22"/>
          <w:szCs w:val="22"/>
        </w:rPr>
        <w:t>1</w:t>
      </w:r>
      <w:r w:rsidR="003E4B01">
        <w:rPr>
          <w:rFonts w:ascii="Georgia" w:hAnsi="Georgia"/>
          <w:b w:val="0"/>
          <w:sz w:val="22"/>
          <w:szCs w:val="22"/>
        </w:rPr>
        <w:t>. 2016.</w:t>
      </w:r>
    </w:p>
    <w:p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4513E0">
      <w:pPr>
        <w:rPr>
          <w:lang w:eastAsia="cs-CZ" w:bidi="ar-SA"/>
        </w:rPr>
      </w:pPr>
    </w:p>
    <w:p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3E4B01">
        <w:rPr>
          <w:rFonts w:ascii="Georgia" w:hAnsi="Georgia"/>
          <w:sz w:val="22"/>
          <w:szCs w:val="22"/>
        </w:rPr>
        <w:t>20</w:t>
      </w:r>
      <w:r w:rsidR="005D45DE">
        <w:rPr>
          <w:rFonts w:ascii="Georgia" w:hAnsi="Georgia"/>
          <w:sz w:val="22"/>
          <w:szCs w:val="22"/>
        </w:rPr>
        <w:t xml:space="preserve"> d</w:t>
      </w:r>
      <w:r w:rsidRPr="005D45DE">
        <w:rPr>
          <w:rFonts w:ascii="Georgia" w:hAnsi="Georgia"/>
          <w:sz w:val="22"/>
          <w:szCs w:val="22"/>
        </w:rPr>
        <w:t>nů,</w:t>
      </w:r>
    </w:p>
    <w:p w:rsidR="005D45DE" w:rsidRDefault="005D45DE" w:rsidP="004513E0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8B2746" w:rsidRPr="005D45DE" w:rsidRDefault="00CD3AC1" w:rsidP="004513E0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8B2746" w:rsidRDefault="008B2746" w:rsidP="00F8467D">
      <w:pPr>
        <w:keepNext/>
        <w:keepLines/>
      </w:pP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F8467D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310AE4" w:rsidRPr="00310AE4" w:rsidRDefault="006A5D6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14. 11. 2016</w:t>
            </w: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5E5030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6A5D6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14. 11. 2016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Default="003E4B0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3E4B01" w:rsidRDefault="00F640E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Ing. Václav Stárek</w:t>
            </w:r>
          </w:p>
          <w:p w:rsidR="00874A2A" w:rsidRPr="00310AE4" w:rsidRDefault="00F640E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prezident</w:t>
            </w:r>
            <w:r w:rsidR="00590B4C">
              <w:rPr>
                <w:rFonts w:ascii="Georgia" w:hAnsi="Georgia" w:cs="Arial"/>
                <w:sz w:val="22"/>
                <w:szCs w:val="22"/>
              </w:rPr>
              <w:t xml:space="preserve"> Asociace hotelů a restaurací ČR</w:t>
            </w:r>
          </w:p>
          <w:p w:rsidR="00110886" w:rsidRPr="00310AE4" w:rsidRDefault="00110886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110886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842D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______________________________</w:t>
            </w:r>
          </w:p>
          <w:p w:rsidR="005E5030" w:rsidRDefault="00590B4C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Mgr. </w:t>
            </w:r>
            <w:r w:rsidR="003E4B01">
              <w:rPr>
                <w:rFonts w:ascii="Georgia" w:hAnsi="Georgia"/>
                <w:sz w:val="22"/>
                <w:szCs w:val="22"/>
              </w:rPr>
              <w:t>Aleš Pangrác</w:t>
            </w:r>
          </w:p>
          <w:p w:rsidR="003E4B01" w:rsidRPr="00310AE4" w:rsidRDefault="003E4B01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ředitel odboru regionální partnerství a vztahy B2B</w:t>
            </w:r>
          </w:p>
          <w:p w:rsidR="005E5030" w:rsidRPr="00310AE4" w:rsidRDefault="003B19E7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F3" w:rsidRDefault="00231CF3" w:rsidP="00E1754B">
      <w:pPr>
        <w:spacing w:after="0" w:line="240" w:lineRule="auto"/>
      </w:pPr>
      <w:r>
        <w:separator/>
      </w:r>
    </w:p>
  </w:endnote>
  <w:end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endnote>
  <w:endnote w:type="continuationNotice" w:id="1">
    <w:p w:rsidR="00231CF3" w:rsidRDefault="00231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F3" w:rsidRDefault="00231CF3" w:rsidP="00E1754B">
      <w:pPr>
        <w:spacing w:after="0" w:line="240" w:lineRule="auto"/>
      </w:pPr>
      <w:r>
        <w:separator/>
      </w:r>
    </w:p>
  </w:footnote>
  <w:foot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footnote>
  <w:footnote w:type="continuationNotice" w:id="1">
    <w:p w:rsidR="00231CF3" w:rsidRDefault="00231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E1E7A"/>
    <w:multiLevelType w:val="multilevel"/>
    <w:tmpl w:val="C882B7AA"/>
    <w:numStyleLink w:val="Headings"/>
  </w:abstractNum>
  <w:abstractNum w:abstractNumId="8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4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4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9241AD"/>
    <w:multiLevelType w:val="multilevel"/>
    <w:tmpl w:val="D8E42092"/>
    <w:numStyleLink w:val="text"/>
  </w:abstractNum>
  <w:abstractNum w:abstractNumId="26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8"/>
  </w:num>
  <w:num w:numId="3">
    <w:abstractNumId w:val="19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7"/>
  </w:num>
  <w:num w:numId="10">
    <w:abstractNumId w:val="23"/>
  </w:num>
  <w:num w:numId="11">
    <w:abstractNumId w:val="25"/>
  </w:num>
  <w:num w:numId="12">
    <w:abstractNumId w:val="20"/>
  </w:num>
  <w:num w:numId="13">
    <w:abstractNumId w:val="22"/>
  </w:num>
  <w:num w:numId="14">
    <w:abstractNumId w:val="8"/>
  </w:num>
  <w:num w:numId="15">
    <w:abstractNumId w:val="1"/>
  </w:num>
  <w:num w:numId="16">
    <w:abstractNumId w:val="26"/>
  </w:num>
  <w:num w:numId="17">
    <w:abstractNumId w:val="3"/>
  </w:num>
  <w:num w:numId="18">
    <w:abstractNumId w:val="24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  <w:num w:numId="23">
    <w:abstractNumId w:val="6"/>
  </w:num>
  <w:num w:numId="24">
    <w:abstractNumId w:val="21"/>
  </w:num>
  <w:num w:numId="25">
    <w:abstractNumId w:val="17"/>
  </w:num>
  <w:num w:numId="26">
    <w:abstractNumId w:val="1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31CF3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0E5"/>
    <w:rsid w:val="00FA6749"/>
    <w:rsid w:val="00FB3373"/>
    <w:rsid w:val="00FD0AA9"/>
    <w:rsid w:val="00FD0C2B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larova@czechtourism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zachariasova@ahrcr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1A32-E1CC-4AAF-83CD-42F2B3434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28BDD-1CF3-4648-980C-3B82BD05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7666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2016-11-23T09:51:00Z</cp:lastPrinted>
  <dcterms:created xsi:type="dcterms:W3CDTF">2017-03-17T10:43:00Z</dcterms:created>
  <dcterms:modified xsi:type="dcterms:W3CDTF">2017-03-17T10:43:00Z</dcterms:modified>
</cp:coreProperties>
</file>