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670C" w14:textId="6ADB3160" w:rsidR="00105C23" w:rsidRPr="00053FD0" w:rsidRDefault="00105C23" w:rsidP="00C3700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FD0">
        <w:rPr>
          <w:b/>
          <w:bCs/>
          <w:color w:val="auto"/>
          <w:sz w:val="28"/>
          <w:szCs w:val="28"/>
        </w:rPr>
        <w:t>Dohoda o užívání pozemků za účelem zřízení dočasné objízdné trasy</w:t>
      </w:r>
    </w:p>
    <w:p w14:paraId="3681670D" w14:textId="77777777" w:rsidR="00105C23" w:rsidRPr="00053FD0" w:rsidRDefault="00105C23" w:rsidP="00440A7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681670E" w14:textId="77777777" w:rsidR="00105C23" w:rsidRPr="00053FD0" w:rsidRDefault="00105C23" w:rsidP="00440A76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14:paraId="3681670F" w14:textId="77777777" w:rsidR="00105C23" w:rsidRPr="00053FD0" w:rsidRDefault="00105C23" w:rsidP="00440A76">
      <w:pPr>
        <w:pStyle w:val="Default"/>
        <w:jc w:val="center"/>
        <w:rPr>
          <w:i/>
          <w:iCs/>
          <w:color w:val="auto"/>
          <w:sz w:val="23"/>
          <w:szCs w:val="23"/>
        </w:rPr>
      </w:pPr>
      <w:r w:rsidRPr="00053FD0">
        <w:rPr>
          <w:i/>
          <w:iCs/>
          <w:color w:val="auto"/>
          <w:sz w:val="23"/>
          <w:szCs w:val="23"/>
        </w:rPr>
        <w:t xml:space="preserve">uzavřená ve smyslu </w:t>
      </w:r>
      <w:proofErr w:type="spellStart"/>
      <w:r w:rsidRPr="00053FD0">
        <w:rPr>
          <w:i/>
          <w:iCs/>
          <w:color w:val="auto"/>
          <w:sz w:val="23"/>
          <w:szCs w:val="23"/>
        </w:rPr>
        <w:t>ust</w:t>
      </w:r>
      <w:proofErr w:type="spellEnd"/>
      <w:r w:rsidRPr="00053FD0">
        <w:rPr>
          <w:i/>
          <w:iCs/>
          <w:color w:val="auto"/>
          <w:sz w:val="23"/>
          <w:szCs w:val="23"/>
        </w:rPr>
        <w:t>. § 1746 odst. 2 zák. č. 89/2012 Sb., občanského zákoníku, ve znění pozdějších předpisů</w:t>
      </w:r>
    </w:p>
    <w:p w14:paraId="36816710" w14:textId="77777777" w:rsidR="00105C23" w:rsidRPr="00053FD0" w:rsidRDefault="00105C23" w:rsidP="00783A70">
      <w:pPr>
        <w:pStyle w:val="Default"/>
        <w:rPr>
          <w:color w:val="auto"/>
          <w:sz w:val="23"/>
          <w:szCs w:val="23"/>
        </w:rPr>
      </w:pPr>
    </w:p>
    <w:p w14:paraId="36816711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b/>
          <w:bCs/>
          <w:color w:val="auto"/>
          <w:sz w:val="22"/>
          <w:szCs w:val="22"/>
        </w:rPr>
        <w:t xml:space="preserve">NORSOL s. r. o. </w:t>
      </w:r>
    </w:p>
    <w:p w14:paraId="36816712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se sídlem Seifertova 2834/33, 750 02 Přerov </w:t>
      </w:r>
    </w:p>
    <w:p w14:paraId="36816713" w14:textId="70BA4136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jednající jednatelem společnosti </w:t>
      </w:r>
      <w:r w:rsidR="003B3884">
        <w:rPr>
          <w:color w:val="auto"/>
          <w:sz w:val="22"/>
          <w:szCs w:val="22"/>
        </w:rPr>
        <w:t>Ing. Janem Valterem</w:t>
      </w:r>
    </w:p>
    <w:p w14:paraId="36816714" w14:textId="2B325299" w:rsidR="00105C23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IČO: 63476380</w:t>
      </w:r>
    </w:p>
    <w:p w14:paraId="449770C1" w14:textId="0831F6DF" w:rsidR="00BD6110" w:rsidRPr="001719F7" w:rsidRDefault="00BD6110" w:rsidP="00440A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DIČ: CZ</w:t>
      </w:r>
      <w:r w:rsidRPr="001719F7">
        <w:rPr>
          <w:color w:val="auto"/>
          <w:sz w:val="22"/>
          <w:szCs w:val="22"/>
        </w:rPr>
        <w:t>63476380</w:t>
      </w:r>
    </w:p>
    <w:p w14:paraId="36816715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na straně jedné (dále jen </w:t>
      </w:r>
      <w:r w:rsidRPr="001719F7">
        <w:rPr>
          <w:i/>
          <w:iCs/>
          <w:color w:val="auto"/>
          <w:sz w:val="22"/>
          <w:szCs w:val="22"/>
        </w:rPr>
        <w:t>„</w:t>
      </w:r>
      <w:proofErr w:type="gramStart"/>
      <w:r w:rsidRPr="001719F7">
        <w:rPr>
          <w:b/>
          <w:bCs/>
          <w:i/>
          <w:iCs/>
          <w:color w:val="auto"/>
          <w:sz w:val="22"/>
          <w:szCs w:val="22"/>
        </w:rPr>
        <w:t>poskytovatel  1</w:t>
      </w:r>
      <w:proofErr w:type="gramEnd"/>
      <w:r w:rsidRPr="001719F7">
        <w:rPr>
          <w:i/>
          <w:iCs/>
          <w:color w:val="auto"/>
          <w:sz w:val="22"/>
          <w:szCs w:val="22"/>
        </w:rPr>
        <w:t>“</w:t>
      </w:r>
      <w:r w:rsidRPr="001719F7">
        <w:rPr>
          <w:color w:val="auto"/>
          <w:sz w:val="22"/>
          <w:szCs w:val="22"/>
        </w:rPr>
        <w:t xml:space="preserve">) </w:t>
      </w:r>
    </w:p>
    <w:p w14:paraId="36816716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</w:p>
    <w:p w14:paraId="36816717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a</w:t>
      </w:r>
    </w:p>
    <w:p w14:paraId="36816718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</w:p>
    <w:p w14:paraId="36816719" w14:textId="77777777" w:rsidR="00105C23" w:rsidRPr="001719F7" w:rsidRDefault="00105C23" w:rsidP="005D553F">
      <w:pPr>
        <w:pStyle w:val="Bezmezer"/>
        <w:rPr>
          <w:rFonts w:ascii="Times New Roman" w:hAnsi="Times New Roman"/>
          <w:b/>
        </w:rPr>
      </w:pPr>
      <w:r w:rsidRPr="001719F7">
        <w:rPr>
          <w:rFonts w:ascii="Times New Roman" w:hAnsi="Times New Roman"/>
          <w:b/>
        </w:rPr>
        <w:t xml:space="preserve">EMOS </w:t>
      </w:r>
      <w:proofErr w:type="spellStart"/>
      <w:r w:rsidRPr="001719F7">
        <w:rPr>
          <w:rFonts w:ascii="Times New Roman" w:hAnsi="Times New Roman"/>
          <w:b/>
        </w:rPr>
        <w:t>property</w:t>
      </w:r>
      <w:proofErr w:type="spellEnd"/>
      <w:r w:rsidRPr="001719F7">
        <w:rPr>
          <w:rFonts w:ascii="Times New Roman" w:hAnsi="Times New Roman"/>
          <w:b/>
        </w:rPr>
        <w:t xml:space="preserve"> s.r.o.</w:t>
      </w:r>
    </w:p>
    <w:p w14:paraId="3681671A" w14:textId="2C820B5A" w:rsidR="00105C23" w:rsidRPr="001719F7" w:rsidRDefault="00105C23" w:rsidP="005D553F">
      <w:pPr>
        <w:pStyle w:val="Bezmezer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se sídlem </w:t>
      </w:r>
      <w:r w:rsidR="00717581">
        <w:rPr>
          <w:rFonts w:ascii="Times New Roman" w:hAnsi="Times New Roman"/>
        </w:rPr>
        <w:t>Lipnická 2844</w:t>
      </w:r>
      <w:r w:rsidRPr="001719F7">
        <w:rPr>
          <w:rFonts w:ascii="Times New Roman" w:hAnsi="Times New Roman"/>
        </w:rPr>
        <w:t>, 750 02 Přerov</w:t>
      </w:r>
    </w:p>
    <w:p w14:paraId="3681671B" w14:textId="698030AD" w:rsidR="00105C23" w:rsidRPr="001719F7" w:rsidRDefault="00105C23" w:rsidP="005D553F">
      <w:pPr>
        <w:pStyle w:val="Bezmezer"/>
        <w:rPr>
          <w:rFonts w:ascii="Times New Roman" w:hAnsi="Times New Roman"/>
        </w:rPr>
      </w:pPr>
      <w:r w:rsidRPr="001719F7">
        <w:rPr>
          <w:rFonts w:ascii="Times New Roman" w:hAnsi="Times New Roman"/>
        </w:rPr>
        <w:t>jednajíc</w:t>
      </w:r>
      <w:r w:rsidR="00496558">
        <w:rPr>
          <w:rFonts w:ascii="Times New Roman" w:hAnsi="Times New Roman"/>
        </w:rPr>
        <w:t xml:space="preserve">í prokuristou společnosti Ing. Miroslavem </w:t>
      </w:r>
      <w:proofErr w:type="spellStart"/>
      <w:r w:rsidR="00496558">
        <w:rPr>
          <w:rFonts w:ascii="Times New Roman" w:hAnsi="Times New Roman"/>
        </w:rPr>
        <w:t>Fikrem</w:t>
      </w:r>
      <w:proofErr w:type="spellEnd"/>
    </w:p>
    <w:p w14:paraId="3681671C" w14:textId="7AD73139" w:rsidR="00105C23" w:rsidRDefault="00105C23" w:rsidP="005D553F">
      <w:pPr>
        <w:pStyle w:val="Bezmezer"/>
        <w:rPr>
          <w:rFonts w:ascii="Times New Roman" w:hAnsi="Times New Roman"/>
        </w:rPr>
      </w:pPr>
      <w:r w:rsidRPr="001719F7">
        <w:rPr>
          <w:rFonts w:ascii="Times New Roman" w:hAnsi="Times New Roman"/>
        </w:rPr>
        <w:t>IČO: 62301527</w:t>
      </w:r>
    </w:p>
    <w:p w14:paraId="2C885E6E" w14:textId="6D316337" w:rsidR="00BD6110" w:rsidRPr="001719F7" w:rsidRDefault="00BD6110" w:rsidP="005D553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Pr="001719F7">
        <w:rPr>
          <w:rFonts w:ascii="Times New Roman" w:hAnsi="Times New Roman"/>
        </w:rPr>
        <w:t>62301527</w:t>
      </w:r>
    </w:p>
    <w:p w14:paraId="3681671D" w14:textId="77777777" w:rsidR="00105C23" w:rsidRPr="001719F7" w:rsidRDefault="00105C23" w:rsidP="005D553F">
      <w:pPr>
        <w:pStyle w:val="Bezmezer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na straně jedné (dále jen </w:t>
      </w:r>
      <w:r w:rsidRPr="00114A7F">
        <w:rPr>
          <w:rFonts w:ascii="Times New Roman" w:hAnsi="Times New Roman"/>
          <w:b/>
          <w:i/>
          <w:iCs/>
        </w:rPr>
        <w:t>„</w:t>
      </w:r>
      <w:proofErr w:type="gramStart"/>
      <w:r w:rsidRPr="00114A7F">
        <w:rPr>
          <w:rFonts w:ascii="Times New Roman" w:hAnsi="Times New Roman"/>
          <w:b/>
          <w:i/>
          <w:iCs/>
        </w:rPr>
        <w:t>poskytovatel  2</w:t>
      </w:r>
      <w:proofErr w:type="gramEnd"/>
      <w:r w:rsidRPr="00114A7F">
        <w:rPr>
          <w:rFonts w:ascii="Times New Roman" w:hAnsi="Times New Roman"/>
          <w:b/>
          <w:i/>
          <w:iCs/>
        </w:rPr>
        <w:t>“</w:t>
      </w:r>
      <w:r w:rsidRPr="00114A7F">
        <w:rPr>
          <w:rFonts w:ascii="Times New Roman" w:hAnsi="Times New Roman"/>
        </w:rPr>
        <w:t>)</w:t>
      </w:r>
    </w:p>
    <w:p w14:paraId="3681671E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</w:p>
    <w:p w14:paraId="3681671F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a </w:t>
      </w:r>
    </w:p>
    <w:p w14:paraId="36816720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</w:p>
    <w:p w14:paraId="36816721" w14:textId="503AC18A" w:rsidR="00105C23" w:rsidRPr="00BD6110" w:rsidRDefault="00105C23" w:rsidP="00440A76">
      <w:pPr>
        <w:pStyle w:val="Default"/>
        <w:rPr>
          <w:b/>
          <w:color w:val="auto"/>
          <w:sz w:val="22"/>
          <w:szCs w:val="22"/>
        </w:rPr>
      </w:pPr>
      <w:r w:rsidRPr="00BD6110">
        <w:rPr>
          <w:b/>
          <w:color w:val="auto"/>
          <w:sz w:val="22"/>
          <w:szCs w:val="22"/>
        </w:rPr>
        <w:t>Statutární město Přerov</w:t>
      </w:r>
    </w:p>
    <w:p w14:paraId="36816722" w14:textId="77777777" w:rsidR="00105C23" w:rsidRPr="00BD6110" w:rsidRDefault="00105C23" w:rsidP="00440A76">
      <w:pPr>
        <w:pStyle w:val="Default"/>
        <w:rPr>
          <w:color w:val="auto"/>
          <w:sz w:val="22"/>
          <w:szCs w:val="22"/>
        </w:rPr>
      </w:pPr>
      <w:r w:rsidRPr="00BD6110">
        <w:rPr>
          <w:color w:val="auto"/>
          <w:sz w:val="22"/>
          <w:szCs w:val="22"/>
        </w:rPr>
        <w:t>se sídlem Bratrská 709/34, Přerov I-Město, 750 02 Přerov</w:t>
      </w:r>
    </w:p>
    <w:p w14:paraId="36816723" w14:textId="5B253418" w:rsidR="00105C23" w:rsidRPr="00BD6110" w:rsidRDefault="00105C23" w:rsidP="00440A76">
      <w:pPr>
        <w:pStyle w:val="Default"/>
        <w:rPr>
          <w:color w:val="auto"/>
          <w:sz w:val="22"/>
          <w:szCs w:val="22"/>
        </w:rPr>
      </w:pPr>
      <w:r w:rsidRPr="00BD6110">
        <w:rPr>
          <w:color w:val="auto"/>
          <w:sz w:val="22"/>
          <w:szCs w:val="22"/>
        </w:rPr>
        <w:t xml:space="preserve">jednající </w:t>
      </w:r>
      <w:r w:rsidR="00BD6110" w:rsidRPr="00BD6110">
        <w:rPr>
          <w:sz w:val="22"/>
          <w:szCs w:val="22"/>
        </w:rPr>
        <w:t xml:space="preserve">Michalem </w:t>
      </w:r>
      <w:proofErr w:type="spellStart"/>
      <w:r w:rsidR="00BD6110" w:rsidRPr="00BD6110">
        <w:rPr>
          <w:sz w:val="22"/>
          <w:szCs w:val="22"/>
        </w:rPr>
        <w:t>Záchou</w:t>
      </w:r>
      <w:proofErr w:type="spellEnd"/>
      <w:r w:rsidR="00BD6110" w:rsidRPr="00BD6110">
        <w:rPr>
          <w:sz w:val="22"/>
          <w:szCs w:val="22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36816724" w14:textId="4E90E3E5" w:rsidR="00105C23" w:rsidRPr="00BD6110" w:rsidRDefault="00105C23" w:rsidP="00440A76">
      <w:pPr>
        <w:pStyle w:val="Default"/>
        <w:rPr>
          <w:color w:val="auto"/>
          <w:sz w:val="22"/>
          <w:szCs w:val="22"/>
        </w:rPr>
      </w:pPr>
      <w:r w:rsidRPr="00BD6110">
        <w:rPr>
          <w:color w:val="auto"/>
          <w:sz w:val="22"/>
          <w:szCs w:val="22"/>
        </w:rPr>
        <w:t xml:space="preserve">IČO: 00301825   </w:t>
      </w:r>
    </w:p>
    <w:p w14:paraId="27839884" w14:textId="336EF65F" w:rsidR="00BD6110" w:rsidRPr="00BD6110" w:rsidRDefault="00BD6110" w:rsidP="00440A76">
      <w:pPr>
        <w:pStyle w:val="Default"/>
        <w:rPr>
          <w:color w:val="auto"/>
          <w:sz w:val="22"/>
          <w:szCs w:val="22"/>
        </w:rPr>
      </w:pPr>
      <w:r w:rsidRPr="00BD6110">
        <w:rPr>
          <w:color w:val="202124"/>
          <w:sz w:val="21"/>
          <w:szCs w:val="21"/>
          <w:shd w:val="clear" w:color="auto" w:fill="FFFFFF"/>
        </w:rPr>
        <w:t>DIČ: CZ00301825</w:t>
      </w:r>
    </w:p>
    <w:p w14:paraId="36816725" w14:textId="77777777" w:rsidR="00105C23" w:rsidRPr="001719F7" w:rsidRDefault="00105C23" w:rsidP="00440A76">
      <w:pPr>
        <w:rPr>
          <w:rFonts w:ascii="Times New Roman" w:hAnsi="Times New Roman"/>
          <w:b/>
          <w:bCs/>
          <w:i/>
          <w:iCs/>
        </w:rPr>
      </w:pPr>
      <w:r w:rsidRPr="001719F7">
        <w:rPr>
          <w:rFonts w:ascii="Times New Roman" w:hAnsi="Times New Roman"/>
        </w:rPr>
        <w:t xml:space="preserve">na straně druhé (dále jen </w:t>
      </w:r>
      <w:r w:rsidRPr="001719F7">
        <w:rPr>
          <w:rFonts w:ascii="Times New Roman" w:hAnsi="Times New Roman"/>
          <w:b/>
          <w:bCs/>
          <w:i/>
          <w:iCs/>
        </w:rPr>
        <w:t>„uživatel“</w:t>
      </w:r>
      <w:r w:rsidRPr="00114A7F">
        <w:rPr>
          <w:rFonts w:ascii="Times New Roman" w:hAnsi="Times New Roman"/>
        </w:rPr>
        <w:t>)</w:t>
      </w:r>
    </w:p>
    <w:p w14:paraId="36816726" w14:textId="77777777" w:rsidR="00105C23" w:rsidRPr="001719F7" w:rsidRDefault="00105C23" w:rsidP="00440A76">
      <w:pPr>
        <w:pStyle w:val="Default"/>
        <w:rPr>
          <w:color w:val="auto"/>
          <w:sz w:val="22"/>
          <w:szCs w:val="22"/>
        </w:rPr>
      </w:pPr>
    </w:p>
    <w:p w14:paraId="36816727" w14:textId="77777777" w:rsidR="00105C23" w:rsidRPr="001719F7" w:rsidRDefault="00105C23" w:rsidP="00440A76">
      <w:pPr>
        <w:pStyle w:val="Default"/>
        <w:jc w:val="center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Shora uvedení účastníci, dále jednotlivě označovaní jako „poskytovatelé 1 a 2“ a „uživatel“,</w:t>
      </w:r>
    </w:p>
    <w:p w14:paraId="36816728" w14:textId="77777777" w:rsidR="00105C23" w:rsidRPr="001719F7" w:rsidRDefault="00105C23" w:rsidP="00440A76">
      <w:pPr>
        <w:pStyle w:val="Default"/>
        <w:jc w:val="center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společně pak jako „smluvní strany“, uzavírají níže uvedeného dne, měsíce a roku tuto</w:t>
      </w:r>
    </w:p>
    <w:p w14:paraId="36816729" w14:textId="0F167A12" w:rsidR="00105C23" w:rsidRPr="001719F7" w:rsidRDefault="00105C23" w:rsidP="00C3700C">
      <w:pPr>
        <w:pStyle w:val="Default"/>
        <w:jc w:val="center"/>
        <w:rPr>
          <w:b/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dohodu o užívání pozemků za účelem zřízení dočasné objízdné trasy pro vozidla do 3,5</w:t>
      </w:r>
      <w:r w:rsidR="001A5E8A">
        <w:rPr>
          <w:color w:val="auto"/>
          <w:sz w:val="22"/>
          <w:szCs w:val="22"/>
        </w:rPr>
        <w:t xml:space="preserve"> t</w:t>
      </w:r>
      <w:r w:rsidRPr="001719F7">
        <w:rPr>
          <w:color w:val="auto"/>
          <w:sz w:val="22"/>
          <w:szCs w:val="22"/>
        </w:rPr>
        <w:t xml:space="preserve">, dále jen </w:t>
      </w:r>
      <w:r w:rsidRPr="001719F7">
        <w:rPr>
          <w:b/>
          <w:color w:val="auto"/>
          <w:sz w:val="22"/>
          <w:szCs w:val="22"/>
        </w:rPr>
        <w:t>„Dohoda“</w:t>
      </w:r>
    </w:p>
    <w:p w14:paraId="3681672A" w14:textId="77777777" w:rsidR="00105C23" w:rsidRPr="001719F7" w:rsidRDefault="00105C23" w:rsidP="00C3700C">
      <w:pPr>
        <w:pStyle w:val="Default"/>
        <w:jc w:val="center"/>
        <w:rPr>
          <w:color w:val="auto"/>
          <w:sz w:val="22"/>
          <w:szCs w:val="22"/>
        </w:rPr>
      </w:pPr>
    </w:p>
    <w:p w14:paraId="3681672B" w14:textId="77777777" w:rsidR="00105C23" w:rsidRPr="001719F7" w:rsidRDefault="00105C23" w:rsidP="00440A7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681672C" w14:textId="1584832E" w:rsidR="00105C23" w:rsidRDefault="00105C23" w:rsidP="00440A7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719F7">
        <w:rPr>
          <w:b/>
          <w:bCs/>
          <w:color w:val="auto"/>
          <w:sz w:val="22"/>
          <w:szCs w:val="22"/>
        </w:rPr>
        <w:t>I.</w:t>
      </w:r>
    </w:p>
    <w:p w14:paraId="17A94884" w14:textId="01D1D198" w:rsidR="00357B5B" w:rsidRDefault="00357B5B" w:rsidP="002E6B7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Úvodní ustanovení</w:t>
      </w:r>
    </w:p>
    <w:p w14:paraId="3681672F" w14:textId="6D1F0AC3" w:rsidR="00105C23" w:rsidRPr="001719F7" w:rsidRDefault="00105C23" w:rsidP="009307C0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Poskytovatel 1 je vlastníkem následujících nemovitých věc</w:t>
      </w:r>
      <w:r w:rsidR="006D7CEB">
        <w:rPr>
          <w:color w:val="auto"/>
          <w:sz w:val="22"/>
          <w:szCs w:val="22"/>
        </w:rPr>
        <w:t>í</w:t>
      </w:r>
      <w:r w:rsidRPr="001719F7">
        <w:rPr>
          <w:color w:val="auto"/>
          <w:sz w:val="22"/>
          <w:szCs w:val="22"/>
        </w:rPr>
        <w:t>:</w:t>
      </w:r>
    </w:p>
    <w:p w14:paraId="36816730" w14:textId="6A24893F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- </w:t>
      </w:r>
      <w:r w:rsidRPr="001719F7">
        <w:rPr>
          <w:b/>
          <w:color w:val="auto"/>
          <w:sz w:val="22"/>
          <w:szCs w:val="22"/>
        </w:rPr>
        <w:t>Pozemek par. č. 6752/78</w:t>
      </w:r>
      <w:r w:rsidRPr="001719F7">
        <w:rPr>
          <w:color w:val="auto"/>
          <w:sz w:val="22"/>
          <w:szCs w:val="22"/>
        </w:rPr>
        <w:t>, o výměře 1.031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, </w:t>
      </w:r>
      <w:r w:rsidR="00CA5376">
        <w:rPr>
          <w:color w:val="auto"/>
          <w:sz w:val="22"/>
          <w:szCs w:val="22"/>
        </w:rPr>
        <w:t>ostatní plocha</w:t>
      </w:r>
    </w:p>
    <w:p w14:paraId="36816731" w14:textId="77777777" w:rsidR="00105C23" w:rsidRPr="001719F7" w:rsidRDefault="00105C23" w:rsidP="009307C0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- </w:t>
      </w:r>
      <w:r w:rsidRPr="001719F7">
        <w:rPr>
          <w:b/>
          <w:color w:val="auto"/>
          <w:sz w:val="22"/>
          <w:szCs w:val="22"/>
        </w:rPr>
        <w:t>Pozemek par. č. 6850/3</w:t>
      </w:r>
      <w:r w:rsidRPr="001719F7">
        <w:rPr>
          <w:color w:val="auto"/>
          <w:sz w:val="22"/>
          <w:szCs w:val="22"/>
        </w:rPr>
        <w:t>, o výměře 1.286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>, vodní plocha</w:t>
      </w:r>
    </w:p>
    <w:p w14:paraId="36816732" w14:textId="77777777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6816733" w14:textId="70F0C09A" w:rsidR="00105C23" w:rsidRPr="001719F7" w:rsidRDefault="00105C23" w:rsidP="00197A4F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vše o celkové výměře 2.317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vše v </w:t>
      </w:r>
      <w:proofErr w:type="spellStart"/>
      <w:r w:rsidRPr="001719F7">
        <w:rPr>
          <w:color w:val="auto"/>
          <w:sz w:val="22"/>
          <w:szCs w:val="22"/>
        </w:rPr>
        <w:t>k.ú</w:t>
      </w:r>
      <w:proofErr w:type="spellEnd"/>
      <w:r w:rsidRPr="001719F7">
        <w:rPr>
          <w:color w:val="auto"/>
          <w:sz w:val="22"/>
          <w:szCs w:val="22"/>
        </w:rPr>
        <w:t>. Přerov zapsané na LV č. 5680 u Katastrálního úřadu pro Olomoucký kraj, Katastrální pracoviště Přerov.</w:t>
      </w:r>
    </w:p>
    <w:p w14:paraId="36816734" w14:textId="77777777" w:rsidR="00105C23" w:rsidRPr="001719F7" w:rsidRDefault="00105C23" w:rsidP="009307C0">
      <w:pPr>
        <w:pStyle w:val="Default"/>
        <w:jc w:val="both"/>
        <w:rPr>
          <w:color w:val="auto"/>
          <w:sz w:val="22"/>
          <w:szCs w:val="22"/>
        </w:rPr>
      </w:pPr>
    </w:p>
    <w:p w14:paraId="36816735" w14:textId="77777777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Poskytovatelé 1 a 2 jsou spoluvlastníky každý k id. 1/2 následujících nemovitých věcí: </w:t>
      </w:r>
    </w:p>
    <w:p w14:paraId="36816736" w14:textId="05B48B22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- </w:t>
      </w:r>
      <w:r w:rsidRPr="001719F7">
        <w:rPr>
          <w:b/>
          <w:color w:val="auto"/>
          <w:sz w:val="22"/>
          <w:szCs w:val="22"/>
        </w:rPr>
        <w:t>Pozemek par. č. 6752/75</w:t>
      </w:r>
      <w:r w:rsidRPr="001719F7">
        <w:rPr>
          <w:color w:val="auto"/>
          <w:sz w:val="22"/>
          <w:szCs w:val="22"/>
        </w:rPr>
        <w:t>, o výměře 1.848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, ostatní </w:t>
      </w:r>
      <w:r w:rsidR="00FE583E">
        <w:rPr>
          <w:color w:val="auto"/>
          <w:sz w:val="22"/>
          <w:szCs w:val="22"/>
        </w:rPr>
        <w:t>plocha</w:t>
      </w:r>
    </w:p>
    <w:p w14:paraId="36816737" w14:textId="0DC884D8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- </w:t>
      </w:r>
      <w:r w:rsidRPr="001719F7">
        <w:rPr>
          <w:b/>
          <w:color w:val="auto"/>
          <w:sz w:val="22"/>
          <w:szCs w:val="22"/>
        </w:rPr>
        <w:t>Pozemek par. č. 6749/16</w:t>
      </w:r>
      <w:r w:rsidRPr="001719F7">
        <w:rPr>
          <w:color w:val="auto"/>
          <w:sz w:val="22"/>
          <w:szCs w:val="22"/>
        </w:rPr>
        <w:t>, o výměře 593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, ostatní </w:t>
      </w:r>
      <w:r w:rsidR="00FE583E">
        <w:rPr>
          <w:color w:val="auto"/>
          <w:sz w:val="22"/>
          <w:szCs w:val="22"/>
        </w:rPr>
        <w:t>plocha</w:t>
      </w:r>
    </w:p>
    <w:p w14:paraId="36816738" w14:textId="14103FA6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- </w:t>
      </w:r>
      <w:r w:rsidRPr="001719F7">
        <w:rPr>
          <w:b/>
          <w:color w:val="auto"/>
          <w:sz w:val="22"/>
          <w:szCs w:val="22"/>
        </w:rPr>
        <w:t>Pozemek par. č. 6747/1</w:t>
      </w:r>
      <w:r w:rsidRPr="001719F7">
        <w:rPr>
          <w:color w:val="auto"/>
          <w:sz w:val="22"/>
          <w:szCs w:val="22"/>
        </w:rPr>
        <w:t>, o výměře 241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, ostatní </w:t>
      </w:r>
      <w:r w:rsidR="00FE583E">
        <w:rPr>
          <w:color w:val="auto"/>
          <w:sz w:val="22"/>
          <w:szCs w:val="22"/>
        </w:rPr>
        <w:t>plocha</w:t>
      </w:r>
    </w:p>
    <w:p w14:paraId="36816739" w14:textId="77777777" w:rsidR="00105C23" w:rsidRPr="001719F7" w:rsidRDefault="00105C23" w:rsidP="009307C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681673A" w14:textId="595FF8AB" w:rsidR="00105C23" w:rsidRDefault="00105C23" w:rsidP="00467A4D">
      <w:pPr>
        <w:pStyle w:val="Default"/>
        <w:ind w:left="709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lastRenderedPageBreak/>
        <w:t>vše o celkové výměře 2.682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FF0000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>vše v </w:t>
      </w:r>
      <w:proofErr w:type="spellStart"/>
      <w:r w:rsidRPr="001719F7">
        <w:rPr>
          <w:color w:val="auto"/>
          <w:sz w:val="22"/>
          <w:szCs w:val="22"/>
        </w:rPr>
        <w:t>k.ú</w:t>
      </w:r>
      <w:proofErr w:type="spellEnd"/>
      <w:r w:rsidRPr="001719F7">
        <w:rPr>
          <w:color w:val="auto"/>
          <w:sz w:val="22"/>
          <w:szCs w:val="22"/>
        </w:rPr>
        <w:t>. Přerov</w:t>
      </w:r>
      <w:r w:rsidR="00FE583E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>zapsané na LV č. 15829 u Katastrálního úřadu pro Olomoucký kraj, Katastrální pracoviště Přerov. Celková výměra všech shora uvedených pozemků činí 4.999 m</w:t>
      </w:r>
      <w:proofErr w:type="gramStart"/>
      <w:r w:rsidRPr="001719F7">
        <w:rPr>
          <w:color w:val="auto"/>
          <w:sz w:val="22"/>
          <w:szCs w:val="22"/>
          <w:vertAlign w:val="superscript"/>
        </w:rPr>
        <w:t>2</w:t>
      </w:r>
      <w:r w:rsidRPr="00467A4D">
        <w:rPr>
          <w:color w:val="auto"/>
          <w:sz w:val="22"/>
          <w:szCs w:val="22"/>
        </w:rPr>
        <w:t xml:space="preserve"> </w:t>
      </w:r>
      <w:r w:rsidR="00467A4D" w:rsidRPr="00467A4D">
        <w:rPr>
          <w:color w:val="auto"/>
          <w:sz w:val="22"/>
          <w:szCs w:val="22"/>
        </w:rPr>
        <w:t>.</w:t>
      </w:r>
      <w:proofErr w:type="gramEnd"/>
    </w:p>
    <w:p w14:paraId="51D3945B" w14:textId="3CEF57E7" w:rsidR="00357B5B" w:rsidRDefault="00357B5B" w:rsidP="00467A4D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599DF428" w14:textId="05F02908" w:rsidR="004B22A6" w:rsidRPr="00FD7497" w:rsidRDefault="00B06D8A" w:rsidP="00BD6BE4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</w:rPr>
      </w:pPr>
      <w:r w:rsidRPr="00FD7497">
        <w:rPr>
          <w:color w:val="auto"/>
          <w:sz w:val="22"/>
          <w:szCs w:val="22"/>
        </w:rPr>
        <w:t>Sml</w:t>
      </w:r>
      <w:r w:rsidR="00C03A18" w:rsidRPr="00FD7497">
        <w:rPr>
          <w:color w:val="auto"/>
          <w:sz w:val="22"/>
          <w:szCs w:val="22"/>
        </w:rPr>
        <w:t xml:space="preserve">uvní strany berou na vědomí, že v období od 7.7.2021 do </w:t>
      </w:r>
      <w:r w:rsidR="0064588B" w:rsidRPr="00FD7497">
        <w:rPr>
          <w:color w:val="auto"/>
          <w:sz w:val="22"/>
          <w:szCs w:val="22"/>
        </w:rPr>
        <w:t>30.11.2021 proběhne oprava</w:t>
      </w:r>
      <w:r w:rsidR="004B22A6" w:rsidRPr="00FD7497">
        <w:rPr>
          <w:sz w:val="22"/>
          <w:szCs w:val="22"/>
        </w:rPr>
        <w:t xml:space="preserve"> mostu </w:t>
      </w:r>
      <w:proofErr w:type="spellStart"/>
      <w:r w:rsidR="004B22A6" w:rsidRPr="00FD7497">
        <w:rPr>
          <w:sz w:val="22"/>
          <w:szCs w:val="22"/>
        </w:rPr>
        <w:t>ev.č</w:t>
      </w:r>
      <w:proofErr w:type="spellEnd"/>
      <w:r w:rsidR="004B22A6" w:rsidRPr="00FD7497">
        <w:rPr>
          <w:sz w:val="22"/>
          <w:szCs w:val="22"/>
        </w:rPr>
        <w:t>. 04724-2 na</w:t>
      </w:r>
      <w:r w:rsidR="0064588B" w:rsidRPr="00FD7497">
        <w:rPr>
          <w:color w:val="auto"/>
          <w:sz w:val="22"/>
          <w:szCs w:val="22"/>
        </w:rPr>
        <w:t xml:space="preserve"> </w:t>
      </w:r>
      <w:r w:rsidR="004B22A6" w:rsidRPr="00FD7497">
        <w:rPr>
          <w:sz w:val="22"/>
          <w:szCs w:val="22"/>
        </w:rPr>
        <w:t xml:space="preserve">krajské sil. III/04724 v ul. </w:t>
      </w:r>
      <w:proofErr w:type="spellStart"/>
      <w:r w:rsidR="004B22A6" w:rsidRPr="00FD7497">
        <w:rPr>
          <w:sz w:val="22"/>
          <w:szCs w:val="22"/>
        </w:rPr>
        <w:t>Osmek</w:t>
      </w:r>
      <w:proofErr w:type="spellEnd"/>
      <w:r w:rsidR="004B22A6" w:rsidRPr="00FD7497">
        <w:rPr>
          <w:sz w:val="22"/>
          <w:szCs w:val="22"/>
        </w:rPr>
        <w:t>, Přerov</w:t>
      </w:r>
      <w:r w:rsidR="00D0435A">
        <w:rPr>
          <w:sz w:val="22"/>
          <w:szCs w:val="22"/>
        </w:rPr>
        <w:t>, jejímž investorem je Olomoucký kraj</w:t>
      </w:r>
      <w:r w:rsidR="00440909">
        <w:rPr>
          <w:sz w:val="22"/>
          <w:szCs w:val="22"/>
        </w:rPr>
        <w:t>. Tato oprava</w:t>
      </w:r>
      <w:r w:rsidR="004B22A6" w:rsidRPr="00FD7497">
        <w:rPr>
          <w:sz w:val="22"/>
          <w:szCs w:val="22"/>
        </w:rPr>
        <w:t xml:space="preserve"> si vyžádá</w:t>
      </w:r>
      <w:r w:rsidR="00FD7497" w:rsidRPr="00FD7497">
        <w:rPr>
          <w:sz w:val="22"/>
          <w:szCs w:val="22"/>
        </w:rPr>
        <w:t xml:space="preserve"> </w:t>
      </w:r>
      <w:r w:rsidR="004B22A6" w:rsidRPr="00FD7497">
        <w:rPr>
          <w:sz w:val="22"/>
          <w:szCs w:val="22"/>
        </w:rPr>
        <w:t>úplnou uzavírku</w:t>
      </w:r>
      <w:r w:rsidR="00440909">
        <w:rPr>
          <w:sz w:val="22"/>
          <w:szCs w:val="22"/>
        </w:rPr>
        <w:t xml:space="preserve"> mostu</w:t>
      </w:r>
      <w:r w:rsidR="00FD7497" w:rsidRPr="00FD7497">
        <w:rPr>
          <w:sz w:val="22"/>
          <w:szCs w:val="22"/>
        </w:rPr>
        <w:t>, čímž bude znemožněn průjezd na ulici Velká Dlážka a Za Mlýnem.</w:t>
      </w:r>
    </w:p>
    <w:p w14:paraId="42FB3C62" w14:textId="7A66D5DB" w:rsidR="004B22A6" w:rsidRDefault="004B22A6" w:rsidP="00FD7497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56272A11" w14:textId="77777777" w:rsidR="00AC1152" w:rsidRPr="00FD7497" w:rsidRDefault="00AC1152" w:rsidP="00FD7497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1486451C" w14:textId="45C8A040" w:rsidR="00FD7497" w:rsidRDefault="00FD7497" w:rsidP="00AC115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</w:t>
      </w:r>
    </w:p>
    <w:p w14:paraId="2BA35E58" w14:textId="35CABC13" w:rsidR="00357B5B" w:rsidRPr="004B22A6" w:rsidRDefault="00357B5B" w:rsidP="002E6B74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4B22A6">
        <w:rPr>
          <w:b/>
          <w:bCs/>
          <w:color w:val="auto"/>
          <w:sz w:val="22"/>
          <w:szCs w:val="22"/>
        </w:rPr>
        <w:t xml:space="preserve">Předmět </w:t>
      </w:r>
      <w:r w:rsidR="00AB07FC">
        <w:rPr>
          <w:b/>
          <w:bCs/>
          <w:color w:val="auto"/>
          <w:sz w:val="22"/>
          <w:szCs w:val="22"/>
        </w:rPr>
        <w:t xml:space="preserve">a účel </w:t>
      </w:r>
      <w:r w:rsidRPr="004B22A6">
        <w:rPr>
          <w:b/>
          <w:bCs/>
          <w:color w:val="auto"/>
          <w:sz w:val="22"/>
          <w:szCs w:val="22"/>
        </w:rPr>
        <w:t>zvláštního užívání</w:t>
      </w:r>
    </w:p>
    <w:p w14:paraId="3681673C" w14:textId="2CD997CD" w:rsidR="00105C23" w:rsidRPr="001719F7" w:rsidRDefault="00105C23" w:rsidP="00243691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Předmětem užívání podle této Dohody jsou výše uvedené pozemky, nebo jejich část</w:t>
      </w:r>
      <w:r w:rsidR="000D1CB1">
        <w:rPr>
          <w:color w:val="auto"/>
          <w:sz w:val="22"/>
          <w:szCs w:val="22"/>
        </w:rPr>
        <w:t>í</w:t>
      </w:r>
      <w:r w:rsidRPr="001719F7">
        <w:rPr>
          <w:color w:val="auto"/>
          <w:sz w:val="22"/>
          <w:szCs w:val="22"/>
        </w:rPr>
        <w:t xml:space="preserve"> o výměře:</w:t>
      </w:r>
    </w:p>
    <w:p w14:paraId="3681673D" w14:textId="77777777" w:rsidR="00105C23" w:rsidRPr="001719F7" w:rsidRDefault="00105C23" w:rsidP="007A3BFB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6752/78</w:t>
      </w:r>
      <w:r w:rsidRPr="001719F7">
        <w:rPr>
          <w:color w:val="auto"/>
          <w:sz w:val="22"/>
          <w:szCs w:val="22"/>
        </w:rPr>
        <w:tab/>
        <w:t>1031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>NORSOL s.r.o.</w:t>
      </w:r>
    </w:p>
    <w:p w14:paraId="3681673E" w14:textId="77777777" w:rsidR="00105C23" w:rsidRPr="001719F7" w:rsidRDefault="00105C23" w:rsidP="007A3BFB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6850/3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 xml:space="preserve">    86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>NORSOL s.r.o.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>část</w:t>
      </w:r>
    </w:p>
    <w:p w14:paraId="3681673F" w14:textId="77777777" w:rsidR="00105C23" w:rsidRPr="001719F7" w:rsidRDefault="00105C23" w:rsidP="007A3BFB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6752/75</w:t>
      </w:r>
      <w:proofErr w:type="gramStart"/>
      <w:r w:rsidRPr="001719F7">
        <w:rPr>
          <w:color w:val="auto"/>
          <w:sz w:val="22"/>
          <w:szCs w:val="22"/>
        </w:rPr>
        <w:tab/>
        <w:t xml:space="preserve">  605</w:t>
      </w:r>
      <w:proofErr w:type="gramEnd"/>
      <w:r w:rsidRPr="001719F7">
        <w:rPr>
          <w:color w:val="auto"/>
          <w:sz w:val="22"/>
          <w:szCs w:val="22"/>
        </w:rPr>
        <w:t xml:space="preserve">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NORSOL s.r.o. + EMOS </w:t>
      </w:r>
      <w:proofErr w:type="spellStart"/>
      <w:r w:rsidRPr="001719F7">
        <w:rPr>
          <w:color w:val="auto"/>
          <w:sz w:val="22"/>
          <w:szCs w:val="22"/>
        </w:rPr>
        <w:t>property</w:t>
      </w:r>
      <w:proofErr w:type="spellEnd"/>
      <w:r w:rsidRPr="001719F7">
        <w:rPr>
          <w:color w:val="auto"/>
          <w:sz w:val="22"/>
          <w:szCs w:val="22"/>
        </w:rPr>
        <w:t xml:space="preserve"> s.r.o.</w:t>
      </w:r>
      <w:r w:rsidRPr="001719F7">
        <w:rPr>
          <w:color w:val="auto"/>
          <w:sz w:val="22"/>
          <w:szCs w:val="22"/>
        </w:rPr>
        <w:tab/>
        <w:t>část</w:t>
      </w:r>
    </w:p>
    <w:p w14:paraId="36816740" w14:textId="77777777" w:rsidR="00105C23" w:rsidRPr="001719F7" w:rsidRDefault="00105C23" w:rsidP="007A3BFB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6749/16</w:t>
      </w:r>
      <w:proofErr w:type="gramStart"/>
      <w:r w:rsidRPr="001719F7">
        <w:rPr>
          <w:color w:val="auto"/>
          <w:sz w:val="22"/>
          <w:szCs w:val="22"/>
        </w:rPr>
        <w:tab/>
        <w:t xml:space="preserve">  593</w:t>
      </w:r>
      <w:proofErr w:type="gramEnd"/>
      <w:r w:rsidRPr="001719F7">
        <w:rPr>
          <w:color w:val="auto"/>
          <w:sz w:val="22"/>
          <w:szCs w:val="22"/>
        </w:rPr>
        <w:t xml:space="preserve">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NORSOL s.r.o. + EMOS </w:t>
      </w:r>
      <w:proofErr w:type="spellStart"/>
      <w:r w:rsidRPr="001719F7">
        <w:rPr>
          <w:color w:val="auto"/>
          <w:sz w:val="22"/>
          <w:szCs w:val="22"/>
        </w:rPr>
        <w:t>property</w:t>
      </w:r>
      <w:proofErr w:type="spellEnd"/>
      <w:r w:rsidRPr="001719F7">
        <w:rPr>
          <w:color w:val="auto"/>
          <w:sz w:val="22"/>
          <w:szCs w:val="22"/>
        </w:rPr>
        <w:t xml:space="preserve"> s.r.o.</w:t>
      </w:r>
    </w:p>
    <w:p w14:paraId="36816741" w14:textId="77777777" w:rsidR="00105C23" w:rsidRPr="001719F7" w:rsidRDefault="00105C23" w:rsidP="00F4031C">
      <w:pPr>
        <w:pStyle w:val="Default"/>
        <w:ind w:left="720"/>
        <w:jc w:val="both"/>
        <w:rPr>
          <w:color w:val="auto"/>
          <w:sz w:val="22"/>
          <w:szCs w:val="22"/>
          <w:u w:val="single"/>
        </w:rPr>
      </w:pPr>
      <w:r w:rsidRPr="001719F7">
        <w:rPr>
          <w:color w:val="auto"/>
          <w:sz w:val="22"/>
          <w:szCs w:val="22"/>
          <w:u w:val="single"/>
        </w:rPr>
        <w:t>6747/1</w:t>
      </w:r>
      <w:r w:rsidRPr="001719F7">
        <w:rPr>
          <w:color w:val="auto"/>
          <w:sz w:val="22"/>
          <w:szCs w:val="22"/>
          <w:u w:val="single"/>
        </w:rPr>
        <w:tab/>
      </w:r>
      <w:proofErr w:type="gramStart"/>
      <w:r w:rsidRPr="001719F7">
        <w:rPr>
          <w:color w:val="auto"/>
          <w:sz w:val="22"/>
          <w:szCs w:val="22"/>
          <w:u w:val="single"/>
        </w:rPr>
        <w:tab/>
        <w:t xml:space="preserve">  241</w:t>
      </w:r>
      <w:proofErr w:type="gramEnd"/>
      <w:r w:rsidRPr="001719F7">
        <w:rPr>
          <w:color w:val="auto"/>
          <w:sz w:val="22"/>
          <w:szCs w:val="22"/>
          <w:u w:val="single"/>
        </w:rPr>
        <w:t xml:space="preserve"> m</w:t>
      </w:r>
      <w:r w:rsidRPr="001719F7">
        <w:rPr>
          <w:color w:val="auto"/>
          <w:sz w:val="22"/>
          <w:szCs w:val="22"/>
          <w:u w:val="single"/>
          <w:vertAlign w:val="superscript"/>
        </w:rPr>
        <w:t>2</w:t>
      </w:r>
      <w:r w:rsidRPr="001719F7">
        <w:rPr>
          <w:color w:val="auto"/>
          <w:sz w:val="22"/>
          <w:szCs w:val="22"/>
          <w:u w:val="single"/>
        </w:rPr>
        <w:t xml:space="preserve"> </w:t>
      </w:r>
      <w:r w:rsidRPr="001719F7">
        <w:rPr>
          <w:color w:val="auto"/>
          <w:sz w:val="22"/>
          <w:szCs w:val="22"/>
          <w:u w:val="single"/>
        </w:rPr>
        <w:tab/>
        <w:t xml:space="preserve">NORSOL s.r.o. + EMOS </w:t>
      </w:r>
      <w:proofErr w:type="spellStart"/>
      <w:r w:rsidRPr="001719F7">
        <w:rPr>
          <w:color w:val="auto"/>
          <w:sz w:val="22"/>
          <w:szCs w:val="22"/>
          <w:u w:val="single"/>
        </w:rPr>
        <w:t>property</w:t>
      </w:r>
      <w:proofErr w:type="spellEnd"/>
      <w:r w:rsidRPr="001719F7">
        <w:rPr>
          <w:color w:val="auto"/>
          <w:sz w:val="22"/>
          <w:szCs w:val="22"/>
          <w:u w:val="single"/>
        </w:rPr>
        <w:t xml:space="preserve"> s.r.o.</w:t>
      </w:r>
    </w:p>
    <w:p w14:paraId="36816742" w14:textId="77777777" w:rsidR="00105C23" w:rsidRPr="001719F7" w:rsidRDefault="00105C23" w:rsidP="00F4031C">
      <w:pPr>
        <w:pStyle w:val="Default"/>
        <w:ind w:left="720"/>
        <w:jc w:val="both"/>
        <w:rPr>
          <w:b/>
          <w:color w:val="auto"/>
          <w:sz w:val="22"/>
          <w:szCs w:val="22"/>
        </w:rPr>
      </w:pPr>
      <w:r w:rsidRPr="001719F7">
        <w:rPr>
          <w:b/>
          <w:color w:val="auto"/>
          <w:sz w:val="22"/>
          <w:szCs w:val="22"/>
        </w:rPr>
        <w:t>Celkem          2556 m</w:t>
      </w:r>
      <w:r w:rsidRPr="001719F7">
        <w:rPr>
          <w:b/>
          <w:color w:val="auto"/>
          <w:sz w:val="22"/>
          <w:szCs w:val="22"/>
          <w:vertAlign w:val="superscript"/>
        </w:rPr>
        <w:t>2</w:t>
      </w:r>
    </w:p>
    <w:p w14:paraId="36816743" w14:textId="77777777" w:rsidR="00105C23" w:rsidRDefault="00105C23" w:rsidP="004306B9">
      <w:pPr>
        <w:pStyle w:val="Default"/>
        <w:ind w:left="720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(dále jen „pozemky“).</w:t>
      </w:r>
    </w:p>
    <w:p w14:paraId="36816744" w14:textId="02C8263B" w:rsidR="004306B9" w:rsidRDefault="004306B9" w:rsidP="004306B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192B611" w14:textId="1F1B61EC" w:rsidR="00C06DF4" w:rsidRPr="001719F7" w:rsidRDefault="00C06DF4" w:rsidP="005A5D5B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Uživatel prohlašuje, že</w:t>
      </w:r>
      <w:r w:rsidRPr="001719F7">
        <w:rPr>
          <w:color w:val="auto"/>
          <w:sz w:val="22"/>
          <w:szCs w:val="22"/>
        </w:rPr>
        <w:t xml:space="preserve"> účelem </w:t>
      </w:r>
      <w:r w:rsidR="00AB07FC">
        <w:rPr>
          <w:color w:val="auto"/>
          <w:sz w:val="22"/>
          <w:szCs w:val="22"/>
        </w:rPr>
        <w:t xml:space="preserve">užívání pozemků je </w:t>
      </w:r>
      <w:r w:rsidRPr="001719F7">
        <w:rPr>
          <w:color w:val="auto"/>
          <w:sz w:val="22"/>
          <w:szCs w:val="22"/>
        </w:rPr>
        <w:t>zřízen</w:t>
      </w:r>
      <w:r w:rsidR="00AB07FC">
        <w:rPr>
          <w:color w:val="auto"/>
          <w:sz w:val="22"/>
          <w:szCs w:val="22"/>
        </w:rPr>
        <w:t>í</w:t>
      </w:r>
      <w:r w:rsidRPr="001719F7">
        <w:rPr>
          <w:color w:val="auto"/>
          <w:sz w:val="22"/>
          <w:szCs w:val="22"/>
        </w:rPr>
        <w:t xml:space="preserve"> a </w:t>
      </w:r>
      <w:r w:rsidR="00AC1152">
        <w:rPr>
          <w:color w:val="auto"/>
          <w:sz w:val="22"/>
          <w:szCs w:val="22"/>
        </w:rPr>
        <w:t>z</w:t>
      </w:r>
      <w:r w:rsidRPr="001719F7">
        <w:rPr>
          <w:color w:val="auto"/>
          <w:sz w:val="22"/>
          <w:szCs w:val="22"/>
        </w:rPr>
        <w:t>realizovan</w:t>
      </w:r>
      <w:r w:rsidR="005A5D5B">
        <w:rPr>
          <w:color w:val="auto"/>
          <w:sz w:val="22"/>
          <w:szCs w:val="22"/>
        </w:rPr>
        <w:t>í</w:t>
      </w:r>
      <w:r w:rsidRPr="001719F7">
        <w:rPr>
          <w:color w:val="auto"/>
          <w:sz w:val="22"/>
          <w:szCs w:val="22"/>
        </w:rPr>
        <w:t xml:space="preserve"> objížďky </w:t>
      </w:r>
      <w:r>
        <w:rPr>
          <w:color w:val="auto"/>
          <w:sz w:val="22"/>
          <w:szCs w:val="22"/>
        </w:rPr>
        <w:t>p</w:t>
      </w:r>
      <w:r w:rsidRPr="001719F7">
        <w:rPr>
          <w:color w:val="auto"/>
          <w:sz w:val="22"/>
          <w:szCs w:val="22"/>
        </w:rPr>
        <w:t xml:space="preserve">ro vozidla do 3,5 </w:t>
      </w:r>
      <w:r>
        <w:rPr>
          <w:color w:val="auto"/>
          <w:sz w:val="22"/>
          <w:szCs w:val="22"/>
        </w:rPr>
        <w:t>t</w:t>
      </w:r>
      <w:r w:rsidRPr="001719F7">
        <w:rPr>
          <w:color w:val="auto"/>
          <w:sz w:val="22"/>
          <w:szCs w:val="22"/>
        </w:rPr>
        <w:t xml:space="preserve"> ve smyslu § 24 zákona č. 13/1997 Sb. o pozemních komunikacích, tj. </w:t>
      </w:r>
      <w:r w:rsidRPr="001719F7">
        <w:rPr>
          <w:b/>
          <w:color w:val="auto"/>
          <w:sz w:val="22"/>
          <w:szCs w:val="22"/>
        </w:rPr>
        <w:t>za účelem průjezdu areálem Výstaviště Přerov z důvodu propojení ulic „U Žebračky</w:t>
      </w:r>
      <w:r w:rsidR="005A5D5B">
        <w:rPr>
          <w:b/>
          <w:color w:val="auto"/>
          <w:sz w:val="22"/>
          <w:szCs w:val="22"/>
        </w:rPr>
        <w:t xml:space="preserve">, </w:t>
      </w:r>
      <w:proofErr w:type="spellStart"/>
      <w:r w:rsidR="005A5D5B">
        <w:rPr>
          <w:b/>
          <w:color w:val="auto"/>
          <w:sz w:val="22"/>
          <w:szCs w:val="22"/>
        </w:rPr>
        <w:t>Osmek</w:t>
      </w:r>
      <w:proofErr w:type="spellEnd"/>
      <w:r w:rsidRPr="001719F7">
        <w:rPr>
          <w:b/>
          <w:color w:val="auto"/>
          <w:sz w:val="22"/>
          <w:szCs w:val="22"/>
        </w:rPr>
        <w:t>“ a „U Výstaviště“</w:t>
      </w:r>
      <w:r w:rsidRPr="001719F7">
        <w:rPr>
          <w:color w:val="auto"/>
          <w:sz w:val="22"/>
          <w:szCs w:val="22"/>
        </w:rPr>
        <w:t>.</w:t>
      </w:r>
    </w:p>
    <w:p w14:paraId="045F8AEA" w14:textId="77777777" w:rsidR="00C06DF4" w:rsidRPr="001719F7" w:rsidRDefault="00C06DF4" w:rsidP="00C06DF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36F68F1" w14:textId="6060D33A" w:rsidR="00C06DF4" w:rsidRDefault="00C06DF4" w:rsidP="009730BB">
      <w:pPr>
        <w:pStyle w:val="Default"/>
        <w:ind w:left="426"/>
        <w:jc w:val="center"/>
        <w:rPr>
          <w:color w:val="auto"/>
          <w:sz w:val="22"/>
          <w:szCs w:val="22"/>
        </w:rPr>
      </w:pPr>
    </w:p>
    <w:p w14:paraId="36816747" w14:textId="4D61873C" w:rsidR="00105C23" w:rsidRPr="001719F7" w:rsidRDefault="00AC1152" w:rsidP="00AC11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105C23" w:rsidRPr="001719F7">
        <w:rPr>
          <w:b/>
          <w:bCs/>
          <w:color w:val="auto"/>
          <w:sz w:val="22"/>
          <w:szCs w:val="22"/>
        </w:rPr>
        <w:t>II.</w:t>
      </w:r>
    </w:p>
    <w:p w14:paraId="36816748" w14:textId="464BB771" w:rsidR="00105C23" w:rsidRDefault="00105C23" w:rsidP="002E6B74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1719F7">
        <w:rPr>
          <w:b/>
          <w:bCs/>
          <w:color w:val="auto"/>
          <w:sz w:val="22"/>
          <w:szCs w:val="22"/>
        </w:rPr>
        <w:t xml:space="preserve">Doba trvání </w:t>
      </w:r>
    </w:p>
    <w:p w14:paraId="1E1E4874" w14:textId="4F57412A" w:rsidR="000E0C06" w:rsidRPr="009730BB" w:rsidRDefault="00105C23" w:rsidP="002E6B74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Smluvní strany se dohodly na tom, že uživatel bude užívat </w:t>
      </w:r>
      <w:r w:rsidR="004A1A1D">
        <w:rPr>
          <w:color w:val="auto"/>
          <w:sz w:val="22"/>
          <w:szCs w:val="22"/>
        </w:rPr>
        <w:t xml:space="preserve">pozemky </w:t>
      </w:r>
      <w:r w:rsidRPr="001719F7">
        <w:rPr>
          <w:color w:val="auto"/>
          <w:sz w:val="22"/>
          <w:szCs w:val="22"/>
        </w:rPr>
        <w:t xml:space="preserve">výhradně za účelem </w:t>
      </w:r>
      <w:r w:rsidR="00E063A2">
        <w:rPr>
          <w:color w:val="auto"/>
          <w:sz w:val="22"/>
          <w:szCs w:val="22"/>
        </w:rPr>
        <w:t>uvedeným v čl. II. odst. 2. této Dohody</w:t>
      </w:r>
      <w:r w:rsidRPr="001719F7">
        <w:rPr>
          <w:color w:val="auto"/>
          <w:sz w:val="22"/>
          <w:szCs w:val="22"/>
        </w:rPr>
        <w:t xml:space="preserve"> </w:t>
      </w:r>
      <w:r w:rsidR="004A1A1D">
        <w:rPr>
          <w:color w:val="auto"/>
          <w:sz w:val="22"/>
          <w:szCs w:val="22"/>
        </w:rPr>
        <w:t xml:space="preserve">po </w:t>
      </w:r>
      <w:r w:rsidRPr="001719F7">
        <w:rPr>
          <w:color w:val="auto"/>
          <w:sz w:val="22"/>
          <w:szCs w:val="22"/>
        </w:rPr>
        <w:t xml:space="preserve">dobu určitou, a to </w:t>
      </w:r>
      <w:r w:rsidR="004A1A1D">
        <w:rPr>
          <w:b/>
          <w:color w:val="auto"/>
          <w:sz w:val="22"/>
          <w:szCs w:val="22"/>
          <w:u w:val="single"/>
        </w:rPr>
        <w:t>od</w:t>
      </w:r>
      <w:r w:rsidRPr="001719F7">
        <w:rPr>
          <w:b/>
          <w:color w:val="auto"/>
          <w:sz w:val="22"/>
          <w:szCs w:val="22"/>
          <w:u w:val="single"/>
        </w:rPr>
        <w:t xml:space="preserve"> </w:t>
      </w:r>
      <w:r w:rsidR="004A1A1D">
        <w:rPr>
          <w:b/>
          <w:color w:val="auto"/>
          <w:sz w:val="22"/>
          <w:szCs w:val="22"/>
          <w:u w:val="single"/>
        </w:rPr>
        <w:t>6.7</w:t>
      </w:r>
      <w:r w:rsidRPr="001719F7">
        <w:rPr>
          <w:b/>
          <w:color w:val="auto"/>
          <w:sz w:val="22"/>
          <w:szCs w:val="22"/>
          <w:u w:val="single"/>
        </w:rPr>
        <w:t>.20</w:t>
      </w:r>
      <w:r w:rsidR="004A1A1D">
        <w:rPr>
          <w:b/>
          <w:color w:val="auto"/>
          <w:sz w:val="22"/>
          <w:szCs w:val="22"/>
          <w:u w:val="single"/>
        </w:rPr>
        <w:t xml:space="preserve">21 do </w:t>
      </w:r>
      <w:r w:rsidR="0062618F">
        <w:rPr>
          <w:b/>
          <w:color w:val="auto"/>
          <w:sz w:val="22"/>
          <w:szCs w:val="22"/>
          <w:u w:val="single"/>
        </w:rPr>
        <w:t xml:space="preserve">dne, který </w:t>
      </w:r>
      <w:r w:rsidR="003413D1">
        <w:rPr>
          <w:b/>
          <w:color w:val="auto"/>
          <w:sz w:val="22"/>
          <w:szCs w:val="22"/>
          <w:u w:val="single"/>
        </w:rPr>
        <w:t>označí uživatel jako konečný</w:t>
      </w:r>
      <w:r w:rsidR="009D34EF">
        <w:rPr>
          <w:b/>
          <w:color w:val="auto"/>
          <w:sz w:val="22"/>
          <w:szCs w:val="22"/>
          <w:u w:val="single"/>
        </w:rPr>
        <w:t>, nejpozději však do 30.11.2021.</w:t>
      </w:r>
      <w:r w:rsidR="0062618F">
        <w:rPr>
          <w:b/>
          <w:color w:val="auto"/>
          <w:sz w:val="22"/>
          <w:szCs w:val="22"/>
          <w:u w:val="single"/>
        </w:rPr>
        <w:t xml:space="preserve"> </w:t>
      </w:r>
    </w:p>
    <w:p w14:paraId="616BB9B4" w14:textId="77777777" w:rsidR="009730BB" w:rsidRPr="000E0C06" w:rsidRDefault="009730BB" w:rsidP="009730BB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91B312A" w14:textId="7CC0193C" w:rsidR="000E0C06" w:rsidRDefault="000E0C06" w:rsidP="002E6B74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Uživatel </w:t>
      </w:r>
      <w:r w:rsidR="00570BCB">
        <w:rPr>
          <w:color w:val="auto"/>
          <w:sz w:val="22"/>
          <w:szCs w:val="22"/>
        </w:rPr>
        <w:t xml:space="preserve">oznámí </w:t>
      </w:r>
      <w:r w:rsidR="00077042">
        <w:rPr>
          <w:color w:val="auto"/>
          <w:sz w:val="22"/>
          <w:szCs w:val="22"/>
        </w:rPr>
        <w:t xml:space="preserve">termín </w:t>
      </w:r>
      <w:r w:rsidR="00570BCB">
        <w:rPr>
          <w:color w:val="auto"/>
          <w:sz w:val="22"/>
          <w:szCs w:val="22"/>
        </w:rPr>
        <w:t>ukončení</w:t>
      </w:r>
      <w:r w:rsidR="00BA37BC">
        <w:rPr>
          <w:color w:val="auto"/>
          <w:sz w:val="22"/>
          <w:szCs w:val="22"/>
        </w:rPr>
        <w:t xml:space="preserve"> </w:t>
      </w:r>
      <w:r w:rsidR="00570BCB">
        <w:rPr>
          <w:color w:val="auto"/>
          <w:sz w:val="22"/>
          <w:szCs w:val="22"/>
        </w:rPr>
        <w:t xml:space="preserve">užívání </w:t>
      </w:r>
      <w:r w:rsidR="00BA37BC">
        <w:rPr>
          <w:color w:val="auto"/>
          <w:sz w:val="22"/>
          <w:szCs w:val="22"/>
        </w:rPr>
        <w:t xml:space="preserve">pozemků a uvede </w:t>
      </w:r>
      <w:r w:rsidR="00077042">
        <w:rPr>
          <w:color w:val="auto"/>
          <w:sz w:val="22"/>
          <w:szCs w:val="22"/>
        </w:rPr>
        <w:t xml:space="preserve">konkrétní </w:t>
      </w:r>
      <w:r w:rsidR="00BA37BC">
        <w:rPr>
          <w:color w:val="auto"/>
          <w:sz w:val="22"/>
          <w:szCs w:val="22"/>
        </w:rPr>
        <w:t xml:space="preserve">den ukončení této Dohody v písemném sdělení, které zašle </w:t>
      </w:r>
      <w:r w:rsidR="007D77F5">
        <w:rPr>
          <w:color w:val="auto"/>
          <w:sz w:val="22"/>
          <w:szCs w:val="22"/>
        </w:rPr>
        <w:t>poskytovateli 1 a 2 nejpozději 7 kalendářních dní před</w:t>
      </w:r>
      <w:r w:rsidR="00077042">
        <w:rPr>
          <w:color w:val="auto"/>
          <w:sz w:val="22"/>
          <w:szCs w:val="22"/>
        </w:rPr>
        <w:t xml:space="preserve"> požadovaným termínem ukončení užívání pozemků. </w:t>
      </w:r>
    </w:p>
    <w:p w14:paraId="709513BF" w14:textId="77777777" w:rsidR="009730BB" w:rsidRPr="000E0C06" w:rsidRDefault="009730BB" w:rsidP="009730BB">
      <w:pPr>
        <w:pStyle w:val="Default"/>
        <w:jc w:val="both"/>
        <w:rPr>
          <w:color w:val="auto"/>
          <w:sz w:val="22"/>
          <w:szCs w:val="22"/>
        </w:rPr>
      </w:pPr>
    </w:p>
    <w:p w14:paraId="3681674C" w14:textId="1FED02A9" w:rsidR="00105C23" w:rsidRDefault="006C19EC" w:rsidP="00D3711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334348">
        <w:rPr>
          <w:color w:val="auto"/>
          <w:sz w:val="22"/>
          <w:szCs w:val="22"/>
        </w:rPr>
        <w:t>Uživatel je oprávněn užívat pozemky</w:t>
      </w:r>
      <w:r w:rsidR="00334348" w:rsidRPr="00334348">
        <w:rPr>
          <w:color w:val="auto"/>
          <w:sz w:val="22"/>
          <w:szCs w:val="22"/>
        </w:rPr>
        <w:t xml:space="preserve"> pouze ve dnech</w:t>
      </w:r>
      <w:r w:rsidR="00DE394B">
        <w:rPr>
          <w:color w:val="auto"/>
          <w:sz w:val="22"/>
          <w:szCs w:val="22"/>
        </w:rPr>
        <w:t xml:space="preserve"> a časech</w:t>
      </w:r>
      <w:r w:rsidR="00334348" w:rsidRPr="00334348">
        <w:rPr>
          <w:color w:val="auto"/>
          <w:sz w:val="22"/>
          <w:szCs w:val="22"/>
        </w:rPr>
        <w:t xml:space="preserve"> mimo </w:t>
      </w:r>
      <w:r w:rsidR="00105C23" w:rsidRPr="00334348">
        <w:rPr>
          <w:color w:val="auto"/>
          <w:sz w:val="22"/>
          <w:szCs w:val="22"/>
        </w:rPr>
        <w:t>naplánované akce na Výstavišti</w:t>
      </w:r>
      <w:r w:rsidR="002269B9">
        <w:rPr>
          <w:color w:val="auto"/>
          <w:sz w:val="22"/>
          <w:szCs w:val="22"/>
        </w:rPr>
        <w:t>.</w:t>
      </w:r>
      <w:r w:rsidR="00932FDC">
        <w:rPr>
          <w:color w:val="auto"/>
          <w:sz w:val="22"/>
          <w:szCs w:val="22"/>
        </w:rPr>
        <w:t xml:space="preserve"> </w:t>
      </w:r>
      <w:r w:rsidR="00CD0D13">
        <w:rPr>
          <w:color w:val="auto"/>
          <w:sz w:val="22"/>
          <w:szCs w:val="22"/>
        </w:rPr>
        <w:t xml:space="preserve">Seznam již naplánovaných akcí bude nedílnou součástí této smlouvy. </w:t>
      </w:r>
      <w:r w:rsidR="00DE394B">
        <w:rPr>
          <w:color w:val="auto"/>
          <w:sz w:val="22"/>
          <w:szCs w:val="22"/>
        </w:rPr>
        <w:t>Termíny akcí</w:t>
      </w:r>
      <w:r w:rsidR="00CD0D13">
        <w:rPr>
          <w:color w:val="auto"/>
          <w:sz w:val="22"/>
          <w:szCs w:val="22"/>
        </w:rPr>
        <w:t>, j</w:t>
      </w:r>
      <w:r w:rsidR="00475DDB">
        <w:rPr>
          <w:color w:val="auto"/>
          <w:sz w:val="22"/>
          <w:szCs w:val="22"/>
        </w:rPr>
        <w:t>ež budou naplánovány nad rámec S</w:t>
      </w:r>
      <w:r w:rsidR="00CD0D13">
        <w:rPr>
          <w:color w:val="auto"/>
          <w:sz w:val="22"/>
          <w:szCs w:val="22"/>
        </w:rPr>
        <w:t xml:space="preserve">eznamu, oznámí Poskytovatel vždy nejpozději 7 dní předem </w:t>
      </w:r>
      <w:r w:rsidR="00BD6110">
        <w:rPr>
          <w:color w:val="auto"/>
          <w:sz w:val="22"/>
          <w:szCs w:val="22"/>
        </w:rPr>
        <w:t>příslušnému radnímu pro dopravu Ing. Tomáši Navrátilovi</w:t>
      </w:r>
      <w:r w:rsidR="00CD0D13">
        <w:rPr>
          <w:color w:val="auto"/>
          <w:sz w:val="22"/>
          <w:szCs w:val="22"/>
        </w:rPr>
        <w:t>.</w:t>
      </w:r>
      <w:r w:rsidR="00BB3A58">
        <w:rPr>
          <w:color w:val="auto"/>
          <w:sz w:val="22"/>
          <w:szCs w:val="22"/>
        </w:rPr>
        <w:t xml:space="preserve"> </w:t>
      </w:r>
    </w:p>
    <w:p w14:paraId="593E50A4" w14:textId="77777777" w:rsidR="009730BB" w:rsidRPr="00334348" w:rsidRDefault="009730BB" w:rsidP="009730BB">
      <w:pPr>
        <w:pStyle w:val="Default"/>
        <w:jc w:val="both"/>
        <w:rPr>
          <w:color w:val="auto"/>
          <w:sz w:val="22"/>
          <w:szCs w:val="22"/>
        </w:rPr>
      </w:pPr>
    </w:p>
    <w:p w14:paraId="36816753" w14:textId="5FCDB273" w:rsidR="00105C23" w:rsidRPr="009730BB" w:rsidRDefault="00105C23" w:rsidP="009730BB">
      <w:pPr>
        <w:pStyle w:val="Default"/>
        <w:numPr>
          <w:ilvl w:val="0"/>
          <w:numId w:val="18"/>
        </w:numPr>
        <w:ind w:hanging="294"/>
        <w:jc w:val="both"/>
        <w:rPr>
          <w:color w:val="auto"/>
          <w:sz w:val="22"/>
          <w:szCs w:val="22"/>
        </w:rPr>
      </w:pPr>
      <w:r w:rsidRPr="009730BB">
        <w:rPr>
          <w:color w:val="auto"/>
          <w:sz w:val="22"/>
          <w:szCs w:val="22"/>
        </w:rPr>
        <w:t>Poskytovatelé 1 a 2 jsou oprávněni od uzavřené dohody odstoupit s okamžitou platností</w:t>
      </w:r>
      <w:r w:rsidR="009730BB">
        <w:rPr>
          <w:color w:val="auto"/>
          <w:sz w:val="22"/>
          <w:szCs w:val="22"/>
        </w:rPr>
        <w:t xml:space="preserve">, </w:t>
      </w:r>
      <w:r w:rsidRPr="009730BB">
        <w:rPr>
          <w:color w:val="auto"/>
          <w:sz w:val="22"/>
          <w:szCs w:val="22"/>
        </w:rPr>
        <w:t xml:space="preserve">jestliže uživatel i přes písemné upozornění poruší povinnosti uvedené v čl. V. této Dohody. </w:t>
      </w:r>
    </w:p>
    <w:p w14:paraId="36816754" w14:textId="77777777" w:rsidR="00105C23" w:rsidRPr="001719F7" w:rsidRDefault="00105C23" w:rsidP="002F57EB">
      <w:pPr>
        <w:pStyle w:val="Default"/>
        <w:rPr>
          <w:b/>
          <w:bCs/>
          <w:color w:val="auto"/>
          <w:sz w:val="22"/>
          <w:szCs w:val="22"/>
        </w:rPr>
      </w:pPr>
    </w:p>
    <w:p w14:paraId="36816755" w14:textId="77777777" w:rsidR="00105C23" w:rsidRPr="001719F7" w:rsidRDefault="00105C23" w:rsidP="00440A7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6816756" w14:textId="09E3FCAE" w:rsidR="00105C23" w:rsidRPr="001719F7" w:rsidRDefault="00105C23" w:rsidP="00440A76">
      <w:pPr>
        <w:pStyle w:val="Default"/>
        <w:jc w:val="center"/>
        <w:rPr>
          <w:color w:val="auto"/>
          <w:sz w:val="22"/>
          <w:szCs w:val="22"/>
        </w:rPr>
      </w:pPr>
      <w:r w:rsidRPr="001719F7">
        <w:rPr>
          <w:b/>
          <w:bCs/>
          <w:color w:val="auto"/>
          <w:sz w:val="22"/>
          <w:szCs w:val="22"/>
        </w:rPr>
        <w:t>I</w:t>
      </w:r>
      <w:r w:rsidR="009730BB">
        <w:rPr>
          <w:b/>
          <w:bCs/>
          <w:color w:val="auto"/>
          <w:sz w:val="22"/>
          <w:szCs w:val="22"/>
        </w:rPr>
        <w:t>V</w:t>
      </w:r>
      <w:r w:rsidRPr="001719F7">
        <w:rPr>
          <w:b/>
          <w:bCs/>
          <w:color w:val="auto"/>
          <w:sz w:val="22"/>
          <w:szCs w:val="22"/>
        </w:rPr>
        <w:t>.</w:t>
      </w:r>
    </w:p>
    <w:p w14:paraId="36816757" w14:textId="77777777" w:rsidR="00105C23" w:rsidRPr="001719F7" w:rsidRDefault="00105C23" w:rsidP="00C55F0A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1719F7">
        <w:rPr>
          <w:b/>
          <w:bCs/>
          <w:color w:val="auto"/>
          <w:sz w:val="22"/>
          <w:szCs w:val="22"/>
        </w:rPr>
        <w:t>Výše úplaty a její splatnost</w:t>
      </w:r>
    </w:p>
    <w:p w14:paraId="36816759" w14:textId="325F2759" w:rsidR="00105C23" w:rsidRPr="001719F7" w:rsidRDefault="00A6594C" w:rsidP="00053FD0">
      <w:pPr>
        <w:pStyle w:val="Default"/>
        <w:numPr>
          <w:ilvl w:val="0"/>
          <w:numId w:val="16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strany se dohodly</w:t>
      </w:r>
      <w:r w:rsidR="005D05CA">
        <w:rPr>
          <w:color w:val="auto"/>
          <w:sz w:val="22"/>
          <w:szCs w:val="22"/>
        </w:rPr>
        <w:t>, že za užívání pozemků bude uživatelem poskytovateli 1 a 2 uhrazena úplata v</w:t>
      </w:r>
      <w:r w:rsidR="00522ED6">
        <w:rPr>
          <w:color w:val="auto"/>
          <w:sz w:val="22"/>
          <w:szCs w:val="22"/>
        </w:rPr>
        <w:t xml:space="preserve"> souhrnné </w:t>
      </w:r>
      <w:r w:rsidR="005D05CA">
        <w:rPr>
          <w:color w:val="auto"/>
          <w:sz w:val="22"/>
          <w:szCs w:val="22"/>
        </w:rPr>
        <w:t xml:space="preserve">výši </w:t>
      </w:r>
      <w:proofErr w:type="gramStart"/>
      <w:r w:rsidR="005D05CA">
        <w:rPr>
          <w:color w:val="auto"/>
          <w:sz w:val="22"/>
          <w:szCs w:val="22"/>
        </w:rPr>
        <w:t>75.000,-</w:t>
      </w:r>
      <w:proofErr w:type="gramEnd"/>
      <w:r w:rsidR="005D05CA">
        <w:rPr>
          <w:color w:val="auto"/>
          <w:sz w:val="22"/>
          <w:szCs w:val="22"/>
        </w:rPr>
        <w:t xml:space="preserve"> Kč</w:t>
      </w:r>
      <w:r w:rsidR="002863D4">
        <w:rPr>
          <w:color w:val="auto"/>
          <w:sz w:val="22"/>
          <w:szCs w:val="22"/>
        </w:rPr>
        <w:t xml:space="preserve"> </w:t>
      </w:r>
      <w:r w:rsidR="002863D4" w:rsidRPr="001719F7">
        <w:rPr>
          <w:color w:val="auto"/>
          <w:sz w:val="22"/>
          <w:szCs w:val="22"/>
        </w:rPr>
        <w:t>za 1 měsíc, což je cena konečná a nejvýše přípustná (pro účely výpočtu denní úplaty se smluvní strany dohodly na tom, že časovým údajem 1 měsíc rozumí 30 kalendářních dní)</w:t>
      </w:r>
      <w:r w:rsidR="00105C23" w:rsidRPr="001719F7">
        <w:rPr>
          <w:color w:val="auto"/>
          <w:sz w:val="22"/>
          <w:szCs w:val="22"/>
        </w:rPr>
        <w:t xml:space="preserve">, přičemž tato celková výše úplaty náleží každému z poskytovatelů poměrově v souvislosti s korespondujícím rozsahem vlastnického práva ke každému z pozemků. </w:t>
      </w:r>
    </w:p>
    <w:p w14:paraId="3681675A" w14:textId="77777777" w:rsidR="000A6BCB" w:rsidRPr="001719F7" w:rsidRDefault="000A6BCB" w:rsidP="000A6BC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3681675F" w14:textId="0FAE0915" w:rsidR="00105C23" w:rsidRPr="001719F7" w:rsidRDefault="00105C23" w:rsidP="00381676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lastRenderedPageBreak/>
        <w:t>parcela</w:t>
      </w:r>
      <w:r w:rsidRPr="001719F7">
        <w:rPr>
          <w:color w:val="auto"/>
          <w:sz w:val="22"/>
          <w:szCs w:val="22"/>
        </w:rPr>
        <w:tab/>
        <w:t>výměra m</w:t>
      </w:r>
      <w:r w:rsidRPr="001719F7">
        <w:rPr>
          <w:color w:val="auto"/>
          <w:sz w:val="22"/>
          <w:szCs w:val="22"/>
          <w:vertAlign w:val="superscript"/>
        </w:rPr>
        <w:t xml:space="preserve">2 </w:t>
      </w:r>
      <w:r w:rsidRPr="001719F7">
        <w:rPr>
          <w:color w:val="auto"/>
          <w:sz w:val="22"/>
          <w:szCs w:val="22"/>
        </w:rPr>
        <w:t xml:space="preserve"> </w:t>
      </w:r>
      <w:r w:rsidR="00381676">
        <w:rPr>
          <w:color w:val="auto"/>
          <w:sz w:val="22"/>
          <w:szCs w:val="22"/>
        </w:rPr>
        <w:t xml:space="preserve">         </w:t>
      </w:r>
      <w:r w:rsidRPr="001719F7">
        <w:rPr>
          <w:color w:val="auto"/>
          <w:sz w:val="22"/>
          <w:szCs w:val="22"/>
        </w:rPr>
        <w:t xml:space="preserve"> vlastník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="004306B9">
        <w:rPr>
          <w:b/>
          <w:color w:val="auto"/>
          <w:sz w:val="22"/>
          <w:szCs w:val="22"/>
        </w:rPr>
        <w:t>podíl NORSOL</w:t>
      </w:r>
      <w:r w:rsidR="00381676">
        <w:rPr>
          <w:b/>
          <w:color w:val="auto"/>
          <w:sz w:val="22"/>
          <w:szCs w:val="22"/>
        </w:rPr>
        <w:t xml:space="preserve">   </w:t>
      </w:r>
      <w:r w:rsidRPr="001719F7">
        <w:rPr>
          <w:b/>
          <w:color w:val="auto"/>
          <w:sz w:val="22"/>
          <w:szCs w:val="22"/>
        </w:rPr>
        <w:t>podíl EMOS</w:t>
      </w:r>
      <w:r w:rsidRPr="001719F7">
        <w:rPr>
          <w:color w:val="auto"/>
          <w:sz w:val="22"/>
          <w:szCs w:val="22"/>
        </w:rPr>
        <w:tab/>
      </w:r>
    </w:p>
    <w:p w14:paraId="36816760" w14:textId="77777777" w:rsidR="00105C23" w:rsidRPr="001719F7" w:rsidRDefault="00105C23" w:rsidP="00381676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6752/78</w:t>
      </w:r>
      <w:r w:rsidRPr="001719F7">
        <w:rPr>
          <w:color w:val="auto"/>
          <w:sz w:val="22"/>
          <w:szCs w:val="22"/>
        </w:rPr>
        <w:tab/>
        <w:t>1031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    NORSOL s.r.o.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>1031,0</w:t>
      </w:r>
    </w:p>
    <w:p w14:paraId="36816761" w14:textId="77777777" w:rsidR="00105C23" w:rsidRPr="001719F7" w:rsidRDefault="00105C23" w:rsidP="00381676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6850/3</w:t>
      </w:r>
      <w:r w:rsidRPr="001719F7">
        <w:rPr>
          <w:color w:val="auto"/>
          <w:sz w:val="22"/>
          <w:szCs w:val="22"/>
        </w:rPr>
        <w:tab/>
        <w:t xml:space="preserve">    86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    NORSOL s.r.o.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 xml:space="preserve">    86,0</w:t>
      </w:r>
      <w:r w:rsidRPr="001719F7">
        <w:rPr>
          <w:color w:val="auto"/>
          <w:sz w:val="22"/>
          <w:szCs w:val="22"/>
        </w:rPr>
        <w:tab/>
      </w:r>
    </w:p>
    <w:p w14:paraId="36816762" w14:textId="77777777" w:rsidR="00105C23" w:rsidRPr="001719F7" w:rsidRDefault="00105C23" w:rsidP="00381676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6752/75</w:t>
      </w:r>
      <w:proofErr w:type="gramStart"/>
      <w:r w:rsidRPr="001719F7">
        <w:rPr>
          <w:color w:val="auto"/>
          <w:sz w:val="22"/>
          <w:szCs w:val="22"/>
        </w:rPr>
        <w:tab/>
        <w:t xml:space="preserve">  605</w:t>
      </w:r>
      <w:proofErr w:type="gramEnd"/>
      <w:r w:rsidRPr="001719F7">
        <w:rPr>
          <w:color w:val="auto"/>
          <w:sz w:val="22"/>
          <w:szCs w:val="22"/>
        </w:rPr>
        <w:t xml:space="preserve">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    NORSOL s.r.o. + EMOS </w:t>
      </w:r>
      <w:proofErr w:type="spellStart"/>
      <w:r w:rsidRPr="001719F7">
        <w:rPr>
          <w:color w:val="auto"/>
          <w:sz w:val="22"/>
          <w:szCs w:val="22"/>
        </w:rPr>
        <w:t>property</w:t>
      </w:r>
      <w:proofErr w:type="spellEnd"/>
      <w:r w:rsidRPr="001719F7">
        <w:rPr>
          <w:color w:val="auto"/>
          <w:sz w:val="22"/>
          <w:szCs w:val="22"/>
        </w:rPr>
        <w:t xml:space="preserve"> s.r.o.</w:t>
      </w:r>
      <w:r w:rsidRPr="001719F7">
        <w:rPr>
          <w:color w:val="auto"/>
          <w:sz w:val="22"/>
          <w:szCs w:val="22"/>
        </w:rPr>
        <w:tab/>
        <w:t xml:space="preserve">  302,5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>302,5</w:t>
      </w:r>
    </w:p>
    <w:p w14:paraId="36816763" w14:textId="77777777" w:rsidR="00105C23" w:rsidRPr="001719F7" w:rsidRDefault="00105C23" w:rsidP="00CA3893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>6749/16</w:t>
      </w:r>
      <w:proofErr w:type="gramStart"/>
      <w:r w:rsidRPr="001719F7">
        <w:rPr>
          <w:color w:val="auto"/>
          <w:sz w:val="22"/>
          <w:szCs w:val="22"/>
        </w:rPr>
        <w:tab/>
        <w:t xml:space="preserve">  593</w:t>
      </w:r>
      <w:proofErr w:type="gramEnd"/>
      <w:r w:rsidRPr="001719F7">
        <w:rPr>
          <w:color w:val="auto"/>
          <w:sz w:val="22"/>
          <w:szCs w:val="22"/>
        </w:rPr>
        <w:t xml:space="preserve"> m</w:t>
      </w:r>
      <w:r w:rsidRPr="001719F7">
        <w:rPr>
          <w:color w:val="auto"/>
          <w:sz w:val="22"/>
          <w:szCs w:val="22"/>
          <w:vertAlign w:val="superscript"/>
        </w:rPr>
        <w:t>2</w:t>
      </w:r>
      <w:r w:rsidRPr="001719F7">
        <w:rPr>
          <w:color w:val="auto"/>
          <w:sz w:val="22"/>
          <w:szCs w:val="22"/>
        </w:rPr>
        <w:t xml:space="preserve"> </w:t>
      </w:r>
      <w:r w:rsidRPr="001719F7">
        <w:rPr>
          <w:color w:val="auto"/>
          <w:sz w:val="22"/>
          <w:szCs w:val="22"/>
        </w:rPr>
        <w:tab/>
        <w:t xml:space="preserve">    NORSOL s.r.o. + EMOS </w:t>
      </w:r>
      <w:proofErr w:type="spellStart"/>
      <w:r w:rsidRPr="001719F7">
        <w:rPr>
          <w:color w:val="auto"/>
          <w:sz w:val="22"/>
          <w:szCs w:val="22"/>
        </w:rPr>
        <w:t>property</w:t>
      </w:r>
      <w:proofErr w:type="spellEnd"/>
      <w:r w:rsidRPr="001719F7">
        <w:rPr>
          <w:color w:val="auto"/>
          <w:sz w:val="22"/>
          <w:szCs w:val="22"/>
        </w:rPr>
        <w:t xml:space="preserve"> s.r.o.</w:t>
      </w:r>
      <w:r w:rsidRPr="001719F7">
        <w:rPr>
          <w:color w:val="auto"/>
          <w:sz w:val="22"/>
          <w:szCs w:val="22"/>
        </w:rPr>
        <w:tab/>
        <w:t xml:space="preserve">  296,5</w:t>
      </w:r>
      <w:r w:rsidRPr="001719F7">
        <w:rPr>
          <w:color w:val="auto"/>
          <w:sz w:val="22"/>
          <w:szCs w:val="22"/>
        </w:rPr>
        <w:tab/>
      </w:r>
      <w:r w:rsidRPr="001719F7">
        <w:rPr>
          <w:color w:val="auto"/>
          <w:sz w:val="22"/>
          <w:szCs w:val="22"/>
        </w:rPr>
        <w:tab/>
        <w:t>296,5</w:t>
      </w:r>
    </w:p>
    <w:p w14:paraId="36816764" w14:textId="77777777" w:rsidR="00105C23" w:rsidRPr="001719F7" w:rsidRDefault="00105C23" w:rsidP="00CA3893">
      <w:pPr>
        <w:pStyle w:val="Default"/>
        <w:ind w:left="567"/>
        <w:jc w:val="both"/>
        <w:rPr>
          <w:color w:val="auto"/>
          <w:sz w:val="22"/>
          <w:szCs w:val="22"/>
          <w:u w:val="single"/>
        </w:rPr>
      </w:pPr>
      <w:r w:rsidRPr="001719F7">
        <w:rPr>
          <w:color w:val="auto"/>
          <w:sz w:val="22"/>
          <w:szCs w:val="22"/>
          <w:u w:val="single"/>
        </w:rPr>
        <w:t>6747/1</w:t>
      </w:r>
      <w:proofErr w:type="gramStart"/>
      <w:r w:rsidRPr="001719F7">
        <w:rPr>
          <w:color w:val="auto"/>
          <w:sz w:val="22"/>
          <w:szCs w:val="22"/>
          <w:u w:val="single"/>
        </w:rPr>
        <w:tab/>
        <w:t xml:space="preserve">  241</w:t>
      </w:r>
      <w:proofErr w:type="gramEnd"/>
      <w:r w:rsidRPr="001719F7">
        <w:rPr>
          <w:color w:val="auto"/>
          <w:sz w:val="22"/>
          <w:szCs w:val="22"/>
          <w:u w:val="single"/>
        </w:rPr>
        <w:t xml:space="preserve"> m</w:t>
      </w:r>
      <w:r w:rsidRPr="001719F7">
        <w:rPr>
          <w:color w:val="auto"/>
          <w:sz w:val="22"/>
          <w:szCs w:val="22"/>
          <w:u w:val="single"/>
          <w:vertAlign w:val="superscript"/>
        </w:rPr>
        <w:t>2</w:t>
      </w:r>
      <w:r w:rsidRPr="001719F7">
        <w:rPr>
          <w:color w:val="auto"/>
          <w:sz w:val="22"/>
          <w:szCs w:val="22"/>
          <w:u w:val="single"/>
        </w:rPr>
        <w:t xml:space="preserve"> </w:t>
      </w:r>
      <w:r w:rsidRPr="001719F7">
        <w:rPr>
          <w:color w:val="auto"/>
          <w:sz w:val="22"/>
          <w:szCs w:val="22"/>
          <w:u w:val="single"/>
        </w:rPr>
        <w:tab/>
        <w:t xml:space="preserve">    NORSOL s.r.o. + EMOS </w:t>
      </w:r>
      <w:proofErr w:type="spellStart"/>
      <w:r w:rsidRPr="001719F7">
        <w:rPr>
          <w:color w:val="auto"/>
          <w:sz w:val="22"/>
          <w:szCs w:val="22"/>
          <w:u w:val="single"/>
        </w:rPr>
        <w:t>property</w:t>
      </w:r>
      <w:proofErr w:type="spellEnd"/>
      <w:r w:rsidRPr="001719F7">
        <w:rPr>
          <w:color w:val="auto"/>
          <w:sz w:val="22"/>
          <w:szCs w:val="22"/>
          <w:u w:val="single"/>
        </w:rPr>
        <w:t xml:space="preserve"> s.r.o.</w:t>
      </w:r>
      <w:r w:rsidRPr="001719F7">
        <w:rPr>
          <w:color w:val="auto"/>
          <w:sz w:val="22"/>
          <w:szCs w:val="22"/>
          <w:u w:val="single"/>
        </w:rPr>
        <w:tab/>
        <w:t xml:space="preserve">  120,5</w:t>
      </w:r>
      <w:r w:rsidRPr="001719F7">
        <w:rPr>
          <w:color w:val="auto"/>
          <w:sz w:val="22"/>
          <w:szCs w:val="22"/>
          <w:u w:val="single"/>
        </w:rPr>
        <w:tab/>
      </w:r>
      <w:r w:rsidRPr="001719F7">
        <w:rPr>
          <w:color w:val="auto"/>
          <w:sz w:val="22"/>
          <w:szCs w:val="22"/>
          <w:u w:val="single"/>
        </w:rPr>
        <w:tab/>
        <w:t>120,5</w:t>
      </w:r>
    </w:p>
    <w:p w14:paraId="36816765" w14:textId="0E0E346D" w:rsidR="00105C23" w:rsidRPr="001719F7" w:rsidRDefault="00105C23" w:rsidP="00CA3893">
      <w:pPr>
        <w:pStyle w:val="Default"/>
        <w:ind w:left="567"/>
        <w:jc w:val="both"/>
        <w:rPr>
          <w:b/>
          <w:color w:val="auto"/>
          <w:sz w:val="22"/>
          <w:szCs w:val="22"/>
        </w:rPr>
      </w:pPr>
      <w:r w:rsidRPr="001719F7">
        <w:rPr>
          <w:b/>
          <w:color w:val="auto"/>
          <w:sz w:val="22"/>
          <w:szCs w:val="22"/>
        </w:rPr>
        <w:t>celkem          2556 m</w:t>
      </w:r>
      <w:r w:rsidRPr="001719F7">
        <w:rPr>
          <w:b/>
          <w:color w:val="auto"/>
          <w:sz w:val="22"/>
          <w:szCs w:val="22"/>
          <w:vertAlign w:val="superscript"/>
        </w:rPr>
        <w:t>2</w:t>
      </w:r>
      <w:r w:rsidRPr="001719F7">
        <w:rPr>
          <w:b/>
          <w:color w:val="auto"/>
          <w:sz w:val="22"/>
          <w:szCs w:val="22"/>
          <w:vertAlign w:val="superscript"/>
        </w:rPr>
        <w:tab/>
      </w:r>
      <w:r w:rsidRPr="001719F7">
        <w:rPr>
          <w:b/>
          <w:color w:val="auto"/>
          <w:sz w:val="22"/>
          <w:szCs w:val="22"/>
          <w:vertAlign w:val="superscript"/>
        </w:rPr>
        <w:tab/>
      </w:r>
      <w:r w:rsidRPr="001719F7">
        <w:rPr>
          <w:b/>
          <w:color w:val="auto"/>
          <w:sz w:val="22"/>
          <w:szCs w:val="22"/>
        </w:rPr>
        <w:tab/>
      </w:r>
      <w:r w:rsidRPr="001719F7">
        <w:rPr>
          <w:b/>
          <w:color w:val="auto"/>
          <w:sz w:val="22"/>
          <w:szCs w:val="22"/>
        </w:rPr>
        <w:tab/>
      </w:r>
      <w:r w:rsidRPr="001719F7">
        <w:rPr>
          <w:b/>
          <w:color w:val="auto"/>
          <w:sz w:val="22"/>
          <w:szCs w:val="22"/>
        </w:rPr>
        <w:tab/>
      </w:r>
      <w:r w:rsidRPr="001719F7">
        <w:rPr>
          <w:b/>
          <w:color w:val="auto"/>
          <w:sz w:val="22"/>
          <w:szCs w:val="22"/>
        </w:rPr>
        <w:tab/>
        <w:t>1836,5</w:t>
      </w:r>
      <w:r w:rsidRPr="001719F7">
        <w:rPr>
          <w:b/>
          <w:color w:val="auto"/>
          <w:sz w:val="22"/>
          <w:szCs w:val="22"/>
        </w:rPr>
        <w:tab/>
      </w:r>
      <w:r w:rsidRPr="001719F7">
        <w:rPr>
          <w:b/>
          <w:color w:val="auto"/>
          <w:sz w:val="22"/>
          <w:szCs w:val="22"/>
        </w:rPr>
        <w:tab/>
      </w:r>
      <w:r w:rsidR="00381676">
        <w:rPr>
          <w:b/>
          <w:color w:val="auto"/>
          <w:sz w:val="22"/>
          <w:szCs w:val="22"/>
        </w:rPr>
        <w:t xml:space="preserve">            </w:t>
      </w:r>
      <w:r w:rsidRPr="001719F7">
        <w:rPr>
          <w:b/>
          <w:color w:val="auto"/>
          <w:sz w:val="22"/>
          <w:szCs w:val="22"/>
        </w:rPr>
        <w:t>719,5</w:t>
      </w:r>
    </w:p>
    <w:p w14:paraId="36816766" w14:textId="1A373453" w:rsidR="00105C23" w:rsidRPr="001719F7" w:rsidRDefault="00C71C45" w:rsidP="00F22105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  <w:t xml:space="preserve">           </w:t>
      </w:r>
      <w:r w:rsidR="00D41E43" w:rsidRPr="001719F7">
        <w:rPr>
          <w:color w:val="auto"/>
          <w:sz w:val="22"/>
          <w:szCs w:val="22"/>
        </w:rPr>
        <w:tab/>
      </w:r>
      <w:r w:rsidR="00D41E43" w:rsidRPr="001719F7">
        <w:rPr>
          <w:color w:val="auto"/>
          <w:sz w:val="22"/>
          <w:szCs w:val="22"/>
        </w:rPr>
        <w:tab/>
      </w:r>
      <w:proofErr w:type="gramStart"/>
      <w:r w:rsidR="00105C23" w:rsidRPr="001719F7">
        <w:rPr>
          <w:color w:val="auto"/>
          <w:sz w:val="22"/>
          <w:szCs w:val="22"/>
        </w:rPr>
        <w:t>71,85%</w:t>
      </w:r>
      <w:proofErr w:type="gramEnd"/>
      <w:r w:rsidR="00105C23" w:rsidRPr="001719F7">
        <w:rPr>
          <w:color w:val="auto"/>
          <w:sz w:val="22"/>
          <w:szCs w:val="22"/>
        </w:rPr>
        <w:tab/>
      </w:r>
      <w:r w:rsidR="00105C23" w:rsidRPr="001719F7">
        <w:rPr>
          <w:color w:val="auto"/>
          <w:sz w:val="22"/>
          <w:szCs w:val="22"/>
        </w:rPr>
        <w:tab/>
      </w:r>
      <w:r w:rsidR="00381676">
        <w:rPr>
          <w:color w:val="auto"/>
          <w:sz w:val="22"/>
          <w:szCs w:val="22"/>
        </w:rPr>
        <w:t xml:space="preserve">           </w:t>
      </w:r>
      <w:r w:rsidR="00105C23" w:rsidRPr="001719F7">
        <w:rPr>
          <w:color w:val="auto"/>
          <w:sz w:val="22"/>
          <w:szCs w:val="22"/>
        </w:rPr>
        <w:t>28,15%</w:t>
      </w:r>
    </w:p>
    <w:p w14:paraId="36816769" w14:textId="5263B581" w:rsidR="00146DAF" w:rsidRPr="001719F7" w:rsidRDefault="00146DAF" w:rsidP="00146DAF">
      <w:pPr>
        <w:pStyle w:val="Default"/>
        <w:ind w:left="426"/>
        <w:jc w:val="both"/>
        <w:rPr>
          <w:b/>
          <w:color w:val="auto"/>
          <w:sz w:val="22"/>
          <w:szCs w:val="22"/>
        </w:rPr>
      </w:pPr>
    </w:p>
    <w:p w14:paraId="29451A72" w14:textId="5DBF248D" w:rsidR="002F22A0" w:rsidRPr="001719F7" w:rsidRDefault="002F22A0" w:rsidP="002F22A0">
      <w:pPr>
        <w:pStyle w:val="Default"/>
        <w:numPr>
          <w:ilvl w:val="0"/>
          <w:numId w:val="16"/>
        </w:numPr>
        <w:ind w:left="567"/>
        <w:jc w:val="both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Smluvní strany souhlasí s tím, že úplata za užívání pozemků bude vypočtena dle skutečného počtu dní užívání pozemků </w:t>
      </w:r>
      <w:r>
        <w:rPr>
          <w:color w:val="auto"/>
          <w:sz w:val="22"/>
          <w:szCs w:val="22"/>
        </w:rPr>
        <w:t>u</w:t>
      </w:r>
      <w:r w:rsidRPr="001719F7">
        <w:rPr>
          <w:color w:val="auto"/>
          <w:sz w:val="22"/>
          <w:szCs w:val="22"/>
        </w:rPr>
        <w:t xml:space="preserve">živatelem a ve svém výpočtu bude také </w:t>
      </w:r>
      <w:proofErr w:type="gramStart"/>
      <w:r w:rsidRPr="001719F7">
        <w:rPr>
          <w:color w:val="auto"/>
          <w:sz w:val="22"/>
          <w:szCs w:val="22"/>
        </w:rPr>
        <w:t>zahrnovat</w:t>
      </w:r>
      <w:proofErr w:type="gramEnd"/>
      <w:r w:rsidRPr="001719F7">
        <w:rPr>
          <w:color w:val="auto"/>
          <w:sz w:val="22"/>
          <w:szCs w:val="22"/>
        </w:rPr>
        <w:t xml:space="preserve"> byť jen každý započatý den užívání.</w:t>
      </w:r>
    </w:p>
    <w:p w14:paraId="3681676B" w14:textId="5B14569D" w:rsidR="005C1626" w:rsidRPr="001719F7" w:rsidRDefault="005C1626" w:rsidP="00C62E0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3681676C" w14:textId="4592AE72" w:rsidR="00105C23" w:rsidRPr="001719F7" w:rsidRDefault="008905CA" w:rsidP="00053FD0">
      <w:pPr>
        <w:pStyle w:val="Zkladntext"/>
        <w:numPr>
          <w:ilvl w:val="0"/>
          <w:numId w:val="16"/>
        </w:numPr>
        <w:tabs>
          <w:tab w:val="left" w:pos="567"/>
          <w:tab w:val="left" w:pos="709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477644">
        <w:rPr>
          <w:sz w:val="22"/>
          <w:szCs w:val="22"/>
        </w:rPr>
        <w:t>hrada</w:t>
      </w:r>
      <w:r w:rsidR="00105C23" w:rsidRPr="001719F7">
        <w:rPr>
          <w:sz w:val="22"/>
          <w:szCs w:val="22"/>
        </w:rPr>
        <w:t xml:space="preserve"> bude ze strany poskytovatelů 1</w:t>
      </w:r>
      <w:r w:rsidR="00C62E02" w:rsidRPr="001719F7">
        <w:rPr>
          <w:sz w:val="22"/>
          <w:szCs w:val="22"/>
        </w:rPr>
        <w:t xml:space="preserve"> </w:t>
      </w:r>
      <w:r w:rsidR="00105C23" w:rsidRPr="001719F7">
        <w:rPr>
          <w:sz w:val="22"/>
          <w:szCs w:val="22"/>
        </w:rPr>
        <w:t xml:space="preserve">a 2 fakturována uživateli </w:t>
      </w:r>
      <w:r w:rsidR="005136AB">
        <w:rPr>
          <w:sz w:val="22"/>
          <w:szCs w:val="22"/>
        </w:rPr>
        <w:t>za každý ukončený kalendářní měsíc</w:t>
      </w:r>
      <w:r w:rsidR="00105C23" w:rsidRPr="001719F7">
        <w:rPr>
          <w:sz w:val="22"/>
          <w:szCs w:val="22"/>
        </w:rPr>
        <w:t xml:space="preserve"> užívání pozemků</w:t>
      </w:r>
      <w:r w:rsidR="00FE7BCC" w:rsidRPr="001719F7">
        <w:rPr>
          <w:sz w:val="22"/>
          <w:szCs w:val="22"/>
        </w:rPr>
        <w:t>.</w:t>
      </w:r>
      <w:r w:rsidR="001D1983">
        <w:rPr>
          <w:sz w:val="22"/>
          <w:szCs w:val="22"/>
        </w:rPr>
        <w:t xml:space="preserve"> Splatnost faktury činí 15 dnů. </w:t>
      </w:r>
    </w:p>
    <w:p w14:paraId="3681676D" w14:textId="77777777" w:rsidR="00105C23" w:rsidRPr="001719F7" w:rsidRDefault="00105C23" w:rsidP="0041667C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3681676E" w14:textId="77777777" w:rsidR="00105C23" w:rsidRPr="001719F7" w:rsidRDefault="00105C23" w:rsidP="00F02E13">
      <w:pPr>
        <w:pStyle w:val="Default"/>
        <w:rPr>
          <w:color w:val="auto"/>
          <w:sz w:val="22"/>
          <w:szCs w:val="22"/>
        </w:rPr>
      </w:pPr>
      <w:r w:rsidRPr="001719F7">
        <w:rPr>
          <w:color w:val="auto"/>
          <w:sz w:val="22"/>
          <w:szCs w:val="22"/>
        </w:rPr>
        <w:t xml:space="preserve"> </w:t>
      </w:r>
    </w:p>
    <w:p w14:paraId="3681676F" w14:textId="3A8949B0" w:rsidR="00105C23" w:rsidRPr="001719F7" w:rsidRDefault="00105C23" w:rsidP="0044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719F7">
        <w:rPr>
          <w:rFonts w:ascii="Times New Roman" w:hAnsi="Times New Roman"/>
          <w:b/>
          <w:bCs/>
        </w:rPr>
        <w:t>V.</w:t>
      </w:r>
    </w:p>
    <w:p w14:paraId="36816770" w14:textId="77777777" w:rsidR="00105C23" w:rsidRPr="001719F7" w:rsidRDefault="00105C23" w:rsidP="00C55F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1719F7">
        <w:rPr>
          <w:rFonts w:ascii="Times New Roman" w:hAnsi="Times New Roman"/>
          <w:b/>
          <w:bCs/>
        </w:rPr>
        <w:t>Práva a povinnosti smluvních stran</w:t>
      </w:r>
    </w:p>
    <w:p w14:paraId="36816772" w14:textId="77777777" w:rsidR="00105C23" w:rsidRPr="001719F7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Uživatel je oprávněn užívat předmět Dohody jen ke sjednanému účelu v souladu s touto Dohodou. </w:t>
      </w:r>
    </w:p>
    <w:p w14:paraId="36816773" w14:textId="77777777" w:rsidR="00105C23" w:rsidRPr="001719F7" w:rsidRDefault="00105C23" w:rsidP="00053FD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6816774" w14:textId="77777777" w:rsidR="00105C23" w:rsidRPr="001719F7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Uživatel </w:t>
      </w:r>
      <w:r w:rsidR="00D41E43" w:rsidRPr="001719F7">
        <w:rPr>
          <w:rFonts w:ascii="Times New Roman" w:hAnsi="Times New Roman"/>
        </w:rPr>
        <w:t>se zavázal</w:t>
      </w:r>
      <w:r w:rsidRPr="001719F7">
        <w:rPr>
          <w:rFonts w:ascii="Times New Roman" w:hAnsi="Times New Roman"/>
        </w:rPr>
        <w:t xml:space="preserve">, že nesmí provádět jakékoliv zásahy do předmětu Dohody bez vědomí poskytovatelů. </w:t>
      </w:r>
    </w:p>
    <w:p w14:paraId="36816775" w14:textId="77777777" w:rsidR="00105C23" w:rsidRPr="001719F7" w:rsidRDefault="00105C23" w:rsidP="00053FD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6816776" w14:textId="77777777" w:rsidR="00105C23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Poskytovatelé mají právo přístupu na předmět </w:t>
      </w:r>
      <w:r w:rsidR="00882EA4" w:rsidRPr="001719F7">
        <w:rPr>
          <w:rFonts w:ascii="Times New Roman" w:hAnsi="Times New Roman"/>
        </w:rPr>
        <w:t xml:space="preserve">uvedený v článku I. této </w:t>
      </w:r>
      <w:r w:rsidRPr="001719F7">
        <w:rPr>
          <w:rFonts w:ascii="Times New Roman" w:hAnsi="Times New Roman"/>
        </w:rPr>
        <w:t xml:space="preserve">Dohody. </w:t>
      </w:r>
    </w:p>
    <w:p w14:paraId="33A8F5F1" w14:textId="77777777" w:rsidR="0001296A" w:rsidRDefault="0001296A" w:rsidP="0001296A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05791114" w14:textId="7A41E338" w:rsidR="0001296A" w:rsidRPr="0001296A" w:rsidRDefault="0001296A" w:rsidP="000129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bookmarkStart w:id="0" w:name="_Hlk75955613"/>
      <w:r w:rsidRPr="0001296A">
        <w:rPr>
          <w:rFonts w:ascii="Times New Roman" w:hAnsi="Times New Roman"/>
        </w:rPr>
        <w:t xml:space="preserve">Po dobu trvání užívání pozemků </w:t>
      </w:r>
      <w:r>
        <w:rPr>
          <w:rFonts w:ascii="Times New Roman" w:hAnsi="Times New Roman"/>
        </w:rPr>
        <w:t xml:space="preserve">se </w:t>
      </w:r>
      <w:r w:rsidRPr="0001296A">
        <w:rPr>
          <w:rFonts w:ascii="Times New Roman" w:hAnsi="Times New Roman"/>
        </w:rPr>
        <w:t xml:space="preserve">uživatel </w:t>
      </w:r>
      <w:r>
        <w:rPr>
          <w:rFonts w:ascii="Times New Roman" w:hAnsi="Times New Roman"/>
        </w:rPr>
        <w:t>zavazuje zajistit na předmětu dohody dopravní značení, zejména pak maximál</w:t>
      </w:r>
      <w:r w:rsidR="00614C9D">
        <w:rPr>
          <w:rFonts w:ascii="Times New Roman" w:hAnsi="Times New Roman"/>
        </w:rPr>
        <w:t>ní povolenou rychlost, přednost</w:t>
      </w:r>
      <w:r>
        <w:rPr>
          <w:rFonts w:ascii="Times New Roman" w:hAnsi="Times New Roman"/>
        </w:rPr>
        <w:t xml:space="preserve"> v jízdě, směr a trasu objížďky </w:t>
      </w:r>
      <w:r w:rsidR="00614C9D">
        <w:rPr>
          <w:rFonts w:ascii="Times New Roman" w:hAnsi="Times New Roman"/>
        </w:rPr>
        <w:t>tak, aby nedocházelo ze strany</w:t>
      </w:r>
      <w:r>
        <w:rPr>
          <w:rFonts w:ascii="Times New Roman" w:hAnsi="Times New Roman"/>
        </w:rPr>
        <w:t> veřejnosti k výjezdu mimo vyznačenou trasu na jiné komunikace v areálu, k čemuž uživatel dále zajistí částečné oplocení.</w:t>
      </w:r>
      <w:r w:rsidRPr="000129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účelem dodržování pravidel silničního provozu a plynulosti provozu zajistí uživatel součinnost Městské policie. </w:t>
      </w:r>
    </w:p>
    <w:bookmarkEnd w:id="0"/>
    <w:p w14:paraId="36816777" w14:textId="77777777" w:rsidR="00105C23" w:rsidRPr="001719F7" w:rsidRDefault="00105C23" w:rsidP="00053FD0">
      <w:pPr>
        <w:pStyle w:val="Odstavecseseznamem"/>
        <w:ind w:left="567"/>
        <w:jc w:val="both"/>
        <w:rPr>
          <w:rFonts w:ascii="Times New Roman" w:hAnsi="Times New Roman"/>
        </w:rPr>
      </w:pPr>
    </w:p>
    <w:p w14:paraId="36816778" w14:textId="0F602274" w:rsidR="00105C23" w:rsidRPr="001719F7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Po dobu trvání užívání pozemků odpovídá uživatel za škody na předmětu Dohody, přičemž ohledně otázek bezpečnosti a plynulosti silničního provozu, odpovědnosti za škody vzniklé v souvislosti s provozem vozidel, dopravního zabezpečení předmětu užívání a řešení dopravních havárií a případných krizových situací je plně odpovědný uživatel. </w:t>
      </w:r>
    </w:p>
    <w:p w14:paraId="36816779" w14:textId="77777777" w:rsidR="00105C23" w:rsidRPr="001719F7" w:rsidRDefault="00105C23" w:rsidP="00053FD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681677A" w14:textId="0E9B01F8" w:rsidR="00105C23" w:rsidRPr="001719F7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>P</w:t>
      </w:r>
      <w:bookmarkStart w:id="1" w:name="_Hlk75955626"/>
      <w:r w:rsidRPr="001719F7">
        <w:rPr>
          <w:rFonts w:ascii="Times New Roman" w:hAnsi="Times New Roman"/>
        </w:rPr>
        <w:t>o ukončení trvání této Dohody uvede uživatel předmět Dohody do původního stavu</w:t>
      </w:r>
      <w:r w:rsidR="00614C9D">
        <w:rPr>
          <w:rFonts w:ascii="Times New Roman" w:hAnsi="Times New Roman"/>
        </w:rPr>
        <w:t>, včetně potřebných oprav povrchu komunikace</w:t>
      </w:r>
      <w:r w:rsidRPr="001719F7">
        <w:rPr>
          <w:rFonts w:ascii="Times New Roman" w:hAnsi="Times New Roman"/>
        </w:rPr>
        <w:t>.</w:t>
      </w:r>
      <w:r w:rsidR="0001296A">
        <w:rPr>
          <w:rFonts w:ascii="Times New Roman" w:hAnsi="Times New Roman"/>
        </w:rPr>
        <w:t xml:space="preserve"> Před započetím užívání bude pořízena dokumentace stavu předmětu dohody</w:t>
      </w:r>
      <w:r w:rsidR="006F0FFA" w:rsidRPr="006F0FFA">
        <w:rPr>
          <w:rFonts w:ascii="Times New Roman" w:hAnsi="Times New Roman"/>
        </w:rPr>
        <w:t xml:space="preserve"> </w:t>
      </w:r>
      <w:r w:rsidR="006F0FFA">
        <w:rPr>
          <w:rFonts w:ascii="Times New Roman" w:hAnsi="Times New Roman"/>
        </w:rPr>
        <w:t>za účasti všech účastníků smlouvy</w:t>
      </w:r>
      <w:r w:rsidR="0001296A">
        <w:rPr>
          <w:rFonts w:ascii="Times New Roman" w:hAnsi="Times New Roman"/>
        </w:rPr>
        <w:t xml:space="preserve"> tak, aby mohl být předmět dohody následně uveden zpět do tohoto stavu.</w:t>
      </w:r>
    </w:p>
    <w:bookmarkEnd w:id="1"/>
    <w:p w14:paraId="3681677B" w14:textId="77777777" w:rsidR="00105C23" w:rsidRPr="001719F7" w:rsidRDefault="00105C23" w:rsidP="00053FD0">
      <w:pPr>
        <w:pStyle w:val="Odstavecseseznamem"/>
        <w:ind w:left="567"/>
        <w:jc w:val="both"/>
        <w:rPr>
          <w:rFonts w:ascii="Times New Roman" w:hAnsi="Times New Roman"/>
        </w:rPr>
      </w:pPr>
    </w:p>
    <w:p w14:paraId="3681677C" w14:textId="77777777" w:rsidR="00105C23" w:rsidRPr="001719F7" w:rsidRDefault="00105C23" w:rsidP="00053FD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Uživatel se zavázal při zřízení objížďky postupovat s vynaložením odborné péče, přičemž je povinen zejména: </w:t>
      </w:r>
    </w:p>
    <w:p w14:paraId="3681677D" w14:textId="77777777" w:rsidR="00105C23" w:rsidRPr="001719F7" w:rsidRDefault="00105C23" w:rsidP="00053FD0">
      <w:pPr>
        <w:pStyle w:val="Odstavecseseznamem"/>
        <w:ind w:left="567"/>
        <w:jc w:val="both"/>
        <w:rPr>
          <w:rFonts w:ascii="Times New Roman" w:hAnsi="Times New Roman"/>
        </w:rPr>
      </w:pPr>
    </w:p>
    <w:p w14:paraId="3681677E" w14:textId="77777777" w:rsidR="00105C23" w:rsidRPr="001719F7" w:rsidRDefault="00105C23" w:rsidP="00053F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dodržovat všechny obecně závazné právní předpisy, nařízení orgánů veřejné správy, závazné i doporučené technické normy, podklady a podmínky uvedené v této Dohodě a veškeré pokyny poskytovatelů; </w:t>
      </w:r>
    </w:p>
    <w:p w14:paraId="3681677F" w14:textId="77777777" w:rsidR="00105C23" w:rsidRPr="001719F7" w:rsidRDefault="00105C23" w:rsidP="00053FD0">
      <w:pPr>
        <w:pStyle w:val="Odstavecseseznamem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</w:rPr>
      </w:pPr>
    </w:p>
    <w:p w14:paraId="36816780" w14:textId="77777777" w:rsidR="00105C23" w:rsidRPr="001719F7" w:rsidRDefault="00105C23" w:rsidP="00053F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chránit komunikaci před vznikem škod v důsledku porušení právních či jiných předpisů a v případě jejich vzniku tyto škody uhradit na vlastní náklady. Případný postih ze strany státních orgánů a organizací za nedodržení obecně závazných právních předpisů v souvislosti se zvláštním užíváním komunikace je vždy plně k tíži a na vrub uživatele, nezávisle na tom, která osoba zavdala příčinu. </w:t>
      </w:r>
    </w:p>
    <w:p w14:paraId="36816781" w14:textId="77777777" w:rsidR="00105C23" w:rsidRPr="001719F7" w:rsidRDefault="00105C23" w:rsidP="001C734F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</w:rPr>
      </w:pPr>
    </w:p>
    <w:p w14:paraId="36816782" w14:textId="4966D075" w:rsidR="00105C23" w:rsidRPr="001719F7" w:rsidRDefault="00105C23" w:rsidP="0005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719F7">
        <w:rPr>
          <w:rFonts w:ascii="Times New Roman" w:hAnsi="Times New Roman"/>
          <w:b/>
          <w:bCs/>
        </w:rPr>
        <w:lastRenderedPageBreak/>
        <w:t>V</w:t>
      </w:r>
      <w:r w:rsidR="00907DF7">
        <w:rPr>
          <w:rFonts w:ascii="Times New Roman" w:hAnsi="Times New Roman"/>
          <w:b/>
          <w:bCs/>
        </w:rPr>
        <w:t>I</w:t>
      </w:r>
      <w:r w:rsidRPr="001719F7">
        <w:rPr>
          <w:rFonts w:ascii="Times New Roman" w:hAnsi="Times New Roman"/>
          <w:b/>
          <w:bCs/>
        </w:rPr>
        <w:t>.</w:t>
      </w:r>
    </w:p>
    <w:p w14:paraId="36816784" w14:textId="6E937A93" w:rsidR="00105C23" w:rsidRPr="001719F7" w:rsidRDefault="00105C23" w:rsidP="00C55F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 w:rsidRPr="001719F7">
        <w:rPr>
          <w:rFonts w:ascii="Times New Roman" w:hAnsi="Times New Roman"/>
          <w:b/>
          <w:bCs/>
        </w:rPr>
        <w:t>Závěrečná ustanovení</w:t>
      </w:r>
    </w:p>
    <w:p w14:paraId="36816785" w14:textId="4F2591FF" w:rsidR="00105C23" w:rsidRPr="001719F7" w:rsidRDefault="00105C23" w:rsidP="00783A7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>Podmínky sjednané v této Dohodě lze měnit jen písemn</w:t>
      </w:r>
      <w:r w:rsidR="00C62E02" w:rsidRPr="001719F7">
        <w:rPr>
          <w:rFonts w:ascii="Times New Roman" w:hAnsi="Times New Roman"/>
        </w:rPr>
        <w:t>ě</w:t>
      </w:r>
      <w:r w:rsidRPr="001719F7">
        <w:rPr>
          <w:rFonts w:ascii="Times New Roman" w:hAnsi="Times New Roman"/>
        </w:rPr>
        <w:t xml:space="preserve"> </w:t>
      </w:r>
      <w:r w:rsidR="00882EA4" w:rsidRPr="001719F7">
        <w:rPr>
          <w:rFonts w:ascii="Times New Roman" w:hAnsi="Times New Roman"/>
        </w:rPr>
        <w:t>číslovanými dodatky odsouhlasenými</w:t>
      </w:r>
      <w:r w:rsidRPr="001719F7">
        <w:rPr>
          <w:rFonts w:ascii="Times New Roman" w:hAnsi="Times New Roman"/>
        </w:rPr>
        <w:t xml:space="preserve"> ob</w:t>
      </w:r>
      <w:r w:rsidR="00882EA4" w:rsidRPr="001719F7">
        <w:rPr>
          <w:rFonts w:ascii="Times New Roman" w:hAnsi="Times New Roman"/>
        </w:rPr>
        <w:t>ěma</w:t>
      </w:r>
      <w:r w:rsidR="00C62E02" w:rsidRPr="001719F7">
        <w:rPr>
          <w:rFonts w:ascii="Times New Roman" w:hAnsi="Times New Roman"/>
        </w:rPr>
        <w:t xml:space="preserve"> </w:t>
      </w:r>
      <w:r w:rsidRPr="001719F7">
        <w:rPr>
          <w:rFonts w:ascii="Times New Roman" w:hAnsi="Times New Roman"/>
        </w:rPr>
        <w:t>smluvní</w:t>
      </w:r>
      <w:r w:rsidR="00882EA4" w:rsidRPr="001719F7">
        <w:rPr>
          <w:rFonts w:ascii="Times New Roman" w:hAnsi="Times New Roman"/>
        </w:rPr>
        <w:t>mi</w:t>
      </w:r>
      <w:r w:rsidRPr="001719F7">
        <w:rPr>
          <w:rFonts w:ascii="Times New Roman" w:hAnsi="Times New Roman"/>
        </w:rPr>
        <w:t xml:space="preserve"> stran</w:t>
      </w:r>
      <w:r w:rsidR="00882EA4" w:rsidRPr="001719F7">
        <w:rPr>
          <w:rFonts w:ascii="Times New Roman" w:hAnsi="Times New Roman"/>
        </w:rPr>
        <w:t>ami</w:t>
      </w:r>
      <w:r w:rsidRPr="001719F7">
        <w:rPr>
          <w:rFonts w:ascii="Times New Roman" w:hAnsi="Times New Roman"/>
        </w:rPr>
        <w:t xml:space="preserve">. </w:t>
      </w:r>
      <w:r w:rsidR="007A0684">
        <w:rPr>
          <w:rFonts w:ascii="Times New Roman" w:hAnsi="Times New Roman"/>
        </w:rPr>
        <w:t xml:space="preserve">Tato dohoda se uzavírá ve 4 vyhotoveních, z nichž dva obdrží </w:t>
      </w:r>
      <w:r w:rsidR="00562CD7">
        <w:rPr>
          <w:rFonts w:ascii="Times New Roman" w:hAnsi="Times New Roman"/>
        </w:rPr>
        <w:t>uživatel a po jednom vyhotovení každý z poskytovatelů.</w:t>
      </w:r>
    </w:p>
    <w:p w14:paraId="36816788" w14:textId="77777777" w:rsidR="00737AE4" w:rsidRPr="001719F7" w:rsidRDefault="00737AE4" w:rsidP="00737AE4">
      <w:pPr>
        <w:pStyle w:val="Odstavecseseznamem"/>
        <w:rPr>
          <w:rFonts w:ascii="Times New Roman" w:hAnsi="Times New Roman"/>
        </w:rPr>
      </w:pPr>
    </w:p>
    <w:p w14:paraId="36816789" w14:textId="04AA6237" w:rsidR="00737AE4" w:rsidRPr="001719F7" w:rsidRDefault="00737AE4" w:rsidP="00737AE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1719F7">
        <w:rPr>
          <w:rFonts w:ascii="Times New Roman" w:hAnsi="Times New Roman"/>
          <w:color w:val="000000"/>
        </w:rPr>
        <w:t xml:space="preserve">Uživatel informuje ve smyslu čl. 13 Nařízení Evropského parlamentu a Rady (EU) 2016/679 o ochraně fyzických osob v souvislosti se zpracováním osobních údajů a o volném pohybu těchto údajů (dále jen „GDPR“) poskytovatele 1 a 2, že bude v souvislosti s plněním této smlouvy zpracovávat jeho osobní údaje, jeho statutárních orgánů a kontaktních osob a dále třetích osob, u nichž je zpracování nezbytné pro poskytování plnění na základě této smlouvy. Zpracování osobních údajů bude uživatelem prováděno pouze v rozsahu nezbytném pro plnění této smlouvy a po dobu nezbytnou pro plnění této smlouvy. Podrobné informace </w:t>
      </w:r>
      <w:r w:rsidRPr="001719F7">
        <w:rPr>
          <w:rFonts w:ascii="Times New Roman" w:hAnsi="Times New Roman"/>
          <w:color w:val="000000"/>
        </w:rPr>
        <w:br/>
        <w:t xml:space="preserve">o zpracování osobních údajů uživatelem včetně zásad tohoto zpracování jsou k dispozici na webových stránkách uživatele dostupných z: </w:t>
      </w:r>
      <w:hyperlink r:id="rId7" w:tgtFrame="_blank" w:tooltip="https://www.prerov.eu/cs/magistrat/o-magistratu/povinne-informace-dle-zakonu-gdpr/ochrana-osobnich-udaju-gdpr/" w:history="1">
        <w:r w:rsidRPr="001719F7">
          <w:rPr>
            <w:rStyle w:val="Hypertextovodkaz"/>
            <w:rFonts w:ascii="Times New Roman" w:hAnsi="Times New Roman"/>
            <w:color w:val="000000"/>
          </w:rPr>
          <w:t>https://www.prerov.eu/cs/magistrat/o-magistratu/povinne-informace-dle-zakonu-gdpr/ochrana-osobnich-udaju-gdpr/</w:t>
        </w:r>
      </w:hyperlink>
      <w:r w:rsidRPr="001719F7">
        <w:rPr>
          <w:rFonts w:ascii="Times New Roman" w:hAnsi="Times New Roman"/>
          <w:color w:val="000000"/>
        </w:rPr>
        <w:t xml:space="preserve">. </w:t>
      </w:r>
    </w:p>
    <w:p w14:paraId="3681678A" w14:textId="77777777" w:rsidR="007E68B3" w:rsidRPr="001719F7" w:rsidRDefault="007E68B3" w:rsidP="007869BD">
      <w:pPr>
        <w:pStyle w:val="Odstavecseseznamem"/>
        <w:rPr>
          <w:rFonts w:ascii="Times New Roman" w:hAnsi="Times New Roman"/>
        </w:rPr>
      </w:pPr>
    </w:p>
    <w:p w14:paraId="3681678B" w14:textId="77777777" w:rsidR="007E68B3" w:rsidRPr="001719F7" w:rsidRDefault="007E68B3" w:rsidP="00D41E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Smluvní strany se dohodly, že uživatel uveřejní Dohodu prostřednictvím </w:t>
      </w:r>
      <w:r w:rsidRPr="001719F7">
        <w:rPr>
          <w:rFonts w:ascii="Times New Roman" w:hAnsi="Times New Roman"/>
          <w:color w:val="222222"/>
          <w:shd w:val="clear" w:color="auto" w:fill="FFFFFF"/>
        </w:rPr>
        <w:t>registru smluv ve smyslu zákona č. 340/2015 Sb., o zvláštních podmínkách účinnosti některých smluv, uveřejňování těchto smluv a o registru smluv (zákon o registru smluv), bez zbytečného odkladu po podpisu dohody oběma smluvními stranami.</w:t>
      </w:r>
    </w:p>
    <w:p w14:paraId="3681678C" w14:textId="77777777" w:rsidR="0036267C" w:rsidRPr="001719F7" w:rsidRDefault="0036267C" w:rsidP="007869BD">
      <w:pPr>
        <w:pStyle w:val="Odstavecseseznamem"/>
        <w:spacing w:after="0" w:line="240" w:lineRule="auto"/>
        <w:rPr>
          <w:rFonts w:ascii="Times New Roman" w:hAnsi="Times New Roman"/>
        </w:rPr>
      </w:pPr>
    </w:p>
    <w:p w14:paraId="3681678D" w14:textId="62FD99E4" w:rsidR="0036267C" w:rsidRPr="001719F7" w:rsidRDefault="0036267C" w:rsidP="00D41E43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719F7">
        <w:rPr>
          <w:sz w:val="22"/>
          <w:szCs w:val="22"/>
        </w:rPr>
        <w:t>Tato dohoda nabývá platnosti</w:t>
      </w:r>
      <w:r w:rsidR="007E68B3" w:rsidRPr="001719F7">
        <w:rPr>
          <w:sz w:val="22"/>
          <w:szCs w:val="22"/>
        </w:rPr>
        <w:t xml:space="preserve"> dnem jejího podpisu oběma smluvními stranami a </w:t>
      </w:r>
      <w:r w:rsidRPr="001719F7">
        <w:rPr>
          <w:sz w:val="22"/>
          <w:szCs w:val="22"/>
        </w:rPr>
        <w:t>účinnosti</w:t>
      </w:r>
      <w:r w:rsidR="007E68B3" w:rsidRPr="001719F7">
        <w:rPr>
          <w:sz w:val="22"/>
          <w:szCs w:val="22"/>
        </w:rPr>
        <w:t xml:space="preserve"> </w:t>
      </w:r>
      <w:r w:rsidR="00F1554C">
        <w:rPr>
          <w:sz w:val="22"/>
          <w:szCs w:val="22"/>
        </w:rPr>
        <w:t>dne 6.7.2021.</w:t>
      </w:r>
    </w:p>
    <w:p w14:paraId="3681678E" w14:textId="77777777" w:rsidR="007E68B3" w:rsidRPr="001719F7" w:rsidRDefault="007E68B3" w:rsidP="007869BD">
      <w:pPr>
        <w:pStyle w:val="Odstavecseseznamem"/>
        <w:spacing w:after="0" w:line="240" w:lineRule="auto"/>
        <w:rPr>
          <w:rFonts w:ascii="Times New Roman" w:hAnsi="Times New Roman"/>
        </w:rPr>
      </w:pPr>
    </w:p>
    <w:p w14:paraId="3681678F" w14:textId="4CB82CC1" w:rsidR="0036267C" w:rsidRPr="001719F7" w:rsidRDefault="0036267C" w:rsidP="00D41E43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719F7">
        <w:rPr>
          <w:sz w:val="22"/>
          <w:szCs w:val="22"/>
        </w:rPr>
        <w:t xml:space="preserve">Doložka podle § 41 odst. 1 zákona č. 128/2000 Sb., o obcích (obecní zřízení), ve znění pozdějších předpisů: uzavření této </w:t>
      </w:r>
      <w:r w:rsidR="00E8329C" w:rsidRPr="001719F7">
        <w:rPr>
          <w:sz w:val="22"/>
          <w:szCs w:val="22"/>
        </w:rPr>
        <w:t>D</w:t>
      </w:r>
      <w:r w:rsidRPr="001719F7">
        <w:rPr>
          <w:sz w:val="22"/>
          <w:szCs w:val="22"/>
        </w:rPr>
        <w:t xml:space="preserve">ohody bylo schváleno na </w:t>
      </w:r>
      <w:r w:rsidR="00881ECB">
        <w:rPr>
          <w:sz w:val="22"/>
          <w:szCs w:val="22"/>
        </w:rPr>
        <w:t xml:space="preserve">65. </w:t>
      </w:r>
      <w:r w:rsidRPr="001719F7">
        <w:rPr>
          <w:sz w:val="22"/>
          <w:szCs w:val="22"/>
        </w:rPr>
        <w:t xml:space="preserve">schůzi Rady města Přerova konané dne </w:t>
      </w:r>
      <w:r w:rsidR="00881ECB">
        <w:rPr>
          <w:sz w:val="22"/>
          <w:szCs w:val="22"/>
        </w:rPr>
        <w:t>24.06.2021</w:t>
      </w:r>
      <w:r w:rsidRPr="001719F7">
        <w:rPr>
          <w:sz w:val="22"/>
          <w:szCs w:val="22"/>
        </w:rPr>
        <w:t xml:space="preserve"> a to usnesením č. </w:t>
      </w:r>
      <w:r w:rsidR="00881ECB">
        <w:rPr>
          <w:sz w:val="22"/>
          <w:szCs w:val="22"/>
        </w:rPr>
        <w:t>2403/65/7/2021.</w:t>
      </w:r>
    </w:p>
    <w:p w14:paraId="36816790" w14:textId="77777777" w:rsidR="0036267C" w:rsidRPr="001719F7" w:rsidRDefault="0036267C" w:rsidP="007869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6816791" w14:textId="77777777" w:rsidR="00105C23" w:rsidRPr="001719F7" w:rsidRDefault="00105C23" w:rsidP="00854D96">
      <w:pPr>
        <w:jc w:val="both"/>
        <w:rPr>
          <w:rFonts w:ascii="Times New Roman" w:hAnsi="Times New Roman"/>
        </w:rPr>
      </w:pPr>
    </w:p>
    <w:p w14:paraId="36816792" w14:textId="06DA8A29" w:rsidR="00105C23" w:rsidRPr="001719F7" w:rsidRDefault="00BC222F" w:rsidP="00B15E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36816793" w14:textId="18CFE73D" w:rsidR="00105C23" w:rsidRPr="001719F7" w:rsidRDefault="00105C23" w:rsidP="00B15E2D">
      <w:pPr>
        <w:ind w:left="567"/>
        <w:rPr>
          <w:rFonts w:ascii="Times New Roman" w:hAnsi="Times New Roman"/>
        </w:rPr>
      </w:pPr>
      <w:r w:rsidRPr="001719F7">
        <w:rPr>
          <w:rFonts w:ascii="Times New Roman" w:hAnsi="Times New Roman"/>
        </w:rPr>
        <w:t>V Přerově dne</w:t>
      </w:r>
      <w:r w:rsidRPr="001719F7">
        <w:rPr>
          <w:rFonts w:ascii="Times New Roman" w:hAnsi="Times New Roman"/>
        </w:rPr>
        <w:tab/>
        <w:t xml:space="preserve">            </w:t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="00BC222F">
        <w:rPr>
          <w:rFonts w:ascii="Times New Roman" w:hAnsi="Times New Roman"/>
        </w:rPr>
        <w:t xml:space="preserve">                                       </w:t>
      </w:r>
      <w:r w:rsidRPr="001719F7">
        <w:rPr>
          <w:rFonts w:ascii="Times New Roman" w:hAnsi="Times New Roman"/>
        </w:rPr>
        <w:t>V Přerově dne</w:t>
      </w:r>
      <w:r w:rsidRPr="001719F7">
        <w:rPr>
          <w:rFonts w:ascii="Times New Roman" w:hAnsi="Times New Roman"/>
        </w:rPr>
        <w:tab/>
      </w:r>
    </w:p>
    <w:p w14:paraId="36816794" w14:textId="77777777" w:rsidR="00105C23" w:rsidRPr="001719F7" w:rsidRDefault="00105C23" w:rsidP="00B15E2D">
      <w:pPr>
        <w:ind w:left="567"/>
        <w:rPr>
          <w:rFonts w:ascii="Times New Roman" w:hAnsi="Times New Roman"/>
        </w:rPr>
      </w:pPr>
    </w:p>
    <w:p w14:paraId="36816795" w14:textId="77777777" w:rsidR="00105C23" w:rsidRPr="001719F7" w:rsidRDefault="00105C23" w:rsidP="00B15E2D">
      <w:pPr>
        <w:ind w:left="567"/>
        <w:rPr>
          <w:rFonts w:ascii="Times New Roman" w:hAnsi="Times New Roman"/>
        </w:rPr>
      </w:pPr>
      <w:r w:rsidRPr="001719F7">
        <w:rPr>
          <w:rFonts w:ascii="Times New Roman" w:hAnsi="Times New Roman"/>
        </w:rPr>
        <w:t>_______________________</w:t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  <w:t>______________________</w:t>
      </w:r>
    </w:p>
    <w:p w14:paraId="36816796" w14:textId="1DEADA1E" w:rsidR="00105C23" w:rsidRPr="001719F7" w:rsidRDefault="00BC222F" w:rsidP="00B15E2D">
      <w:pPr>
        <w:spacing w:after="0"/>
        <w:ind w:left="567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</w:t>
      </w:r>
      <w:r w:rsidR="00105C23" w:rsidRPr="001719F7">
        <w:rPr>
          <w:rFonts w:ascii="Times New Roman" w:hAnsi="Times New Roman"/>
          <w:b/>
          <w:bCs/>
          <w:iCs/>
        </w:rPr>
        <w:t>NORSOL s. r. o.</w:t>
      </w:r>
      <w:r w:rsidR="00105C23" w:rsidRPr="001719F7">
        <w:rPr>
          <w:rFonts w:ascii="Times New Roman" w:hAnsi="Times New Roman"/>
          <w:bCs/>
          <w:iCs/>
        </w:rPr>
        <w:tab/>
      </w:r>
      <w:r w:rsidR="00105C23" w:rsidRPr="001719F7">
        <w:rPr>
          <w:rFonts w:ascii="Times New Roman" w:hAnsi="Times New Roman"/>
          <w:bCs/>
          <w:iCs/>
        </w:rPr>
        <w:tab/>
      </w:r>
      <w:r w:rsidR="00105C23" w:rsidRPr="001719F7">
        <w:rPr>
          <w:rFonts w:ascii="Times New Roman" w:hAnsi="Times New Roman"/>
          <w:bCs/>
          <w:iCs/>
        </w:rPr>
        <w:tab/>
      </w:r>
      <w:r w:rsidR="00105C23" w:rsidRPr="001719F7">
        <w:rPr>
          <w:rFonts w:ascii="Times New Roman" w:hAnsi="Times New Roman"/>
          <w:bCs/>
          <w:iCs/>
        </w:rPr>
        <w:tab/>
      </w:r>
      <w:r w:rsidR="00105C23" w:rsidRPr="001719F7"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 xml:space="preserve">   </w:t>
      </w:r>
      <w:r w:rsidR="00D565A0">
        <w:rPr>
          <w:rFonts w:ascii="Times New Roman" w:hAnsi="Times New Roman"/>
          <w:bCs/>
          <w:iCs/>
        </w:rPr>
        <w:t>s</w:t>
      </w:r>
      <w:r w:rsidR="00105C23" w:rsidRPr="001719F7">
        <w:rPr>
          <w:rFonts w:ascii="Times New Roman" w:hAnsi="Times New Roman"/>
          <w:b/>
          <w:bCs/>
          <w:iCs/>
        </w:rPr>
        <w:t>tatutární město Přerov</w:t>
      </w:r>
    </w:p>
    <w:p w14:paraId="36816797" w14:textId="5445780D" w:rsidR="00105C23" w:rsidRPr="001719F7" w:rsidRDefault="00BC222F" w:rsidP="00B15E2D">
      <w:pPr>
        <w:spacing w:after="0"/>
        <w:ind w:left="567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</w:t>
      </w:r>
      <w:r w:rsidR="00105C23" w:rsidRPr="001719F7">
        <w:rPr>
          <w:rFonts w:ascii="Times New Roman" w:hAnsi="Times New Roman"/>
          <w:bCs/>
          <w:iCs/>
        </w:rPr>
        <w:t>poskytovatel 1</w:t>
      </w:r>
      <w:r w:rsidR="00105C23" w:rsidRPr="001719F7">
        <w:rPr>
          <w:rFonts w:ascii="Times New Roman" w:hAnsi="Times New Roman"/>
        </w:rPr>
        <w:tab/>
      </w:r>
      <w:r w:rsidR="00105C23" w:rsidRPr="001719F7">
        <w:rPr>
          <w:rFonts w:ascii="Times New Roman" w:hAnsi="Times New Roman"/>
        </w:rPr>
        <w:tab/>
      </w:r>
      <w:r w:rsidR="00105C23" w:rsidRPr="001719F7">
        <w:rPr>
          <w:rFonts w:ascii="Times New Roman" w:hAnsi="Times New Roman"/>
        </w:rPr>
        <w:tab/>
      </w:r>
      <w:r w:rsidR="00105C23" w:rsidRPr="001719F7">
        <w:rPr>
          <w:rFonts w:ascii="Times New Roman" w:hAnsi="Times New Roman"/>
        </w:rPr>
        <w:tab/>
      </w:r>
      <w:r w:rsidR="00105C23" w:rsidRPr="001719F7">
        <w:rPr>
          <w:rFonts w:ascii="Times New Roman" w:hAnsi="Times New Roman"/>
        </w:rPr>
        <w:tab/>
      </w:r>
      <w:r w:rsidR="00105C23" w:rsidRPr="001719F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105C23" w:rsidRPr="001719F7">
        <w:rPr>
          <w:rFonts w:ascii="Times New Roman" w:hAnsi="Times New Roman"/>
          <w:bCs/>
          <w:iCs/>
        </w:rPr>
        <w:t>uživatel</w:t>
      </w:r>
    </w:p>
    <w:p w14:paraId="36816798" w14:textId="77777777" w:rsidR="00105C23" w:rsidRPr="001719F7" w:rsidRDefault="00105C23" w:rsidP="00B15E2D">
      <w:pPr>
        <w:ind w:left="567"/>
        <w:rPr>
          <w:rFonts w:ascii="Times New Roman" w:hAnsi="Times New Roman"/>
        </w:rPr>
      </w:pPr>
    </w:p>
    <w:p w14:paraId="36816799" w14:textId="77777777" w:rsidR="00105C23" w:rsidRPr="001719F7" w:rsidRDefault="00105C23" w:rsidP="00B15E2D">
      <w:pPr>
        <w:ind w:left="567"/>
        <w:jc w:val="both"/>
        <w:rPr>
          <w:rFonts w:ascii="Times New Roman" w:hAnsi="Times New Roman"/>
        </w:rPr>
      </w:pPr>
    </w:p>
    <w:p w14:paraId="3681679A" w14:textId="7AE6D8A9" w:rsidR="00105C23" w:rsidRPr="001719F7" w:rsidRDefault="00105C23" w:rsidP="00B15E2D">
      <w:pPr>
        <w:ind w:left="567"/>
        <w:rPr>
          <w:rFonts w:ascii="Times New Roman" w:hAnsi="Times New Roman"/>
        </w:rPr>
      </w:pPr>
      <w:r w:rsidRPr="001719F7">
        <w:rPr>
          <w:rFonts w:ascii="Times New Roman" w:hAnsi="Times New Roman"/>
        </w:rPr>
        <w:t>V Přerově dne</w:t>
      </w:r>
      <w:r w:rsidRPr="001719F7">
        <w:rPr>
          <w:rFonts w:ascii="Times New Roman" w:hAnsi="Times New Roman"/>
        </w:rPr>
        <w:tab/>
        <w:t xml:space="preserve">  </w:t>
      </w:r>
      <w:r w:rsidRPr="001719F7">
        <w:rPr>
          <w:rFonts w:ascii="Times New Roman" w:hAnsi="Times New Roman"/>
        </w:rPr>
        <w:tab/>
      </w:r>
    </w:p>
    <w:p w14:paraId="3681679B" w14:textId="77777777" w:rsidR="00105C23" w:rsidRPr="001719F7" w:rsidRDefault="00105C23" w:rsidP="00B15E2D">
      <w:pPr>
        <w:ind w:left="567"/>
        <w:rPr>
          <w:rFonts w:ascii="Times New Roman" w:hAnsi="Times New Roman"/>
        </w:rPr>
      </w:pPr>
      <w:r w:rsidRPr="001719F7">
        <w:rPr>
          <w:rFonts w:ascii="Times New Roman" w:hAnsi="Times New Roman"/>
        </w:rPr>
        <w:t xml:space="preserve">            </w:t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  <w:t xml:space="preserve">   </w:t>
      </w:r>
      <w:r w:rsidRPr="001719F7">
        <w:rPr>
          <w:rFonts w:ascii="Times New Roman" w:hAnsi="Times New Roman"/>
        </w:rPr>
        <w:tab/>
      </w:r>
    </w:p>
    <w:p w14:paraId="3681679C" w14:textId="77777777" w:rsidR="00105C23" w:rsidRPr="001719F7" w:rsidRDefault="00105C23" w:rsidP="00B15E2D">
      <w:pPr>
        <w:ind w:left="567"/>
        <w:rPr>
          <w:rFonts w:ascii="Times New Roman" w:hAnsi="Times New Roman"/>
        </w:rPr>
      </w:pPr>
      <w:r w:rsidRPr="001719F7">
        <w:rPr>
          <w:rFonts w:ascii="Times New Roman" w:hAnsi="Times New Roman"/>
        </w:rPr>
        <w:t>_______________________</w:t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  <w:r w:rsidRPr="001719F7">
        <w:rPr>
          <w:rFonts w:ascii="Times New Roman" w:hAnsi="Times New Roman"/>
        </w:rPr>
        <w:tab/>
      </w:r>
    </w:p>
    <w:p w14:paraId="3681679D" w14:textId="1F8E216F" w:rsidR="00105C23" w:rsidRPr="001719F7" w:rsidRDefault="00BC222F" w:rsidP="00B15E2D">
      <w:pPr>
        <w:spacing w:after="0"/>
        <w:ind w:left="567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</w:t>
      </w:r>
      <w:r w:rsidR="00105C23" w:rsidRPr="001719F7">
        <w:rPr>
          <w:rFonts w:ascii="Times New Roman" w:hAnsi="Times New Roman"/>
          <w:b/>
          <w:bCs/>
          <w:iCs/>
        </w:rPr>
        <w:t xml:space="preserve">EMOS </w:t>
      </w:r>
      <w:proofErr w:type="spellStart"/>
      <w:r w:rsidR="00105C23" w:rsidRPr="001719F7">
        <w:rPr>
          <w:rFonts w:ascii="Times New Roman" w:hAnsi="Times New Roman"/>
          <w:b/>
          <w:bCs/>
          <w:iCs/>
        </w:rPr>
        <w:t>property</w:t>
      </w:r>
      <w:proofErr w:type="spellEnd"/>
      <w:r w:rsidR="00105C23" w:rsidRPr="001719F7">
        <w:rPr>
          <w:rFonts w:ascii="Times New Roman" w:hAnsi="Times New Roman"/>
          <w:b/>
          <w:bCs/>
          <w:iCs/>
        </w:rPr>
        <w:t xml:space="preserve"> s. r. o.</w:t>
      </w:r>
      <w:r w:rsidR="00105C23" w:rsidRPr="001719F7">
        <w:rPr>
          <w:rFonts w:ascii="Times New Roman" w:hAnsi="Times New Roman"/>
          <w:b/>
          <w:bCs/>
          <w:iCs/>
        </w:rPr>
        <w:tab/>
      </w:r>
      <w:r w:rsidR="00105C23" w:rsidRPr="001719F7">
        <w:rPr>
          <w:rFonts w:ascii="Times New Roman" w:hAnsi="Times New Roman"/>
          <w:b/>
          <w:bCs/>
          <w:iCs/>
        </w:rPr>
        <w:tab/>
      </w:r>
      <w:r w:rsidR="00105C23" w:rsidRPr="001719F7">
        <w:rPr>
          <w:rFonts w:ascii="Times New Roman" w:hAnsi="Times New Roman"/>
          <w:b/>
          <w:bCs/>
          <w:iCs/>
        </w:rPr>
        <w:tab/>
      </w:r>
      <w:r w:rsidR="00105C23" w:rsidRPr="001719F7">
        <w:rPr>
          <w:rFonts w:ascii="Times New Roman" w:hAnsi="Times New Roman"/>
          <w:b/>
          <w:bCs/>
          <w:iCs/>
        </w:rPr>
        <w:tab/>
      </w:r>
      <w:r w:rsidR="00105C23" w:rsidRPr="001719F7">
        <w:rPr>
          <w:rFonts w:ascii="Times New Roman" w:hAnsi="Times New Roman"/>
          <w:b/>
          <w:bCs/>
          <w:iCs/>
        </w:rPr>
        <w:tab/>
      </w:r>
      <w:r w:rsidR="00105C23" w:rsidRPr="001719F7">
        <w:rPr>
          <w:rFonts w:ascii="Times New Roman" w:hAnsi="Times New Roman"/>
          <w:b/>
          <w:bCs/>
          <w:iCs/>
        </w:rPr>
        <w:tab/>
      </w:r>
    </w:p>
    <w:p w14:paraId="3681679E" w14:textId="08EBAC81" w:rsidR="00105C23" w:rsidRPr="001719F7" w:rsidRDefault="00BC222F" w:rsidP="00B15E2D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       </w:t>
      </w:r>
      <w:r w:rsidR="00105C23" w:rsidRPr="001719F7">
        <w:rPr>
          <w:rFonts w:ascii="Times New Roman" w:hAnsi="Times New Roman"/>
          <w:bCs/>
          <w:iCs/>
        </w:rPr>
        <w:t>poskytovatel</w:t>
      </w:r>
      <w:r w:rsidR="00105C23" w:rsidRPr="001719F7">
        <w:rPr>
          <w:rFonts w:ascii="Times New Roman" w:hAnsi="Times New Roman"/>
        </w:rPr>
        <w:t xml:space="preserve"> 2</w:t>
      </w:r>
    </w:p>
    <w:sectPr w:rsidR="00105C23" w:rsidRPr="001719F7" w:rsidSect="00BC222F">
      <w:headerReference w:type="default" r:id="rId8"/>
      <w:pgSz w:w="11906" w:h="16838"/>
      <w:pgMar w:top="170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A272" w14:textId="77777777" w:rsidR="00546B6D" w:rsidRDefault="00546B6D" w:rsidP="002D086C">
      <w:pPr>
        <w:spacing w:after="0" w:line="240" w:lineRule="auto"/>
      </w:pPr>
      <w:r>
        <w:separator/>
      </w:r>
    </w:p>
  </w:endnote>
  <w:endnote w:type="continuationSeparator" w:id="0">
    <w:p w14:paraId="5B9A6071" w14:textId="77777777" w:rsidR="00546B6D" w:rsidRDefault="00546B6D" w:rsidP="002D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0F17" w14:textId="77777777" w:rsidR="00546B6D" w:rsidRDefault="00546B6D" w:rsidP="002D086C">
      <w:pPr>
        <w:spacing w:after="0" w:line="240" w:lineRule="auto"/>
      </w:pPr>
      <w:r>
        <w:separator/>
      </w:r>
    </w:p>
  </w:footnote>
  <w:footnote w:type="continuationSeparator" w:id="0">
    <w:p w14:paraId="06347F2F" w14:textId="77777777" w:rsidR="00546B6D" w:rsidRDefault="00546B6D" w:rsidP="002D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67A3" w14:textId="77777777" w:rsidR="002D086C" w:rsidRDefault="002D086C" w:rsidP="002D086C">
    <w:pPr>
      <w:pStyle w:val="Zhlav"/>
    </w:pPr>
    <w:r>
      <w:tab/>
      <w:t xml:space="preserve">                                                                                                                                               </w:t>
    </w:r>
  </w:p>
  <w:p w14:paraId="368167A4" w14:textId="36A9199F" w:rsidR="002D086C" w:rsidRPr="002D086C" w:rsidRDefault="002D086C" w:rsidP="002D086C">
    <w:pPr>
      <w:pStyle w:val="Zhlav"/>
      <w:rPr>
        <w:rFonts w:ascii="Times New Roman" w:hAnsi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</w:t>
    </w:r>
    <w:proofErr w:type="spellStart"/>
    <w:r w:rsidRPr="002D086C">
      <w:rPr>
        <w:rFonts w:ascii="Times New Roman" w:hAnsi="Times New Roman"/>
        <w:sz w:val="24"/>
        <w:szCs w:val="24"/>
      </w:rPr>
      <w:t>MMPr</w:t>
    </w:r>
    <w:proofErr w:type="spellEnd"/>
    <w:r w:rsidRPr="002D086C">
      <w:rPr>
        <w:rFonts w:ascii="Times New Roman" w:hAnsi="Times New Roman"/>
        <w:sz w:val="24"/>
        <w:szCs w:val="24"/>
      </w:rPr>
      <w:t>/SML</w:t>
    </w:r>
    <w:r w:rsidR="00AC26A2">
      <w:rPr>
        <w:rFonts w:ascii="Times New Roman" w:hAnsi="Times New Roman"/>
        <w:sz w:val="24"/>
        <w:szCs w:val="24"/>
      </w:rPr>
      <w:t>1053</w:t>
    </w:r>
    <w:r w:rsidRPr="002D086C">
      <w:rPr>
        <w:rFonts w:ascii="Times New Roman" w:hAnsi="Times New Roman"/>
        <w:sz w:val="24"/>
        <w:szCs w:val="24"/>
      </w:rPr>
      <w:t>/20</w:t>
    </w:r>
    <w:r w:rsidR="00803512">
      <w:rPr>
        <w:rFonts w:ascii="Times New Roman" w:hAnsi="Times New Roman"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72B71A"/>
    <w:multiLevelType w:val="hybridMultilevel"/>
    <w:tmpl w:val="964EC97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CB86493E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736B01"/>
    <w:multiLevelType w:val="hybridMultilevel"/>
    <w:tmpl w:val="1B0630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7040B"/>
    <w:multiLevelType w:val="hybridMultilevel"/>
    <w:tmpl w:val="3FB4289C"/>
    <w:lvl w:ilvl="0" w:tplc="0C86E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C8EF0"/>
    <w:multiLevelType w:val="hybridMultilevel"/>
    <w:tmpl w:val="4C984B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DC2847"/>
    <w:multiLevelType w:val="hybridMultilevel"/>
    <w:tmpl w:val="D2C45D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4F4A3E"/>
    <w:multiLevelType w:val="hybridMultilevel"/>
    <w:tmpl w:val="408EE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380DBA"/>
    <w:multiLevelType w:val="hybridMultilevel"/>
    <w:tmpl w:val="BB46EF5A"/>
    <w:lvl w:ilvl="0" w:tplc="1602B0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469FE"/>
    <w:multiLevelType w:val="hybridMultilevel"/>
    <w:tmpl w:val="B19AF096"/>
    <w:lvl w:ilvl="0" w:tplc="2D36F3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E2977"/>
    <w:multiLevelType w:val="hybridMultilevel"/>
    <w:tmpl w:val="408EE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F83077"/>
    <w:multiLevelType w:val="hybridMultilevel"/>
    <w:tmpl w:val="31F01E2C"/>
    <w:lvl w:ilvl="0" w:tplc="0AD87E78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D818DE"/>
    <w:multiLevelType w:val="hybridMultilevel"/>
    <w:tmpl w:val="390A9DE8"/>
    <w:lvl w:ilvl="0" w:tplc="5E901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217609"/>
    <w:multiLevelType w:val="hybridMultilevel"/>
    <w:tmpl w:val="432A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925FE"/>
    <w:multiLevelType w:val="hybridMultilevel"/>
    <w:tmpl w:val="89367F80"/>
    <w:lvl w:ilvl="0" w:tplc="B44445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F7CA3"/>
    <w:multiLevelType w:val="hybridMultilevel"/>
    <w:tmpl w:val="4920AFEC"/>
    <w:lvl w:ilvl="0" w:tplc="9A4E0F7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5D610F74"/>
    <w:multiLevelType w:val="hybridMultilevel"/>
    <w:tmpl w:val="11F6541E"/>
    <w:lvl w:ilvl="0" w:tplc="951AB2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56B78C4"/>
    <w:multiLevelType w:val="hybridMultilevel"/>
    <w:tmpl w:val="C6F2EECA"/>
    <w:lvl w:ilvl="0" w:tplc="523AD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4D1D70"/>
    <w:multiLevelType w:val="hybridMultilevel"/>
    <w:tmpl w:val="8594EAAC"/>
    <w:lvl w:ilvl="0" w:tplc="BD2CF69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6"/>
  </w:num>
  <w:num w:numId="5">
    <w:abstractNumId w:val="15"/>
  </w:num>
  <w:num w:numId="6">
    <w:abstractNumId w:val="3"/>
  </w:num>
  <w:num w:numId="7">
    <w:abstractNumId w:val="11"/>
  </w:num>
  <w:num w:numId="8">
    <w:abstractNumId w:val="14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76"/>
    <w:rsid w:val="0001296A"/>
    <w:rsid w:val="0001641C"/>
    <w:rsid w:val="00017FD9"/>
    <w:rsid w:val="000515CA"/>
    <w:rsid w:val="0005242E"/>
    <w:rsid w:val="00053FD0"/>
    <w:rsid w:val="00060AA0"/>
    <w:rsid w:val="000759FF"/>
    <w:rsid w:val="00077042"/>
    <w:rsid w:val="000A6BCB"/>
    <w:rsid w:val="000C3946"/>
    <w:rsid w:val="000D1CB1"/>
    <w:rsid w:val="000E0C06"/>
    <w:rsid w:val="000F00C9"/>
    <w:rsid w:val="000F0423"/>
    <w:rsid w:val="00105C23"/>
    <w:rsid w:val="00106E2C"/>
    <w:rsid w:val="001102EA"/>
    <w:rsid w:val="00114A7F"/>
    <w:rsid w:val="00146DAF"/>
    <w:rsid w:val="001654A8"/>
    <w:rsid w:val="001719F7"/>
    <w:rsid w:val="00197A4F"/>
    <w:rsid w:val="001A5E8A"/>
    <w:rsid w:val="001B581C"/>
    <w:rsid w:val="001C6C4A"/>
    <w:rsid w:val="001C734F"/>
    <w:rsid w:val="001D1983"/>
    <w:rsid w:val="001E4009"/>
    <w:rsid w:val="001F35CA"/>
    <w:rsid w:val="0020047D"/>
    <w:rsid w:val="00217007"/>
    <w:rsid w:val="002269B9"/>
    <w:rsid w:val="00243691"/>
    <w:rsid w:val="00262E83"/>
    <w:rsid w:val="0027138E"/>
    <w:rsid w:val="00271AF4"/>
    <w:rsid w:val="002863D4"/>
    <w:rsid w:val="002C6EB3"/>
    <w:rsid w:val="002D086C"/>
    <w:rsid w:val="002E6B74"/>
    <w:rsid w:val="002F22A0"/>
    <w:rsid w:val="002F57EB"/>
    <w:rsid w:val="00334348"/>
    <w:rsid w:val="00337340"/>
    <w:rsid w:val="003413D1"/>
    <w:rsid w:val="003505E7"/>
    <w:rsid w:val="00355A58"/>
    <w:rsid w:val="00357B5B"/>
    <w:rsid w:val="0036267C"/>
    <w:rsid w:val="00381676"/>
    <w:rsid w:val="003A1931"/>
    <w:rsid w:val="003B32A8"/>
    <w:rsid w:val="003B3358"/>
    <w:rsid w:val="003B3884"/>
    <w:rsid w:val="003F00C0"/>
    <w:rsid w:val="004033E2"/>
    <w:rsid w:val="00415989"/>
    <w:rsid w:val="0041667C"/>
    <w:rsid w:val="004306B9"/>
    <w:rsid w:val="00436F31"/>
    <w:rsid w:val="00440909"/>
    <w:rsid w:val="00440A76"/>
    <w:rsid w:val="00446902"/>
    <w:rsid w:val="0046372F"/>
    <w:rsid w:val="00467345"/>
    <w:rsid w:val="004679F9"/>
    <w:rsid w:val="00467A4D"/>
    <w:rsid w:val="00475DDB"/>
    <w:rsid w:val="00476AC2"/>
    <w:rsid w:val="00477644"/>
    <w:rsid w:val="00496558"/>
    <w:rsid w:val="004A0429"/>
    <w:rsid w:val="004A1A1D"/>
    <w:rsid w:val="004B22A6"/>
    <w:rsid w:val="004C5E4A"/>
    <w:rsid w:val="005136AB"/>
    <w:rsid w:val="00522ED6"/>
    <w:rsid w:val="00533AC1"/>
    <w:rsid w:val="00546B6D"/>
    <w:rsid w:val="00562CD7"/>
    <w:rsid w:val="00570BCB"/>
    <w:rsid w:val="00571B50"/>
    <w:rsid w:val="00595E0B"/>
    <w:rsid w:val="00596240"/>
    <w:rsid w:val="005A5D5B"/>
    <w:rsid w:val="005C1626"/>
    <w:rsid w:val="005D05CA"/>
    <w:rsid w:val="005D086D"/>
    <w:rsid w:val="005D20E5"/>
    <w:rsid w:val="005D553F"/>
    <w:rsid w:val="00614C9D"/>
    <w:rsid w:val="0062618F"/>
    <w:rsid w:val="0064588B"/>
    <w:rsid w:val="00656CC4"/>
    <w:rsid w:val="00672786"/>
    <w:rsid w:val="006A4CFD"/>
    <w:rsid w:val="006B3F04"/>
    <w:rsid w:val="006C19EC"/>
    <w:rsid w:val="006D7CEB"/>
    <w:rsid w:val="006F0FFA"/>
    <w:rsid w:val="00717581"/>
    <w:rsid w:val="00723F27"/>
    <w:rsid w:val="0073693C"/>
    <w:rsid w:val="00736C32"/>
    <w:rsid w:val="00737AE4"/>
    <w:rsid w:val="00747FD5"/>
    <w:rsid w:val="00760857"/>
    <w:rsid w:val="00762F8A"/>
    <w:rsid w:val="00783A70"/>
    <w:rsid w:val="007869BD"/>
    <w:rsid w:val="007A0684"/>
    <w:rsid w:val="007A3BFB"/>
    <w:rsid w:val="007D077B"/>
    <w:rsid w:val="007D3219"/>
    <w:rsid w:val="007D6E12"/>
    <w:rsid w:val="007D77F5"/>
    <w:rsid w:val="007E68B3"/>
    <w:rsid w:val="00803512"/>
    <w:rsid w:val="00807422"/>
    <w:rsid w:val="00850387"/>
    <w:rsid w:val="008519F7"/>
    <w:rsid w:val="00854D96"/>
    <w:rsid w:val="008656D8"/>
    <w:rsid w:val="008705BF"/>
    <w:rsid w:val="008746C6"/>
    <w:rsid w:val="00875250"/>
    <w:rsid w:val="00881ECB"/>
    <w:rsid w:val="00882EA4"/>
    <w:rsid w:val="008905CA"/>
    <w:rsid w:val="008D7E5F"/>
    <w:rsid w:val="008F2AF8"/>
    <w:rsid w:val="008F7996"/>
    <w:rsid w:val="009038BA"/>
    <w:rsid w:val="0090574C"/>
    <w:rsid w:val="009062D0"/>
    <w:rsid w:val="00907DF7"/>
    <w:rsid w:val="009307C0"/>
    <w:rsid w:val="00932FDC"/>
    <w:rsid w:val="00937048"/>
    <w:rsid w:val="00966EB8"/>
    <w:rsid w:val="00972E8F"/>
    <w:rsid w:val="009730BB"/>
    <w:rsid w:val="009C4C24"/>
    <w:rsid w:val="009D34EF"/>
    <w:rsid w:val="009F4F65"/>
    <w:rsid w:val="00A23560"/>
    <w:rsid w:val="00A274A0"/>
    <w:rsid w:val="00A3369B"/>
    <w:rsid w:val="00A54487"/>
    <w:rsid w:val="00A5566B"/>
    <w:rsid w:val="00A64175"/>
    <w:rsid w:val="00A6594C"/>
    <w:rsid w:val="00A73F46"/>
    <w:rsid w:val="00A7750B"/>
    <w:rsid w:val="00A970F9"/>
    <w:rsid w:val="00A97204"/>
    <w:rsid w:val="00AB07FC"/>
    <w:rsid w:val="00AC020A"/>
    <w:rsid w:val="00AC0AFA"/>
    <w:rsid w:val="00AC1152"/>
    <w:rsid w:val="00AC26A2"/>
    <w:rsid w:val="00AC44DA"/>
    <w:rsid w:val="00AE6D7C"/>
    <w:rsid w:val="00B06D8A"/>
    <w:rsid w:val="00B15E2D"/>
    <w:rsid w:val="00B15F08"/>
    <w:rsid w:val="00B542F7"/>
    <w:rsid w:val="00B573A4"/>
    <w:rsid w:val="00B7547D"/>
    <w:rsid w:val="00B841A3"/>
    <w:rsid w:val="00B92EB7"/>
    <w:rsid w:val="00B9421A"/>
    <w:rsid w:val="00BA2685"/>
    <w:rsid w:val="00BA37BC"/>
    <w:rsid w:val="00BB3A58"/>
    <w:rsid w:val="00BC222F"/>
    <w:rsid w:val="00BD49C6"/>
    <w:rsid w:val="00BD6110"/>
    <w:rsid w:val="00BF42F0"/>
    <w:rsid w:val="00C029AD"/>
    <w:rsid w:val="00C03A18"/>
    <w:rsid w:val="00C06DF4"/>
    <w:rsid w:val="00C3700C"/>
    <w:rsid w:val="00C55F0A"/>
    <w:rsid w:val="00C62E02"/>
    <w:rsid w:val="00C71C45"/>
    <w:rsid w:val="00CA3893"/>
    <w:rsid w:val="00CA38DB"/>
    <w:rsid w:val="00CA5376"/>
    <w:rsid w:val="00CD0D13"/>
    <w:rsid w:val="00D00D07"/>
    <w:rsid w:val="00D01187"/>
    <w:rsid w:val="00D0435A"/>
    <w:rsid w:val="00D117E0"/>
    <w:rsid w:val="00D1344F"/>
    <w:rsid w:val="00D26D85"/>
    <w:rsid w:val="00D2746F"/>
    <w:rsid w:val="00D3414F"/>
    <w:rsid w:val="00D41E43"/>
    <w:rsid w:val="00D565A0"/>
    <w:rsid w:val="00D65896"/>
    <w:rsid w:val="00D71F17"/>
    <w:rsid w:val="00DE394B"/>
    <w:rsid w:val="00DE7120"/>
    <w:rsid w:val="00E063A2"/>
    <w:rsid w:val="00E37F6E"/>
    <w:rsid w:val="00E440A7"/>
    <w:rsid w:val="00E8329C"/>
    <w:rsid w:val="00E845B1"/>
    <w:rsid w:val="00EF0267"/>
    <w:rsid w:val="00F02E13"/>
    <w:rsid w:val="00F10413"/>
    <w:rsid w:val="00F1554C"/>
    <w:rsid w:val="00F15EE4"/>
    <w:rsid w:val="00F22105"/>
    <w:rsid w:val="00F4031C"/>
    <w:rsid w:val="00F9530B"/>
    <w:rsid w:val="00FA04C1"/>
    <w:rsid w:val="00FA3B27"/>
    <w:rsid w:val="00FD7497"/>
    <w:rsid w:val="00FE04C2"/>
    <w:rsid w:val="00FE583E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1670B"/>
  <w15:docId w15:val="{7C081277-B413-48BB-9A7C-25D6B90A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40A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440A7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02E1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02E1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owrap">
    <w:name w:val="nowrap"/>
    <w:basedOn w:val="Standardnpsmoodstavce"/>
    <w:uiPriority w:val="99"/>
    <w:rsid w:val="005D553F"/>
    <w:rPr>
      <w:rFonts w:cs="Times New Roman"/>
    </w:rPr>
  </w:style>
  <w:style w:type="paragraph" w:styleId="Bezmezer">
    <w:name w:val="No Spacing"/>
    <w:uiPriority w:val="99"/>
    <w:qFormat/>
    <w:rsid w:val="005D553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26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7FD5"/>
    <w:rPr>
      <w:rFonts w:ascii="Times New Roman" w:hAnsi="Times New Roman" w:cs="Times New Roman"/>
      <w:sz w:val="2"/>
      <w:lang w:eastAsia="en-US"/>
    </w:rPr>
  </w:style>
  <w:style w:type="paragraph" w:styleId="Normlnweb">
    <w:name w:val="Normal (Web)"/>
    <w:basedOn w:val="Normln"/>
    <w:uiPriority w:val="99"/>
    <w:unhideWhenUsed/>
    <w:rsid w:val="00362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7A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86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86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1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rov.eu/cs/magistrat/o-magistratu/povinne-informace-dle-zakonu-gdpr/ochrana-osobnich-udaju-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</vt:lpstr>
    </vt:vector>
  </TitlesOfParts>
  <Company>ATC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</dc:title>
  <dc:creator>Petr</dc:creator>
  <cp:lastModifiedBy>Lucie Soldanová</cp:lastModifiedBy>
  <cp:revision>14</cp:revision>
  <cp:lastPrinted>2021-06-30T13:30:00Z</cp:lastPrinted>
  <dcterms:created xsi:type="dcterms:W3CDTF">2021-06-30T13:01:00Z</dcterms:created>
  <dcterms:modified xsi:type="dcterms:W3CDTF">2021-06-30T13:31:00Z</dcterms:modified>
</cp:coreProperties>
</file>