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7F" w:rsidRDefault="00234274">
      <w:pPr>
        <w:spacing w:before="80" w:line="425" w:lineRule="exact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1190400073</w:t>
      </w:r>
    </w:p>
    <w:p w:rsidR="0089147F" w:rsidRDefault="00234274">
      <w:pPr>
        <w:spacing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89147F" w:rsidRDefault="00234274">
      <w:pPr>
        <w:spacing w:before="2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89147F" w:rsidRDefault="0089147F">
      <w:pPr>
        <w:pStyle w:val="Zkladntext"/>
        <w:spacing w:before="11"/>
        <w:ind w:left="0"/>
        <w:jc w:val="left"/>
        <w:rPr>
          <w:sz w:val="59"/>
        </w:rPr>
      </w:pPr>
    </w:p>
    <w:p w:rsidR="0089147F" w:rsidRDefault="00234274">
      <w:pPr>
        <w:pStyle w:val="Zkladntext"/>
        <w:ind w:left="242"/>
        <w:jc w:val="left"/>
      </w:pPr>
      <w:r>
        <w:t>Smluvní strany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7"/>
        <w:ind w:left="242"/>
        <w:jc w:val="left"/>
      </w:pPr>
      <w:r>
        <w:t>Státní fond životního prostředí České republiky</w:t>
      </w:r>
    </w:p>
    <w:p w:rsidR="0089147F" w:rsidRDefault="00234274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5"/>
        </w:rPr>
        <w:t xml:space="preserve"> </w:t>
      </w:r>
      <w:r>
        <w:t>11</w:t>
      </w:r>
    </w:p>
    <w:p w:rsidR="0089147F" w:rsidRDefault="00234274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9147F" w:rsidRDefault="00234274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9147F" w:rsidRDefault="00234274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2"/>
        </w:rPr>
        <w:t xml:space="preserve"> </w:t>
      </w:r>
      <w:r>
        <w:t>ČR</w:t>
      </w:r>
    </w:p>
    <w:p w:rsidR="0089147F" w:rsidRDefault="00234274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9147F" w:rsidRDefault="00234274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9147F" w:rsidRDefault="00234274">
      <w:pPr>
        <w:pStyle w:val="Zkladntext"/>
        <w:spacing w:line="477" w:lineRule="auto"/>
        <w:ind w:left="242" w:right="7967"/>
        <w:jc w:val="left"/>
      </w:pPr>
      <w:r>
        <w:t>(dále jen „Fond") a</w:t>
      </w:r>
    </w:p>
    <w:p w:rsidR="0089147F" w:rsidRDefault="00234274">
      <w:pPr>
        <w:pStyle w:val="Nadpis1"/>
        <w:spacing w:before="5"/>
        <w:ind w:left="242"/>
        <w:jc w:val="left"/>
      </w:pPr>
      <w:r>
        <w:t>obec Žďár</w:t>
      </w:r>
    </w:p>
    <w:p w:rsidR="0089147F" w:rsidRDefault="00234274">
      <w:pPr>
        <w:pStyle w:val="Zkladntext"/>
        <w:tabs>
          <w:tab w:val="left" w:pos="3122"/>
        </w:tabs>
        <w:ind w:left="242" w:right="197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Žďár, Žďár-Břehy č.p. 20, 294 11</w:t>
      </w:r>
      <w:r>
        <w:rPr>
          <w:spacing w:val="-19"/>
        </w:rPr>
        <w:t xml:space="preserve"> </w:t>
      </w:r>
      <w:r>
        <w:t>Loukov IČO:</w:t>
      </w:r>
      <w:r>
        <w:tab/>
        <w:t>00238945</w:t>
      </w:r>
    </w:p>
    <w:p w:rsidR="0089147F" w:rsidRDefault="00234274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zastoupená:</w:t>
      </w:r>
      <w:r>
        <w:tab/>
        <w:t>Janem S ü s s e r e m,</w:t>
      </w:r>
      <w:r>
        <w:rPr>
          <w:spacing w:val="-2"/>
        </w:rPr>
        <w:t xml:space="preserve"> </w:t>
      </w:r>
      <w:r>
        <w:t>starostou</w:t>
      </w:r>
    </w:p>
    <w:p w:rsidR="0089147F" w:rsidRDefault="00234274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343FE" w:rsidRPr="00D343FE">
        <w:rPr>
          <w:highlight w:val="yellow"/>
        </w:rPr>
        <w:t>xxxx</w:t>
      </w:r>
    </w:p>
    <w:p w:rsidR="0089147F" w:rsidRDefault="00234274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343FE" w:rsidRPr="00D343FE">
        <w:rPr>
          <w:highlight w:val="yellow"/>
        </w:rPr>
        <w:t>xxxx</w:t>
      </w:r>
      <w:bookmarkStart w:id="0" w:name="_GoBack"/>
      <w:bookmarkEnd w:id="0"/>
    </w:p>
    <w:p w:rsidR="0089147F" w:rsidRDefault="00234274">
      <w:pPr>
        <w:pStyle w:val="Zkladntext"/>
        <w:spacing w:before="1"/>
        <w:ind w:left="242"/>
        <w:jc w:val="left"/>
      </w:pPr>
      <w:r>
        <w:t>(dále jen „příjemce podpory")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spacing w:before="12"/>
        <w:ind w:left="0"/>
        <w:jc w:val="left"/>
        <w:rPr>
          <w:sz w:val="33"/>
        </w:rPr>
      </w:pPr>
    </w:p>
    <w:p w:rsidR="0089147F" w:rsidRDefault="00234274">
      <w:pPr>
        <w:pStyle w:val="Zkladntext"/>
        <w:spacing w:before="1"/>
        <w:ind w:left="242"/>
        <w:jc w:val="left"/>
      </w:pPr>
      <w:r>
        <w:t>se dohodly takto: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7"/>
        <w:ind w:right="1014"/>
      </w:pPr>
      <w:r>
        <w:t>I.</w:t>
      </w:r>
    </w:p>
    <w:p w:rsidR="0089147F" w:rsidRDefault="00234274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9147F" w:rsidRDefault="0089147F">
      <w:pPr>
        <w:pStyle w:val="Zkladntext"/>
        <w:spacing w:before="12"/>
        <w:ind w:left="0"/>
        <w:jc w:val="left"/>
        <w:rPr>
          <w:b/>
          <w:sz w:val="19"/>
        </w:rPr>
      </w:pPr>
    </w:p>
    <w:p w:rsidR="0089147F" w:rsidRDefault="00234274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9147F" w:rsidRDefault="00234274">
      <w:pPr>
        <w:pStyle w:val="Zkladntext"/>
        <w:ind w:right="111"/>
      </w:pPr>
      <w:r>
        <w:t>„Smlouva“) se uzavírá na základě Rozhodnutí ministra životního prostředí č. 1190400073 o poskytnutí finančních prostředků ze Státního fondu životního prostřed</w:t>
      </w:r>
      <w:r>
        <w:t>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89147F" w:rsidRDefault="00234274">
      <w:pPr>
        <w:pStyle w:val="Zkladntext"/>
        <w:spacing w:before="3"/>
      </w:pPr>
      <w:r>
        <w:t>„Směrnice MŽP“), platné k</w:t>
      </w:r>
      <w:r>
        <w:t>e dni podání žádosti.</w:t>
      </w:r>
    </w:p>
    <w:p w:rsidR="0089147F" w:rsidRDefault="00234274">
      <w:pPr>
        <w:pStyle w:val="Odstavecseseznamem"/>
        <w:numPr>
          <w:ilvl w:val="0"/>
          <w:numId w:val="6"/>
        </w:numPr>
        <w:tabs>
          <w:tab w:val="left" w:pos="526"/>
        </w:tabs>
        <w:spacing w:before="117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4/2019    k předkládání žádostí o poskytnutí podpory v rámci Národního programu Životní prostředí, vydanou podle čl. 3 Směrnice MŽP (dále je</w:t>
      </w:r>
      <w:r>
        <w:rPr>
          <w:sz w:val="20"/>
        </w:rPr>
        <w:t>n „Výzva“), a že náležitosti akce odpovídají podmínkám 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9147F" w:rsidRDefault="0089147F">
      <w:pPr>
        <w:jc w:val="both"/>
        <w:rPr>
          <w:sz w:val="20"/>
        </w:rPr>
        <w:sectPr w:rsidR="0089147F">
          <w:footerReference w:type="default" r:id="rId7"/>
          <w:type w:val="continuous"/>
          <w:pgSz w:w="12240" w:h="15840"/>
          <w:pgMar w:top="1480" w:right="1020" w:bottom="1140" w:left="1460" w:header="708" w:footer="957" w:gutter="0"/>
          <w:pgNumType w:start="1"/>
          <w:cols w:space="708"/>
        </w:sectPr>
      </w:pPr>
    </w:p>
    <w:p w:rsidR="0089147F" w:rsidRDefault="00234274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9147F" w:rsidRDefault="00234274">
      <w:pPr>
        <w:pStyle w:val="Nadpis1"/>
        <w:spacing w:before="120"/>
        <w:ind w:left="2988"/>
        <w:jc w:val="left"/>
      </w:pPr>
      <w:r>
        <w:t>„Žehrov, Skokovy – splašková kanalizace“</w:t>
      </w:r>
    </w:p>
    <w:p w:rsidR="0089147F" w:rsidRDefault="00234274">
      <w:pPr>
        <w:pStyle w:val="Zkladntext"/>
        <w:spacing w:before="121"/>
        <w:jc w:val="left"/>
      </w:pPr>
      <w:r>
        <w:t>(dále jen „projekt“ nebo „akce“) realizovanou v letech 2020–2022. Akce je investiční.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7" w:line="265" w:lineRule="exact"/>
        <w:ind w:right="658"/>
      </w:pPr>
      <w:r>
        <w:t>II.</w:t>
      </w:r>
    </w:p>
    <w:p w:rsidR="0089147F" w:rsidRDefault="00234274">
      <w:pPr>
        <w:spacing w:line="265" w:lineRule="exact"/>
        <w:ind w:left="1142" w:right="65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9147F" w:rsidRDefault="0089147F">
      <w:pPr>
        <w:pStyle w:val="Zkladntext"/>
        <w:spacing w:before="1"/>
        <w:ind w:left="0"/>
        <w:jc w:val="left"/>
        <w:rPr>
          <w:b/>
        </w:rPr>
      </w:pP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982 138,89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sedmnáct milionů devět set osmdesát dva tisíce jedno sto třicet osm korun českých, osmdesát devět haléřů).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Základ  pro  stanovení  podpory  odpovídá  způsobilým  výdajům  stanoveným   Fondem  dle  žádosti   a jejích příloh a činí 28 207 276,72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 představuje 63,75 % základu pro 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 průběžně, v průběhu realizace akce) překročí základ pro stanovení podpory (popřípadě jeho část odpovídající postupu realizace akce), uhradí příjemce podp</w:t>
      </w:r>
      <w:r>
        <w:rPr>
          <w:sz w:val="20"/>
        </w:rPr>
        <w:t>ory částku tohoto překročení z vlastních zdrojů.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</w:t>
      </w:r>
      <w:r>
        <w:rPr>
          <w:sz w:val="20"/>
        </w:rPr>
        <w:t>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</w:p>
    <w:p w:rsidR="0089147F" w:rsidRDefault="00234274">
      <w:pPr>
        <w:pStyle w:val="Zkladntext"/>
        <w:spacing w:before="1"/>
      </w:pPr>
      <w:r>
        <w:t>a dodávky na realizaci akce.</w:t>
      </w:r>
    </w:p>
    <w:p w:rsidR="0089147F" w:rsidRDefault="00234274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2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8"/>
        <w:ind w:right="1018"/>
      </w:pPr>
      <w:r>
        <w:t>III.</w:t>
      </w:r>
    </w:p>
    <w:p w:rsidR="0089147F" w:rsidRDefault="00234274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9147F" w:rsidRDefault="0089147F">
      <w:pPr>
        <w:pStyle w:val="Zkladntext"/>
        <w:spacing w:before="12"/>
        <w:ind w:left="0"/>
        <w:jc w:val="left"/>
        <w:rPr>
          <w:b/>
          <w:sz w:val="19"/>
        </w:rPr>
      </w:pP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8"/>
          <w:sz w:val="20"/>
        </w:rPr>
        <w:t xml:space="preserve"> </w:t>
      </w:r>
      <w:r>
        <w:rPr>
          <w:sz w:val="20"/>
        </w:rPr>
        <w:t>postupem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25"/>
          <w:sz w:val="20"/>
        </w:rPr>
        <w:t xml:space="preserve"> </w:t>
      </w:r>
      <w:r>
        <w:rPr>
          <w:sz w:val="20"/>
        </w:rPr>
        <w:t>9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</w:p>
    <w:p w:rsidR="0089147F" w:rsidRDefault="00234274">
      <w:pPr>
        <w:pStyle w:val="Zkladntext"/>
        <w:spacing w:before="1"/>
      </w:pPr>
      <w:r>
        <w:t>byl dodržen poměr podpory a vlastních zdrojů vyplývající z níže uvedených částek.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89147F" w:rsidRDefault="0089147F">
      <w:pPr>
        <w:pStyle w:val="Zkladntext"/>
        <w:spacing w:before="12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89147F">
        <w:trPr>
          <w:trHeight w:val="386"/>
        </w:trPr>
        <w:tc>
          <w:tcPr>
            <w:tcW w:w="4779" w:type="dxa"/>
          </w:tcPr>
          <w:p w:rsidR="0089147F" w:rsidRDefault="00234274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89147F" w:rsidRDefault="00234274">
            <w:pPr>
              <w:pStyle w:val="TableParagraph"/>
              <w:spacing w:before="120" w:line="246" w:lineRule="exact"/>
              <w:ind w:left="1778" w:right="1777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89147F">
        <w:trPr>
          <w:trHeight w:val="386"/>
        </w:trPr>
        <w:tc>
          <w:tcPr>
            <w:tcW w:w="4779" w:type="dxa"/>
          </w:tcPr>
          <w:p w:rsidR="0089147F" w:rsidRDefault="00234274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89147F" w:rsidRDefault="00234274">
            <w:pPr>
              <w:pStyle w:val="TableParagraph"/>
              <w:spacing w:before="120" w:line="246" w:lineRule="exact"/>
              <w:ind w:left="0" w:right="1661"/>
              <w:jc w:val="right"/>
              <w:rPr>
                <w:sz w:val="20"/>
              </w:rPr>
            </w:pPr>
            <w:r>
              <w:rPr>
                <w:sz w:val="20"/>
              </w:rPr>
              <w:t>17 876 179,97</w:t>
            </w:r>
          </w:p>
        </w:tc>
      </w:tr>
      <w:tr w:rsidR="0089147F">
        <w:trPr>
          <w:trHeight w:val="388"/>
        </w:trPr>
        <w:tc>
          <w:tcPr>
            <w:tcW w:w="4779" w:type="dxa"/>
          </w:tcPr>
          <w:p w:rsidR="0089147F" w:rsidRDefault="00234274">
            <w:pPr>
              <w:pStyle w:val="TableParagraph"/>
              <w:spacing w:before="120" w:line="248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89147F" w:rsidRDefault="00234274">
            <w:pPr>
              <w:pStyle w:val="TableParagraph"/>
              <w:spacing w:before="120" w:line="248" w:lineRule="exact"/>
              <w:ind w:left="0" w:right="1658"/>
              <w:jc w:val="right"/>
              <w:rPr>
                <w:sz w:val="20"/>
              </w:rPr>
            </w:pPr>
            <w:r>
              <w:rPr>
                <w:sz w:val="20"/>
              </w:rPr>
              <w:t>105 958,92</w:t>
            </w:r>
          </w:p>
        </w:tc>
      </w:tr>
    </w:tbl>
    <w:p w:rsidR="0089147F" w:rsidRDefault="0089147F">
      <w:pPr>
        <w:pStyle w:val="Zkladntext"/>
        <w:spacing w:before="11"/>
        <w:ind w:left="0"/>
        <w:jc w:val="left"/>
        <w:rPr>
          <w:sz w:val="28"/>
        </w:rPr>
      </w:pP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</w:t>
      </w:r>
      <w:r>
        <w:rPr>
          <w:spacing w:val="11"/>
          <w:sz w:val="20"/>
        </w:rPr>
        <w:t xml:space="preserve"> </w:t>
      </w:r>
      <w:r>
        <w:rPr>
          <w:sz w:val="20"/>
        </w:rPr>
        <w:t>Agendového</w:t>
      </w:r>
    </w:p>
    <w:p w:rsidR="0089147F" w:rsidRDefault="0089147F">
      <w:pPr>
        <w:jc w:val="both"/>
        <w:rPr>
          <w:sz w:val="20"/>
        </w:rPr>
        <w:sectPr w:rsidR="0089147F">
          <w:pgSz w:w="12240" w:h="15840"/>
          <w:pgMar w:top="1060" w:right="1020" w:bottom="1140" w:left="1460" w:header="0" w:footer="957" w:gutter="0"/>
          <w:cols w:space="708"/>
        </w:sectPr>
      </w:pPr>
    </w:p>
    <w:p w:rsidR="0089147F" w:rsidRDefault="00234274">
      <w:pPr>
        <w:pStyle w:val="Zkladntext"/>
        <w:spacing w:before="73"/>
        <w:ind w:right="114"/>
      </w:pPr>
      <w:r>
        <w:lastRenderedPageBreak/>
        <w:t>informačního systému Státního fondu životního prostředí České republiky (dále jen „AIS SFŽP“) předloží s každou žádostí o uvolnění finančních prostředků (bod 10) příslušné doklady prokazující oprávněnost vynaložených finančních</w:t>
      </w:r>
      <w:r>
        <w:rPr>
          <w:spacing w:val="-1"/>
        </w:rPr>
        <w:t xml:space="preserve"> </w:t>
      </w:r>
      <w:r>
        <w:t>prostředků.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</w:t>
      </w:r>
      <w:r>
        <w:rPr>
          <w:sz w:val="20"/>
        </w:rPr>
        <w:t>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</w:t>
      </w:r>
      <w:r>
        <w:rPr>
          <w:sz w:val="20"/>
        </w:rPr>
        <w:t>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9147F" w:rsidRDefault="00234274">
      <w:pPr>
        <w:pStyle w:val="Zkladntext"/>
        <w:spacing w:before="1"/>
      </w:pPr>
      <w:r>
        <w:t>akce. V takovém případě Fond příjemci podpory umožní i odpovídající změnu termínů realizace akce.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22" w:line="237" w:lineRule="auto"/>
        <w:ind w:right="115"/>
        <w:jc w:val="both"/>
        <w:rPr>
          <w:sz w:val="20"/>
        </w:rPr>
      </w:pPr>
      <w:r>
        <w:rPr>
          <w:sz w:val="20"/>
        </w:rPr>
        <w:t>Příjemc</w:t>
      </w:r>
      <w:r>
        <w:rPr>
          <w:sz w:val="20"/>
        </w:rPr>
        <w:t>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a na</w:t>
      </w:r>
      <w:r>
        <w:rPr>
          <w:spacing w:val="-16"/>
          <w:sz w:val="20"/>
        </w:rPr>
        <w:t xml:space="preserve"> </w:t>
      </w:r>
      <w:r>
        <w:rPr>
          <w:sz w:val="20"/>
        </w:rPr>
        <w:t>základě žádostí</w:t>
      </w:r>
    </w:p>
    <w:p w:rsidR="0089147F" w:rsidRDefault="00234274">
      <w:pPr>
        <w:pStyle w:val="Zkladntext"/>
        <w:spacing w:before="1"/>
      </w:pPr>
      <w:r>
        <w:t>o uvolnění finančních prostředků doručených Fondu příjemc</w:t>
      </w:r>
      <w:r>
        <w:t>em podpory prostřednictvím AIS SFŽP.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89147F" w:rsidRDefault="00234274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</w:t>
      </w:r>
      <w:r>
        <w:rPr>
          <w:sz w:val="20"/>
        </w:rPr>
        <w:t>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</w:t>
      </w:r>
      <w:r>
        <w:rPr>
          <w:sz w:val="20"/>
        </w:rPr>
        <w:t>ádá Fondu  pouze faktury, včetně všech náležitostí  a příloh, které  ověřil, v souladu  s platnými právními předpisy z hlediska věcné, formální a finanční správnosti; Fond akceptuje předložení uhrazených faktur i z let předcházejících uvolnění podpory, pok</w:t>
      </w:r>
      <w:r>
        <w:rPr>
          <w:sz w:val="20"/>
        </w:rPr>
        <w:t>ud fakturace odpovídá 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9147F" w:rsidRDefault="00234274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3"/>
          <w:sz w:val="20"/>
        </w:rPr>
        <w:t xml:space="preserve"> </w:t>
      </w:r>
      <w:r>
        <w:rPr>
          <w:sz w:val="20"/>
        </w:rPr>
        <w:t>podpisem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3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</w:t>
      </w:r>
      <w:r>
        <w:rPr>
          <w:sz w:val="20"/>
        </w:rPr>
        <w:t>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6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4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"/>
          <w:sz w:val="20"/>
        </w:rPr>
        <w:t xml:space="preserve"> </w:t>
      </w:r>
      <w:r>
        <w:rPr>
          <w:sz w:val="20"/>
        </w:rPr>
        <w:t>dní od poskytnutí dotace uhradit dodavateli celou fakturu a nep</w:t>
      </w:r>
      <w:r>
        <w:rPr>
          <w:sz w:val="20"/>
        </w:rPr>
        <w:t>rodleně Fondu doložit příslušný bankovní výpis.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z w:val="20"/>
        </w:rPr>
        <w:t xml:space="preserve">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z</w:t>
      </w:r>
      <w:r>
        <w:rPr>
          <w:sz w:val="20"/>
        </w:rPr>
        <w:t>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občanským</w:t>
      </w:r>
    </w:p>
    <w:p w:rsidR="0089147F" w:rsidRDefault="0089147F">
      <w:pPr>
        <w:jc w:val="both"/>
        <w:rPr>
          <w:sz w:val="20"/>
        </w:rPr>
        <w:sectPr w:rsidR="0089147F">
          <w:footerReference w:type="default" r:id="rId8"/>
          <w:pgSz w:w="12240" w:h="15840"/>
          <w:pgMar w:top="1060" w:right="1020" w:bottom="1060" w:left="1460" w:header="0" w:footer="877" w:gutter="0"/>
          <w:pgNumType w:start="3"/>
          <w:cols w:space="708"/>
        </w:sectPr>
      </w:pPr>
    </w:p>
    <w:p w:rsidR="0089147F" w:rsidRDefault="00234274">
      <w:pPr>
        <w:pStyle w:val="Zkladntext"/>
        <w:spacing w:before="73"/>
        <w:ind w:right="110"/>
      </w:pPr>
      <w:r>
        <w:lastRenderedPageBreak/>
        <w:t>zá</w:t>
      </w:r>
      <w:r>
        <w:t>koníkem. V dohodě musí být uvedeny smluvní strany, identifikace projektu a faktur/y (v případě odlišného variabilního symbolu oproti číslu faktury je vhodné uvést i variabilní symbol), vzájemně započtené částky a měny, datum podpisu smluvních stran a podpi</w:t>
      </w:r>
      <w:r>
        <w:t>sy obou smluvních stran.</w:t>
      </w:r>
    </w:p>
    <w:p w:rsidR="0089147F" w:rsidRDefault="00234274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6"/>
        <w:ind w:right="1016"/>
      </w:pPr>
      <w:r>
        <w:t>IV.</w:t>
      </w:r>
    </w:p>
    <w:p w:rsidR="0089147F" w:rsidRDefault="00234274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89147F" w:rsidRDefault="0089147F">
      <w:pPr>
        <w:pStyle w:val="Zkladntext"/>
        <w:spacing w:before="1"/>
        <w:ind w:left="0"/>
        <w:jc w:val="left"/>
        <w:rPr>
          <w:b/>
        </w:rPr>
      </w:pPr>
    </w:p>
    <w:p w:rsidR="0089147F" w:rsidRDefault="00234274">
      <w:pPr>
        <w:pStyle w:val="Odstavecseseznamem"/>
        <w:numPr>
          <w:ilvl w:val="0"/>
          <w:numId w:val="3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16"/>
        </w:tabs>
        <w:spacing w:before="120" w:line="265" w:lineRule="exact"/>
        <w:jc w:val="both"/>
        <w:rPr>
          <w:sz w:val="20"/>
        </w:rPr>
      </w:pPr>
      <w:r>
        <w:rPr>
          <w:sz w:val="20"/>
        </w:rPr>
        <w:t>splní</w:t>
      </w:r>
      <w:r>
        <w:rPr>
          <w:spacing w:val="7"/>
          <w:sz w:val="20"/>
        </w:rPr>
        <w:t xml:space="preserve"> </w:t>
      </w:r>
      <w:r>
        <w:rPr>
          <w:sz w:val="20"/>
        </w:rPr>
        <w:t>účel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„Žehrov,</w:t>
      </w:r>
      <w:r>
        <w:rPr>
          <w:spacing w:val="10"/>
          <w:sz w:val="20"/>
        </w:rPr>
        <w:t xml:space="preserve"> </w:t>
      </w:r>
      <w:r>
        <w:rPr>
          <w:sz w:val="20"/>
        </w:rPr>
        <w:t>Skokovy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splašková</w:t>
      </w:r>
      <w:r>
        <w:rPr>
          <w:spacing w:val="8"/>
          <w:sz w:val="20"/>
        </w:rPr>
        <w:t xml:space="preserve"> </w:t>
      </w:r>
      <w:r>
        <w:rPr>
          <w:sz w:val="20"/>
        </w:rPr>
        <w:t>kanalizace“</w:t>
      </w:r>
      <w:r>
        <w:rPr>
          <w:spacing w:val="6"/>
          <w:sz w:val="20"/>
        </w:rPr>
        <w:t xml:space="preserve"> </w:t>
      </w:r>
      <w:r>
        <w:rPr>
          <w:sz w:val="20"/>
        </w:rPr>
        <w:t>tím,</w:t>
      </w:r>
      <w:r>
        <w:rPr>
          <w:spacing w:val="8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7"/>
          <w:sz w:val="20"/>
        </w:rPr>
        <w:t xml:space="preserve"> </w:t>
      </w:r>
      <w:r>
        <w:rPr>
          <w:sz w:val="20"/>
        </w:rPr>
        <w:t>provedena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</w:p>
    <w:p w:rsidR="0089147F" w:rsidRDefault="00234274">
      <w:pPr>
        <w:pStyle w:val="Zkladntext"/>
        <w:spacing w:line="265" w:lineRule="exact"/>
        <w:ind w:left="808"/>
      </w:pPr>
      <w:r>
        <w:t>žádostí o podporu a jejími přílohami a touto Smlouvou,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14"/>
        </w:tabs>
        <w:ind w:left="813" w:hanging="289"/>
        <w:jc w:val="both"/>
        <w:rPr>
          <w:sz w:val="20"/>
        </w:rPr>
      </w:pPr>
      <w:r>
        <w:rPr>
          <w:sz w:val="20"/>
        </w:rPr>
        <w:t>realizací projektu dojde k výstavbě kanalizace v délce 4,46 km a ČOV o kapacitě 409</w:t>
      </w:r>
      <w:r>
        <w:rPr>
          <w:spacing w:val="-8"/>
          <w:sz w:val="20"/>
        </w:rPr>
        <w:t xml:space="preserve"> </w:t>
      </w:r>
      <w:r>
        <w:rPr>
          <w:sz w:val="20"/>
        </w:rPr>
        <w:t>EO,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11"/>
        </w:tabs>
        <w:spacing w:before="120"/>
        <w:ind w:left="810" w:right="111" w:hanging="286"/>
        <w:jc w:val="both"/>
        <w:rPr>
          <w:sz w:val="20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position w:val="2"/>
          <w:sz w:val="20"/>
        </w:rPr>
        <w:t xml:space="preserve"> odpovídající 275 EO a na ČOV Skokovy bude odstraňováno 10,95 t/rok CHSK</w:t>
      </w:r>
      <w:r>
        <w:rPr>
          <w:sz w:val="13"/>
        </w:rPr>
        <w:t xml:space="preserve">Cr </w:t>
      </w:r>
      <w:r>
        <w:rPr>
          <w:position w:val="2"/>
          <w:sz w:val="20"/>
        </w:rPr>
        <w:t>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11"/>
        </w:tabs>
        <w:spacing w:before="119" w:line="276" w:lineRule="auto"/>
        <w:ind w:left="810" w:right="107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</w:t>
      </w:r>
      <w:r>
        <w:rPr>
          <w:sz w:val="20"/>
        </w:rPr>
        <w:t>01 Sb., o</w:t>
      </w:r>
      <w:r>
        <w:rPr>
          <w:spacing w:val="-14"/>
          <w:sz w:val="20"/>
        </w:rPr>
        <w:t xml:space="preserve"> </w:t>
      </w:r>
      <w:r>
        <w:rPr>
          <w:sz w:val="20"/>
        </w:rPr>
        <w:t>vodách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změně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zákonů</w:t>
      </w:r>
      <w:r>
        <w:rPr>
          <w:spacing w:val="-14"/>
          <w:sz w:val="20"/>
        </w:rPr>
        <w:t xml:space="preserve"> </w:t>
      </w:r>
      <w:r>
        <w:rPr>
          <w:sz w:val="20"/>
        </w:rPr>
        <w:t>(vodní</w:t>
      </w:r>
      <w:r>
        <w:rPr>
          <w:spacing w:val="-15"/>
          <w:sz w:val="20"/>
        </w:rPr>
        <w:t xml:space="preserve"> </w:t>
      </w:r>
      <w:r>
        <w:rPr>
          <w:sz w:val="20"/>
        </w:rPr>
        <w:t>zákon),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left="808"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10"/>
          <w:sz w:val="20"/>
        </w:rPr>
        <w:t xml:space="preserve"> </w:t>
      </w:r>
      <w:r>
        <w:rPr>
          <w:sz w:val="20"/>
        </w:rPr>
        <w:t>hospodáře,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podporou podle této Smlouvy, jakož i budovy (stavby) a pozemky, ve kterých (na kterých) mají být umístěny (s výjimkou pozemků, kterými je pouze vedena liniová stavba). </w:t>
      </w:r>
      <w:r>
        <w:rPr>
          <w:sz w:val="20"/>
        </w:rPr>
        <w:t>Příjemce podpory je povinen zabezpečit, že předmět podpory nebude převeden bez souhlasu Fondu na jinou osobu nejméně po dobu 10 let od ukončení akce. V případě, že Fond převod předmětu podpory odsouhlasí, příjemce podpory zabezpečí, že účel, pro který je p</w:t>
      </w:r>
      <w:r>
        <w:rPr>
          <w:sz w:val="20"/>
        </w:rPr>
        <w:t>oskytnuta podpora podle této Smlouvy, bude řádně plněn po stanovenou dobu. Po tutéž dobu příjemce podpory zabezpečí řádný provoz předmětu</w:t>
      </w:r>
      <w:r>
        <w:rPr>
          <w:spacing w:val="-20"/>
          <w:sz w:val="20"/>
        </w:rPr>
        <w:t xml:space="preserve"> </w:t>
      </w:r>
      <w:r>
        <w:rPr>
          <w:sz w:val="20"/>
        </w:rPr>
        <w:t>podpory,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 pros</w:t>
      </w:r>
      <w:r>
        <w:rPr>
          <w:sz w:val="20"/>
        </w:rPr>
        <w:t>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slané</w:t>
      </w:r>
      <w:r>
        <w:rPr>
          <w:spacing w:val="-11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left="808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</w:p>
    <w:p w:rsidR="0089147F" w:rsidRDefault="00234274">
      <w:pPr>
        <w:pStyle w:val="Zkladntext"/>
        <w:ind w:left="808"/>
      </w:pPr>
      <w:r>
        <w:t>10 let od ukončení akce,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89147F" w:rsidRDefault="0089147F">
      <w:pPr>
        <w:jc w:val="both"/>
        <w:rPr>
          <w:sz w:val="20"/>
        </w:rPr>
        <w:sectPr w:rsidR="0089147F">
          <w:pgSz w:w="12240" w:h="15840"/>
          <w:pgMar w:top="1060" w:right="1020" w:bottom="1140" w:left="1460" w:header="0" w:footer="877" w:gutter="0"/>
          <w:cols w:space="708"/>
        </w:sectPr>
      </w:pP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left="808" w:right="115" w:hanging="284"/>
        <w:jc w:val="both"/>
        <w:rPr>
          <w:sz w:val="20"/>
        </w:rPr>
      </w:pPr>
      <w:r>
        <w:rPr>
          <w:sz w:val="20"/>
        </w:rPr>
        <w:lastRenderedPageBreak/>
        <w:t>umožní provádět kontrolu provedení akce na místě realizace, včetně kontroly souvisejíc</w:t>
      </w:r>
      <w:r>
        <w:rPr>
          <w:sz w:val="20"/>
        </w:rPr>
        <w:t>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hanging="284"/>
        <w:jc w:val="both"/>
        <w:rPr>
          <w:sz w:val="20"/>
        </w:rPr>
      </w:pPr>
      <w:r>
        <w:rPr>
          <w:sz w:val="20"/>
        </w:rPr>
        <w:t>bude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pracovních dnů od data poskytnutí (splatnosti) podpory uskutečni</w:t>
      </w:r>
      <w:r>
        <w:rPr>
          <w:sz w:val="20"/>
        </w:rPr>
        <w:t>t kompletní úhradu doložené fakturace (tj. jak z prostředků podpory, tak podíl vlastních zdrojů). Tuto úhradu následně neprodleně doloží</w:t>
      </w:r>
      <w:r>
        <w:rPr>
          <w:spacing w:val="-25"/>
          <w:sz w:val="20"/>
        </w:rPr>
        <w:t xml:space="preserve"> </w:t>
      </w:r>
      <w:r>
        <w:rPr>
          <w:sz w:val="20"/>
        </w:rPr>
        <w:t>Fondu,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89147F" w:rsidRDefault="00234274">
      <w:pPr>
        <w:pStyle w:val="Odstavecseseznamem"/>
        <w:numPr>
          <w:ilvl w:val="2"/>
          <w:numId w:val="3"/>
        </w:numPr>
        <w:tabs>
          <w:tab w:val="left" w:pos="1094"/>
        </w:tabs>
        <w:spacing w:before="120"/>
        <w:ind w:right="112"/>
        <w:rPr>
          <w:sz w:val="20"/>
        </w:rPr>
      </w:pPr>
      <w:r>
        <w:rPr>
          <w:sz w:val="20"/>
        </w:rPr>
        <w:t>předpokládaný termín ukončení stavebních a montážních prací do konce 3/2022, přito</w:t>
      </w:r>
      <w:r>
        <w:rPr>
          <w:sz w:val="20"/>
        </w:rPr>
        <w:t>m pokud tento termín příjemce podpory nedodrží, bez zbytečného odkladu oznámí Fondu nový termín ukončení stavebních a montážních prací; dodatek k této Smlouvě se v tom případě</w:t>
      </w:r>
      <w:r>
        <w:rPr>
          <w:spacing w:val="-22"/>
          <w:sz w:val="20"/>
        </w:rPr>
        <w:t xml:space="preserve"> </w:t>
      </w:r>
      <w:r>
        <w:rPr>
          <w:sz w:val="20"/>
        </w:rPr>
        <w:t>neuzavírá,</w:t>
      </w:r>
    </w:p>
    <w:p w:rsidR="0089147F" w:rsidRDefault="00234274">
      <w:pPr>
        <w:pStyle w:val="Odstavecseseznamem"/>
        <w:numPr>
          <w:ilvl w:val="2"/>
          <w:numId w:val="3"/>
        </w:numPr>
        <w:tabs>
          <w:tab w:val="left" w:pos="1094"/>
        </w:tabs>
        <w:spacing w:before="119"/>
        <w:ind w:right="111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5/2023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183/2006  Sb.,  o  územním  plánování 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vydán, jak kolaudační souhlas, tak oznámení o</w:t>
      </w:r>
      <w:r>
        <w:rPr>
          <w:sz w:val="20"/>
        </w:rPr>
        <w:t xml:space="preserve"> užívání, považuje se za termín ukončení akce datum dokumentu vydaného</w:t>
      </w:r>
      <w:r>
        <w:rPr>
          <w:spacing w:val="-31"/>
          <w:sz w:val="20"/>
        </w:rPr>
        <w:t xml:space="preserve"> </w:t>
      </w:r>
      <w:r>
        <w:rPr>
          <w:sz w:val="20"/>
        </w:rPr>
        <w:t>později,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8/2023 podklady k ZVA podle článku 12 písm. d)</w:t>
      </w:r>
      <w:r>
        <w:rPr>
          <w:spacing w:val="-14"/>
          <w:sz w:val="20"/>
        </w:rPr>
        <w:t xml:space="preserve"> </w:t>
      </w:r>
      <w:r>
        <w:rPr>
          <w:sz w:val="20"/>
        </w:rPr>
        <w:t>Výzvy.</w:t>
      </w:r>
    </w:p>
    <w:p w:rsidR="0089147F" w:rsidRDefault="00234274">
      <w:pPr>
        <w:pStyle w:val="Zkladntext"/>
        <w:ind w:left="808" w:right="112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 xml:space="preserve">zbytečného odkladu  (případně  ve  lhůtě  stanovené  Fondem)   splnit.   </w:t>
      </w:r>
      <w:r>
        <w:t>Fond  není  povinen  vydat   protokol   o ZVA dříve, než obdrží veškeré požadované podklady a informace, na základě kterých bude moci jednoznačně rozhodnout o plnění podmínek této Smlouvy a rovněž v případě, že příjemce podpory je v prodlení s plněním fina</w:t>
      </w:r>
      <w:r>
        <w:t>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89147F" w:rsidRDefault="00234274">
      <w:pPr>
        <w:pStyle w:val="Odstavecseseznamem"/>
        <w:numPr>
          <w:ilvl w:val="0"/>
          <w:numId w:val="3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left="808"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z w:val="20"/>
        </w:rPr>
        <w:t xml:space="preserve">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right="111" w:hanging="284"/>
        <w:jc w:val="both"/>
        <w:rPr>
          <w:sz w:val="20"/>
        </w:rPr>
      </w:pPr>
      <w:r>
        <w:rPr>
          <w:sz w:val="20"/>
        </w:rPr>
        <w:t xml:space="preserve">vést o použití poskytnutých prostředků samostatnou průkaznou </w:t>
      </w:r>
      <w:r>
        <w:rPr>
          <w:sz w:val="20"/>
        </w:rPr>
        <w:t>evidenci v souladu s právními předpisy,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finančního úřadu uplatněna, příjemce podpory je povinen</w:t>
      </w:r>
      <w:r>
        <w:rPr>
          <w:sz w:val="20"/>
        </w:rPr>
        <w:t xml:space="preserve"> částku</w:t>
      </w:r>
      <w:r>
        <w:rPr>
          <w:spacing w:val="-33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5"/>
          <w:sz w:val="20"/>
        </w:rPr>
        <w:t xml:space="preserve"> </w:t>
      </w:r>
      <w:r>
        <w:rPr>
          <w:sz w:val="20"/>
        </w:rPr>
        <w:t>vznikl,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</w:t>
      </w:r>
      <w:r>
        <w:rPr>
          <w:sz w:val="20"/>
        </w:rPr>
        <w:t>tnutých finančních prostředků, která odpovídá případnému překročení podílu dle článku II bodů 3 a</w:t>
      </w:r>
      <w:r>
        <w:rPr>
          <w:spacing w:val="-17"/>
          <w:sz w:val="20"/>
        </w:rPr>
        <w:t xml:space="preserve"> </w:t>
      </w:r>
      <w:r>
        <w:rPr>
          <w:sz w:val="20"/>
        </w:rPr>
        <w:t>4,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</w:t>
      </w:r>
      <w:r>
        <w:rPr>
          <w:sz w:val="20"/>
        </w:rPr>
        <w:t>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89147F" w:rsidRDefault="0089147F">
      <w:pPr>
        <w:jc w:val="both"/>
        <w:rPr>
          <w:sz w:val="20"/>
        </w:rPr>
        <w:sectPr w:rsidR="0089147F">
          <w:pgSz w:w="12240" w:h="15840"/>
          <w:pgMar w:top="1060" w:right="1020" w:bottom="1080" w:left="1460" w:header="0" w:footer="877" w:gutter="0"/>
          <w:cols w:space="708"/>
        </w:sectPr>
      </w:pP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left="808" w:right="114" w:hanging="284"/>
        <w:jc w:val="both"/>
        <w:rPr>
          <w:sz w:val="20"/>
        </w:rPr>
      </w:pPr>
      <w:r>
        <w:rPr>
          <w:sz w:val="20"/>
        </w:rPr>
        <w:lastRenderedPageBreak/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Smlouvou),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ind w:left="808" w:right="115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9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</w:t>
      </w:r>
      <w:r>
        <w:rPr>
          <w:sz w:val="20"/>
        </w:rPr>
        <w:t>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89147F" w:rsidRDefault="00234274">
      <w:pPr>
        <w:pStyle w:val="Zkladntext"/>
        <w:spacing w:line="265" w:lineRule="exact"/>
        <w:ind w:left="808"/>
      </w:pPr>
      <w:r>
        <w:t>– odkaz na Zadávání veřejných zakázek pro OPŽP 2014 - 2020, a to i v průběhu realizace akce,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64"/>
        </w:tabs>
        <w:spacing w:before="120"/>
        <w:ind w:left="808" w:right="110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 (vydání posledního kolaudačního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projektu),</w:t>
      </w:r>
    </w:p>
    <w:p w:rsidR="0089147F" w:rsidRDefault="0023427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left="808"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8" w:line="265" w:lineRule="exact"/>
        <w:ind w:right="1016"/>
      </w:pPr>
      <w:r>
        <w:t>V.</w:t>
      </w:r>
    </w:p>
    <w:p w:rsidR="0089147F" w:rsidRDefault="00234274">
      <w:pPr>
        <w:spacing w:line="265" w:lineRule="exact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9147F" w:rsidRDefault="0089147F">
      <w:pPr>
        <w:pStyle w:val="Zkladntext"/>
        <w:spacing w:before="1"/>
        <w:ind w:left="0"/>
        <w:jc w:val="left"/>
        <w:rPr>
          <w:b/>
        </w:rPr>
      </w:pP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 znění.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toto  porušení  postiženo  odvodem  z poskytnuté podpory ve výši odpovídající poměru nedosažení indikátoru. V případě plnění účelu akce podle článku IV bodu 1 písm. b) na 95 % a více a podle článku IV bodu 1 písm. c) na 80 % a v</w:t>
      </w:r>
      <w:r>
        <w:rPr>
          <w:sz w:val="20"/>
        </w:rPr>
        <w:t>íce bez odvodu.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Porušení povinnosti podle článku IV bodu 1 písm. l) bude postiženo odvodem ve výši 0,1 –</w:t>
      </w:r>
      <w:r>
        <w:rPr>
          <w:spacing w:val="8"/>
          <w:sz w:val="20"/>
        </w:rPr>
        <w:t xml:space="preserve"> </w:t>
      </w:r>
      <w:r>
        <w:rPr>
          <w:sz w:val="20"/>
        </w:rPr>
        <w:t>25 %</w:t>
      </w:r>
    </w:p>
    <w:p w:rsidR="0089147F" w:rsidRDefault="00234274">
      <w:pPr>
        <w:pStyle w:val="Zkladntext"/>
      </w:pPr>
      <w:r>
        <w:t>z poskytnuté podpory.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</w:p>
    <w:p w:rsidR="0089147F" w:rsidRDefault="00234274">
      <w:pPr>
        <w:pStyle w:val="Zkladntext"/>
        <w:spacing w:before="1"/>
        <w:jc w:val="left"/>
      </w:pPr>
      <w:r>
        <w:t>podpory.</w:t>
      </w:r>
    </w:p>
    <w:p w:rsidR="0089147F" w:rsidRDefault="0089147F">
      <w:pPr>
        <w:sectPr w:rsidR="0089147F">
          <w:pgSz w:w="12240" w:h="15840"/>
          <w:pgMar w:top="1060" w:right="1020" w:bottom="1140" w:left="1460" w:header="0" w:footer="877" w:gutter="0"/>
          <w:cols w:space="708"/>
        </w:sectPr>
      </w:pP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284"/>
        </w:tabs>
        <w:spacing w:before="73"/>
        <w:ind w:right="118" w:hanging="526"/>
        <w:rPr>
          <w:sz w:val="20"/>
        </w:rPr>
      </w:pPr>
      <w:r>
        <w:rPr>
          <w:sz w:val="20"/>
        </w:rPr>
        <w:lastRenderedPageBreak/>
        <w:t>P</w:t>
      </w:r>
      <w:r>
        <w:rPr>
          <w:sz w:val="20"/>
        </w:rPr>
        <w:t>orušení</w:t>
      </w:r>
      <w:r>
        <w:rPr>
          <w:spacing w:val="2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článku</w:t>
      </w:r>
      <w:r>
        <w:rPr>
          <w:spacing w:val="28"/>
          <w:sz w:val="20"/>
        </w:rPr>
        <w:t xml:space="preserve"> </w:t>
      </w:r>
      <w:r>
        <w:rPr>
          <w:sz w:val="20"/>
        </w:rPr>
        <w:t>IV</w:t>
      </w:r>
      <w:r>
        <w:rPr>
          <w:spacing w:val="29"/>
          <w:sz w:val="20"/>
        </w:rPr>
        <w:t xml:space="preserve"> </w:t>
      </w:r>
      <w:r>
        <w:rPr>
          <w:sz w:val="20"/>
        </w:rPr>
        <w:t>bodu</w:t>
      </w:r>
      <w:r>
        <w:rPr>
          <w:spacing w:val="28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8"/>
          <w:sz w:val="20"/>
        </w:rPr>
        <w:t xml:space="preserve"> </w:t>
      </w:r>
      <w:r>
        <w:rPr>
          <w:sz w:val="20"/>
        </w:rPr>
        <w:t>o)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postiženo</w:t>
      </w:r>
      <w:r>
        <w:rPr>
          <w:spacing w:val="29"/>
          <w:sz w:val="20"/>
        </w:rPr>
        <w:t xml:space="preserve"> </w:t>
      </w:r>
      <w:r>
        <w:rPr>
          <w:sz w:val="20"/>
        </w:rPr>
        <w:t>odvodem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výši</w:t>
      </w:r>
      <w:r>
        <w:rPr>
          <w:spacing w:val="28"/>
          <w:sz w:val="20"/>
        </w:rPr>
        <w:t xml:space="preserve"> </w:t>
      </w:r>
      <w:r>
        <w:rPr>
          <w:sz w:val="20"/>
        </w:rPr>
        <w:t>nezaplacené</w:t>
      </w:r>
    </w:p>
    <w:p w:rsidR="0089147F" w:rsidRDefault="00234274">
      <w:pPr>
        <w:pStyle w:val="Zkladntext"/>
        <w:ind w:left="0" w:right="114"/>
        <w:jc w:val="right"/>
      </w:pPr>
      <w:r>
        <w:t>dlužné částky vynásobené procentem poskytnuté podpory. Porušení této povinnosti nepřesahující</w:t>
      </w:r>
      <w:r>
        <w:rPr>
          <w:spacing w:val="-39"/>
        </w:rPr>
        <w:t xml:space="preserve"> </w:t>
      </w:r>
      <w:r>
        <w:t>lhůtu</w:t>
      </w:r>
    </w:p>
    <w:p w:rsidR="0089147F" w:rsidRDefault="00234274">
      <w:pPr>
        <w:pStyle w:val="Zkladntext"/>
        <w:spacing w:before="1"/>
        <w:ind w:left="0" w:right="116"/>
        <w:jc w:val="right"/>
      </w:pPr>
      <w:r>
        <w:t>5  pracovních  dnů  nebude  postiženo  a  nebude  tak  považováno  za  porušení  podmínek poskytnutí</w:t>
      </w:r>
    </w:p>
    <w:p w:rsidR="0089147F" w:rsidRDefault="00234274">
      <w:pPr>
        <w:pStyle w:val="Zkladntext"/>
        <w:jc w:val="left"/>
      </w:pPr>
      <w:r>
        <w:t>podpory.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</w:t>
      </w:r>
      <w:r>
        <w:rPr>
          <w:sz w:val="20"/>
        </w:rPr>
        <w:t>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 způsobem  dodrženy   podmínky  Metodiky z hlediska plnění podmínek přílohy č. 6 programového 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spacing w:before="124" w:line="237" w:lineRule="auto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89147F" w:rsidRDefault="00234274">
      <w:pPr>
        <w:pStyle w:val="Odstavecseseznamem"/>
        <w:numPr>
          <w:ilvl w:val="0"/>
          <w:numId w:val="2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poskytnuté</w:t>
      </w:r>
    </w:p>
    <w:p w:rsidR="0089147F" w:rsidRDefault="00234274">
      <w:pPr>
        <w:pStyle w:val="Zkladntext"/>
        <w:jc w:val="left"/>
      </w:pPr>
      <w:r>
        <w:t>podpory.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188" w:line="265" w:lineRule="exact"/>
        <w:ind w:right="1016"/>
      </w:pPr>
      <w:r>
        <w:t>VI.</w:t>
      </w:r>
    </w:p>
    <w:p w:rsidR="0089147F" w:rsidRDefault="00234274">
      <w:pPr>
        <w:spacing w:line="265" w:lineRule="exact"/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9147F" w:rsidRDefault="0089147F">
      <w:pPr>
        <w:pStyle w:val="Zkladntext"/>
        <w:spacing w:before="1"/>
        <w:ind w:left="0"/>
        <w:jc w:val="left"/>
        <w:rPr>
          <w:b/>
        </w:rPr>
      </w:pP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124" w:line="237" w:lineRule="auto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32"/>
          <w:sz w:val="20"/>
        </w:rPr>
        <w:t xml:space="preserve"> </w:t>
      </w:r>
      <w:r>
        <w:rPr>
          <w:sz w:val="20"/>
        </w:rPr>
        <w:t>týkat.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9147F" w:rsidRDefault="00234274">
      <w:pPr>
        <w:pStyle w:val="Zkladntext"/>
        <w:spacing w:line="265" w:lineRule="exact"/>
        <w:jc w:val="left"/>
      </w:pPr>
      <w:r>
        <w:t>Smlouvou.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ind w:right="115"/>
        <w:rPr>
          <w:sz w:val="20"/>
        </w:rPr>
      </w:pPr>
      <w:r>
        <w:rPr>
          <w:sz w:val="20"/>
        </w:rPr>
        <w:t>Vz</w:t>
      </w:r>
      <w:r>
        <w:rPr>
          <w:sz w:val="20"/>
        </w:rPr>
        <w:t>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right="115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89147F" w:rsidRDefault="0089147F">
      <w:pPr>
        <w:rPr>
          <w:sz w:val="20"/>
        </w:rPr>
        <w:sectPr w:rsidR="0089147F">
          <w:pgSz w:w="12240" w:h="15840"/>
          <w:pgMar w:top="1060" w:right="1020" w:bottom="1140" w:left="1460" w:header="0" w:footer="877" w:gutter="0"/>
          <w:cols w:space="708"/>
        </w:sectPr>
      </w:pP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Smlouvy v reg</w:t>
      </w:r>
      <w:r>
        <w:rPr>
          <w:sz w:val="20"/>
        </w:rPr>
        <w:t>istru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</w:t>
      </w:r>
      <w:r>
        <w:rPr>
          <w:sz w:val="20"/>
        </w:rPr>
        <w:t>á.</w:t>
      </w:r>
    </w:p>
    <w:p w:rsidR="0089147F" w:rsidRDefault="00234274">
      <w:pPr>
        <w:pStyle w:val="Odstavecseseznamem"/>
        <w:numPr>
          <w:ilvl w:val="1"/>
          <w:numId w:val="2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</w:t>
      </w:r>
      <w:r>
        <w:rPr>
          <w:sz w:val="20"/>
        </w:rPr>
        <w:t>aždá smluvní strana obdrží jeden exemplář.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spacing w:before="11"/>
        <w:ind w:left="0"/>
        <w:jc w:val="left"/>
        <w:rPr>
          <w:sz w:val="27"/>
        </w:rPr>
      </w:pPr>
    </w:p>
    <w:p w:rsidR="0089147F" w:rsidRDefault="00234274">
      <w:pPr>
        <w:pStyle w:val="Zkladntext"/>
        <w:ind w:left="242"/>
        <w:jc w:val="left"/>
      </w:pPr>
      <w:r>
        <w:t>V:</w:t>
      </w:r>
    </w:p>
    <w:p w:rsidR="0089147F" w:rsidRDefault="0089147F">
      <w:pPr>
        <w:pStyle w:val="Zkladntext"/>
        <w:spacing w:before="1"/>
        <w:ind w:left="0"/>
        <w:jc w:val="left"/>
      </w:pPr>
    </w:p>
    <w:p w:rsidR="0089147F" w:rsidRDefault="00234274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2"/>
        </w:rPr>
      </w:pPr>
    </w:p>
    <w:p w:rsidR="0089147F" w:rsidRDefault="00234274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89147F" w:rsidRDefault="00234274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spacing w:before="3"/>
        <w:ind w:left="0"/>
        <w:jc w:val="left"/>
        <w:rPr>
          <w:sz w:val="23"/>
        </w:rPr>
      </w:pPr>
    </w:p>
    <w:p w:rsidR="0089147F" w:rsidRDefault="00234274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89147F" w:rsidRDefault="0089147F">
      <w:pPr>
        <w:pStyle w:val="Zkladntext"/>
        <w:spacing w:before="2"/>
        <w:ind w:left="0"/>
        <w:jc w:val="left"/>
        <w:rPr>
          <w:sz w:val="38"/>
        </w:rPr>
      </w:pPr>
    </w:p>
    <w:p w:rsidR="0089147F" w:rsidRDefault="00234274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89147F" w:rsidRDefault="0089147F">
      <w:pPr>
        <w:sectPr w:rsidR="0089147F">
          <w:pgSz w:w="12240" w:h="15840"/>
          <w:pgMar w:top="1060" w:right="1020" w:bottom="1140" w:left="1460" w:header="0" w:footer="877" w:gutter="0"/>
          <w:cols w:space="708"/>
        </w:sectPr>
      </w:pPr>
    </w:p>
    <w:p w:rsidR="0089147F" w:rsidRDefault="00234274">
      <w:pPr>
        <w:pStyle w:val="Zkladntext"/>
        <w:spacing w:before="79"/>
        <w:ind w:left="242"/>
        <w:jc w:val="left"/>
      </w:pPr>
      <w:r>
        <w:lastRenderedPageBreak/>
        <w:t>Příloha č. 1 - Smlouva o poskytnutí podpory ze Státního fondu životního prostředí České republiky</w:t>
      </w:r>
    </w:p>
    <w:p w:rsidR="0089147F" w:rsidRDefault="0089147F">
      <w:pPr>
        <w:pStyle w:val="Zkladntext"/>
        <w:spacing w:before="2"/>
        <w:ind w:left="0"/>
        <w:jc w:val="left"/>
        <w:rPr>
          <w:sz w:val="27"/>
        </w:rPr>
      </w:pPr>
    </w:p>
    <w:p w:rsidR="0089147F" w:rsidRDefault="00234274">
      <w:pPr>
        <w:pStyle w:val="Nadpis1"/>
        <w:ind w:left="242"/>
        <w:jc w:val="left"/>
      </w:pPr>
      <w:r>
        <w:t>Specifické pod</w:t>
      </w:r>
      <w:r>
        <w:t>mínky provozování pro model samostatného provozování</w:t>
      </w:r>
    </w:p>
    <w:p w:rsidR="0089147F" w:rsidRDefault="0089147F">
      <w:pPr>
        <w:pStyle w:val="Zkladntext"/>
        <w:spacing w:before="1"/>
        <w:ind w:left="0"/>
        <w:jc w:val="left"/>
        <w:rPr>
          <w:b/>
          <w:sz w:val="29"/>
        </w:rPr>
      </w:pPr>
    </w:p>
    <w:p w:rsidR="0089147F" w:rsidRDefault="00234274">
      <w:pPr>
        <w:pStyle w:val="Odstavecseseznamem"/>
        <w:numPr>
          <w:ilvl w:val="2"/>
          <w:numId w:val="2"/>
        </w:numPr>
        <w:tabs>
          <w:tab w:val="left" w:pos="67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</w:t>
      </w:r>
      <w:r>
        <w:rPr>
          <w:sz w:val="20"/>
        </w:rPr>
        <w:t xml:space="preserve">mostatného provozování (příjemce podpory provozuje sám), tzn., že příjemce podpory bude řádně sám, vlastním jménem a na vlastní odpovědnost provozovat vodohospodářskou infrastrukturu  a přímo   držet   povolení   k  provozování   (k  modelům   provozování </w:t>
      </w:r>
      <w:r>
        <w:rPr>
          <w:sz w:val="20"/>
        </w:rPr>
        <w:t xml:space="preserve">  infrastruktury a podmínkám stanoveným pro samostatný model viz dokument „Metodika pro žadatele rozvádějící podmínky přílohy  č. 6 Programového dokumentu OPŽP 2014  –  2020“ dále jen „Metodika“, která     je součástí PrŽaP). Pro účely stanovení podmínek t</w:t>
      </w:r>
      <w:r>
        <w:rPr>
          <w:sz w:val="20"/>
        </w:rPr>
        <w:t>ýkajících se provozování vodohospodářské infrastruktury se vodohospodářskou infrastrukturou rozumí celá složka infrastruktury pořízené (rekonstruované) s podporou poskytnutou podle této Smlouvy a Rozhodnutí (podpořená infrastruktura) a veškerá další infras</w:t>
      </w:r>
      <w:r>
        <w:rPr>
          <w:sz w:val="20"/>
        </w:rPr>
        <w:t>truktura provozovaná v této složce na území relevantní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9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provozování.</w:t>
      </w:r>
    </w:p>
    <w:p w:rsidR="0089147F" w:rsidRDefault="0089147F">
      <w:pPr>
        <w:pStyle w:val="Zkladntext"/>
        <w:spacing w:before="1"/>
        <w:ind w:left="0"/>
        <w:jc w:val="left"/>
        <w:rPr>
          <w:sz w:val="31"/>
        </w:rPr>
      </w:pPr>
    </w:p>
    <w:p w:rsidR="0089147F" w:rsidRDefault="00234274">
      <w:pPr>
        <w:pStyle w:val="Odstavecseseznamem"/>
        <w:numPr>
          <w:ilvl w:val="2"/>
          <w:numId w:val="2"/>
        </w:numPr>
        <w:tabs>
          <w:tab w:val="left" w:pos="670"/>
        </w:tabs>
        <w:spacing w:before="0" w:line="264" w:lineRule="auto"/>
        <w:ind w:right="111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roku po nabytí právní moci posledního kolaudačního  souhlasu  k  projektu  bude  zabezpečena  finanční  udržitelnost  projektu,  a to za podmínek stanovených Fondem. Změna výše prostředků na </w:t>
      </w:r>
      <w:r>
        <w:rPr>
          <w:sz w:val="20"/>
        </w:rPr>
        <w:t>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89147F" w:rsidRDefault="00234274">
      <w:pPr>
        <w:pStyle w:val="Odstavecseseznamem"/>
        <w:numPr>
          <w:ilvl w:val="3"/>
          <w:numId w:val="2"/>
        </w:numPr>
        <w:tabs>
          <w:tab w:val="left" w:pos="1030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89147F" w:rsidRDefault="00234274">
      <w:pPr>
        <w:pStyle w:val="Odstavecseseznamem"/>
        <w:numPr>
          <w:ilvl w:val="3"/>
          <w:numId w:val="2"/>
        </w:numPr>
        <w:tabs>
          <w:tab w:val="left" w:pos="103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snížení na úroveň, která prokazatelně vytvář</w:t>
      </w:r>
      <w:r>
        <w:rPr>
          <w:sz w:val="20"/>
        </w:rPr>
        <w:t>í zdroje pro správu, obnovu a případné rozšíření 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8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10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„plných</w:t>
      </w:r>
      <w:r>
        <w:rPr>
          <w:spacing w:val="-8"/>
          <w:sz w:val="20"/>
        </w:rPr>
        <w:t xml:space="preserve"> </w:t>
      </w:r>
      <w:r>
        <w:rPr>
          <w:sz w:val="20"/>
        </w:rPr>
        <w:t>odpisů“.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obou</w:t>
      </w:r>
      <w:r>
        <w:rPr>
          <w:spacing w:val="-7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nezbytné,</w:t>
      </w:r>
      <w:r>
        <w:rPr>
          <w:spacing w:val="-9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89147F" w:rsidRDefault="0089147F">
      <w:pPr>
        <w:pStyle w:val="Zkladntext"/>
        <w:spacing w:before="2"/>
        <w:ind w:left="0"/>
        <w:jc w:val="left"/>
        <w:rPr>
          <w:sz w:val="38"/>
        </w:rPr>
      </w:pPr>
    </w:p>
    <w:p w:rsidR="0089147F" w:rsidRDefault="00234274">
      <w:pPr>
        <w:pStyle w:val="Odstavecseseznamem"/>
        <w:numPr>
          <w:ilvl w:val="2"/>
          <w:numId w:val="2"/>
        </w:numPr>
        <w:tabs>
          <w:tab w:val="left" w:pos="670"/>
        </w:tabs>
        <w:spacing w:before="0" w:line="264" w:lineRule="auto"/>
        <w:ind w:right="115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Odstavecseseznamem"/>
        <w:numPr>
          <w:ilvl w:val="2"/>
          <w:numId w:val="2"/>
        </w:numPr>
        <w:tabs>
          <w:tab w:val="left" w:pos="670"/>
        </w:tabs>
        <w:spacing w:before="187" w:line="264" w:lineRule="auto"/>
        <w:ind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89147F" w:rsidRDefault="0089147F">
      <w:pPr>
        <w:spacing w:line="264" w:lineRule="auto"/>
        <w:jc w:val="both"/>
        <w:rPr>
          <w:sz w:val="20"/>
        </w:rPr>
        <w:sectPr w:rsidR="0089147F">
          <w:pgSz w:w="12240" w:h="15840"/>
          <w:pgMar w:top="1320" w:right="1020" w:bottom="1140" w:left="1460" w:header="0" w:footer="877" w:gutter="0"/>
          <w:cols w:space="708"/>
        </w:sectPr>
      </w:pPr>
    </w:p>
    <w:p w:rsidR="0089147F" w:rsidRDefault="00234274">
      <w:pPr>
        <w:pStyle w:val="Zkladntext"/>
        <w:spacing w:before="73"/>
        <w:ind w:left="242"/>
        <w:jc w:val="left"/>
      </w:pPr>
      <w:r>
        <w:lastRenderedPageBreak/>
        <w:t>Příloha č. 2 - Smlouva o poskytnutí podpory ze Státního fondu životního prostředí České republiky</w:t>
      </w: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89147F">
      <w:pPr>
        <w:pStyle w:val="Zkladntext"/>
        <w:ind w:left="0"/>
        <w:jc w:val="left"/>
        <w:rPr>
          <w:sz w:val="26"/>
        </w:rPr>
      </w:pPr>
    </w:p>
    <w:p w:rsidR="0089147F" w:rsidRDefault="00234274">
      <w:pPr>
        <w:pStyle w:val="Nadpis1"/>
        <w:spacing w:before="202" w:line="264" w:lineRule="auto"/>
        <w:ind w:left="242"/>
        <w:jc w:val="left"/>
      </w:pPr>
      <w:r>
        <w:t>Stanovení finančních oprav, které se použijí v případě porušení povinností při zadávání zakázek/ veřejných zakázek</w:t>
      </w:r>
    </w:p>
    <w:p w:rsidR="0089147F" w:rsidRDefault="0089147F">
      <w:pPr>
        <w:pStyle w:val="Zkladntext"/>
        <w:spacing w:before="1"/>
        <w:ind w:left="0"/>
        <w:jc w:val="left"/>
        <w:rPr>
          <w:b/>
          <w:sz w:val="27"/>
        </w:rPr>
      </w:pP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</w:t>
      </w:r>
      <w:r>
        <w:rPr>
          <w:sz w:val="20"/>
        </w:rPr>
        <w:t>ně zákona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</w:t>
      </w:r>
      <w:r>
        <w:rPr>
          <w:sz w:val="20"/>
        </w:rPr>
        <w:t>ájení výběrového/zadávacího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</w:t>
      </w:r>
      <w:r>
        <w:rPr>
          <w:sz w:val="20"/>
        </w:rPr>
        <w:t>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</w:t>
      </w:r>
      <w:r>
        <w:rPr>
          <w:sz w:val="20"/>
        </w:rPr>
        <w:t>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</w:t>
      </w:r>
      <w:r>
        <w:rPr>
          <w:sz w:val="20"/>
        </w:rPr>
        <w:t>i s veřejnou zakázkou, u které se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vyskytlo.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z w:val="20"/>
        </w:rPr>
        <w:t xml:space="preserve">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9147F" w:rsidRDefault="00234274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89147F" w:rsidRDefault="00234274">
      <w:pPr>
        <w:pStyle w:val="Zkladntext"/>
        <w:spacing w:before="27"/>
      </w:pPr>
      <w:r>
        <w:t>v tabulce níže, bude stanovena finanční oprava dle zásady přiměřenosti.</w:t>
      </w:r>
    </w:p>
    <w:p w:rsidR="0089147F" w:rsidRDefault="0089147F">
      <w:pPr>
        <w:sectPr w:rsidR="0089147F">
          <w:pgSz w:w="12240" w:h="15840"/>
          <w:pgMar w:top="1060" w:right="1020" w:bottom="114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9147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9147F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9147F" w:rsidRDefault="00234274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89147F" w:rsidRDefault="00234274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9147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89147F" w:rsidRDefault="00234274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89147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9147F" w:rsidRDefault="0023427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265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9147F" w:rsidRDefault="00234274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89147F" w:rsidRDefault="00234274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89147F" w:rsidRDefault="00234274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9147F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89147F" w:rsidRDefault="00234274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89147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</w:t>
            </w:r>
          </w:p>
          <w:p w:rsidR="0089147F" w:rsidRDefault="0023427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Pokynech OPŽP, příp. v dokumentu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89147F" w:rsidRDefault="0023427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89147F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89147F" w:rsidRDefault="0023427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89147F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89147F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89147F" w:rsidRDefault="0023427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89147F" w:rsidRDefault="0023427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89147F" w:rsidRDefault="0023427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89147F" w:rsidRDefault="002342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9147F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89147F" w:rsidRDefault="0023427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89147F" w:rsidRDefault="00234274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9147F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9147F" w:rsidRDefault="0023427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89147F" w:rsidRDefault="00234274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89147F" w:rsidRDefault="0089147F">
      <w:pPr>
        <w:spacing w:line="261" w:lineRule="auto"/>
        <w:rPr>
          <w:sz w:val="20"/>
        </w:rPr>
        <w:sectPr w:rsidR="0089147F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9147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9147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9147F" w:rsidRDefault="00234274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9147F" w:rsidRDefault="0023427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89147F" w:rsidRDefault="00234274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89147F" w:rsidRDefault="0023427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9147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89147F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89147F" w:rsidRDefault="00234274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89147F" w:rsidRDefault="00234274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89147F" w:rsidRDefault="0023427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9147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9147F" w:rsidRDefault="0023427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9147F" w:rsidRDefault="00234274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9147F" w:rsidRDefault="0023427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89147F" w:rsidRDefault="002342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</w:p>
          <w:p w:rsidR="0089147F" w:rsidRDefault="00234274">
            <w:pPr>
              <w:pStyle w:val="TableParagraph"/>
              <w:spacing w:before="24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uvedené, avšak nedostatečně určitě</w:t>
            </w:r>
          </w:p>
        </w:tc>
      </w:tr>
      <w:tr w:rsidR="0089147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9147F" w:rsidRDefault="00234274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89147F" w:rsidRDefault="00234274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89147F" w:rsidRDefault="00234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89147F" w:rsidRDefault="0023427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89147F" w:rsidRDefault="0023427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89147F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89147F" w:rsidRDefault="0023427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89147F" w:rsidRDefault="00234274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9147F" w:rsidRDefault="0023427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9147F" w:rsidRDefault="0089147F">
      <w:pPr>
        <w:spacing w:line="264" w:lineRule="auto"/>
        <w:rPr>
          <w:sz w:val="20"/>
        </w:rPr>
        <w:sectPr w:rsidR="0089147F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9147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9147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89147F" w:rsidRDefault="0023427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89147F" w:rsidRDefault="0023427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89147F" w:rsidRDefault="00234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9147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89147F" w:rsidRDefault="0023427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89147F" w:rsidRDefault="0023427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89147F" w:rsidRDefault="0023427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89147F" w:rsidRDefault="00234274">
            <w:pPr>
              <w:pStyle w:val="TableParagraph"/>
              <w:spacing w:before="1"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obchodní podmínky nebo jiné výše neuvedené podmínky účasti ve výběrovém/zadávacím řízení</w:t>
            </w:r>
          </w:p>
          <w:p w:rsidR="0089147F" w:rsidRDefault="00234274">
            <w:pPr>
              <w:pStyle w:val="TableParagraph"/>
              <w:spacing w:before="1" w:line="261" w:lineRule="auto"/>
              <w:ind w:right="159"/>
              <w:rPr>
                <w:sz w:val="20"/>
              </w:rPr>
            </w:pPr>
            <w:r>
              <w:rPr>
                <w:sz w:val="20"/>
              </w:rPr>
              <w:t>diskriminačním způsobem nebo jiným způsobem v rozporu se</w:t>
            </w:r>
          </w:p>
          <w:p w:rsidR="0089147F" w:rsidRDefault="0023427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9147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89147F" w:rsidRDefault="002342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9147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89147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89147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89147F" w:rsidRDefault="00234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9147F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89147F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9147F" w:rsidRDefault="0023427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89147F" w:rsidRDefault="0023427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89147F" w:rsidRDefault="0023427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9147F" w:rsidRDefault="0023427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9147F" w:rsidRDefault="0023427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9147F" w:rsidRDefault="0023427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9147F" w:rsidRDefault="0089147F">
      <w:pPr>
        <w:spacing w:line="264" w:lineRule="auto"/>
        <w:rPr>
          <w:sz w:val="20"/>
        </w:rPr>
        <w:sectPr w:rsidR="0089147F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9147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9147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9147F" w:rsidRDefault="0023427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 při posouzení</w:t>
            </w:r>
          </w:p>
          <w:p w:rsidR="0089147F" w:rsidRDefault="00234274">
            <w:pPr>
              <w:pStyle w:val="TableParagraph"/>
              <w:spacing w:before="27" w:line="264" w:lineRule="auto"/>
              <w:ind w:right="622"/>
              <w:rPr>
                <w:sz w:val="20"/>
              </w:rPr>
            </w:pPr>
            <w:r>
              <w:rPr>
                <w:sz w:val="20"/>
              </w:rPr>
              <w:t>nebo hodnocení 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89147F" w:rsidRDefault="0023427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9147F" w:rsidRDefault="00234274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89147F" w:rsidRDefault="00234274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9147F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89147F" w:rsidRDefault="0023427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89147F" w:rsidRDefault="0023427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9147F" w:rsidRDefault="0023427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89147F" w:rsidRDefault="00234274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89147F" w:rsidRDefault="00234274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89147F" w:rsidRDefault="00234274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89147F" w:rsidRDefault="0023427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9147F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89147F" w:rsidRDefault="0023427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89147F" w:rsidRDefault="0023427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89147F" w:rsidRDefault="0023427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9147F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89147F" w:rsidRDefault="00234274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9147F" w:rsidRDefault="00234274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89147F" w:rsidRDefault="00234274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89147F" w:rsidRDefault="0089147F">
      <w:pPr>
        <w:rPr>
          <w:sz w:val="20"/>
        </w:rPr>
        <w:sectPr w:rsidR="0089147F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9147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9147F" w:rsidRDefault="0023427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9147F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9147F" w:rsidRDefault="0023427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89147F" w:rsidRDefault="00234274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89147F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89147F" w:rsidRDefault="00234274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89147F" w:rsidRDefault="0023427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89147F" w:rsidRDefault="00234274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89147F" w:rsidRDefault="00234274">
            <w:pPr>
              <w:pStyle w:val="TableParagraph"/>
              <w:spacing w:before="144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89147F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89147F" w:rsidRDefault="002342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9147F" w:rsidRDefault="0023427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89147F" w:rsidRDefault="0023427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89147F" w:rsidRDefault="00234274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89147F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9147F" w:rsidRDefault="00234274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9147F" w:rsidRDefault="002342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89147F" w:rsidRDefault="00234274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89147F" w:rsidRDefault="002342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9147F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9147F" w:rsidRDefault="00234274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89147F" w:rsidRDefault="002342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89147F" w:rsidRDefault="00234274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89147F" w:rsidRDefault="00234274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89147F" w:rsidRDefault="00234274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147F" w:rsidRDefault="00234274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9147F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9147F" w:rsidRDefault="0089147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9147F" w:rsidRDefault="00234274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89147F" w:rsidRDefault="00234274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234274" w:rsidRDefault="00234274"/>
    <w:sectPr w:rsidR="00234274">
      <w:pgSz w:w="12240" w:h="15840"/>
      <w:pgMar w:top="1140" w:right="1020" w:bottom="1060" w:left="14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74" w:rsidRDefault="00234274">
      <w:r>
        <w:separator/>
      </w:r>
    </w:p>
  </w:endnote>
  <w:endnote w:type="continuationSeparator" w:id="0">
    <w:p w:rsidR="00234274" w:rsidRDefault="0023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7F" w:rsidRDefault="00234274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7pt;margin-top:733.15pt;width:11pt;height:13.05pt;z-index:-252610560;mso-position-horizontal-relative:page;mso-position-vertical-relative:page" filled="f" stroked="f">
          <v:textbox inset="0,0,0,0">
            <w:txbxContent>
              <w:p w:rsidR="0089147F" w:rsidRDefault="00234274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D343FE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7F" w:rsidRDefault="00234274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3.15pt;width:16.1pt;height:13.05pt;z-index:-252609536;mso-position-horizontal-relative:page;mso-position-vertical-relative:page" filled="f" stroked="f">
          <v:textbox inset="0,0,0,0">
            <w:txbxContent>
              <w:p w:rsidR="0089147F" w:rsidRDefault="00234274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D343FE">
                  <w:rPr>
                    <w:rFonts w:ascii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74" w:rsidRDefault="00234274">
      <w:r>
        <w:separator/>
      </w:r>
    </w:p>
  </w:footnote>
  <w:footnote w:type="continuationSeparator" w:id="0">
    <w:p w:rsidR="00234274" w:rsidRDefault="0023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ADE"/>
    <w:multiLevelType w:val="hybridMultilevel"/>
    <w:tmpl w:val="107846C0"/>
    <w:lvl w:ilvl="0" w:tplc="A6A454E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976EDF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F552E9C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7E9A61C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1D43D7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F9A535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CD247C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D8225D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EAE6D2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B285628"/>
    <w:multiLevelType w:val="hybridMultilevel"/>
    <w:tmpl w:val="1142955E"/>
    <w:lvl w:ilvl="0" w:tplc="E0A844F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3D08334">
      <w:start w:val="1"/>
      <w:numFmt w:val="decimal"/>
      <w:lvlText w:val="%2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D46268E4">
      <w:start w:val="1"/>
      <w:numFmt w:val="upperRoman"/>
      <w:lvlText w:val="%3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7A14F742">
      <w:start w:val="1"/>
      <w:numFmt w:val="lowerLetter"/>
      <w:lvlText w:val="%4)"/>
      <w:lvlJc w:val="left"/>
      <w:pPr>
        <w:ind w:left="102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4" w:tplc="2FCAB440">
      <w:numFmt w:val="bullet"/>
      <w:lvlText w:val="•"/>
      <w:lvlJc w:val="left"/>
      <w:pPr>
        <w:ind w:left="2268" w:hanging="360"/>
      </w:pPr>
      <w:rPr>
        <w:rFonts w:hint="default"/>
        <w:lang w:val="cs-CZ" w:eastAsia="cs-CZ" w:bidi="cs-CZ"/>
      </w:rPr>
    </w:lvl>
    <w:lvl w:ilvl="5" w:tplc="7CAE8B8A">
      <w:numFmt w:val="bullet"/>
      <w:lvlText w:val="•"/>
      <w:lvlJc w:val="left"/>
      <w:pPr>
        <w:ind w:left="3517" w:hanging="360"/>
      </w:pPr>
      <w:rPr>
        <w:rFonts w:hint="default"/>
        <w:lang w:val="cs-CZ" w:eastAsia="cs-CZ" w:bidi="cs-CZ"/>
      </w:rPr>
    </w:lvl>
    <w:lvl w:ilvl="6" w:tplc="C0E823A6">
      <w:numFmt w:val="bullet"/>
      <w:lvlText w:val="•"/>
      <w:lvlJc w:val="left"/>
      <w:pPr>
        <w:ind w:left="4765" w:hanging="360"/>
      </w:pPr>
      <w:rPr>
        <w:rFonts w:hint="default"/>
        <w:lang w:val="cs-CZ" w:eastAsia="cs-CZ" w:bidi="cs-CZ"/>
      </w:rPr>
    </w:lvl>
    <w:lvl w:ilvl="7" w:tplc="DBACD6D6">
      <w:numFmt w:val="bullet"/>
      <w:lvlText w:val="•"/>
      <w:lvlJc w:val="left"/>
      <w:pPr>
        <w:ind w:left="6014" w:hanging="360"/>
      </w:pPr>
      <w:rPr>
        <w:rFonts w:hint="default"/>
        <w:lang w:val="cs-CZ" w:eastAsia="cs-CZ" w:bidi="cs-CZ"/>
      </w:rPr>
    </w:lvl>
    <w:lvl w:ilvl="8" w:tplc="82B49130">
      <w:numFmt w:val="bullet"/>
      <w:lvlText w:val="•"/>
      <w:lvlJc w:val="left"/>
      <w:pPr>
        <w:ind w:left="7262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B5F16D6"/>
    <w:multiLevelType w:val="hybridMultilevel"/>
    <w:tmpl w:val="650ACDAC"/>
    <w:lvl w:ilvl="0" w:tplc="CE12044E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E1A6E0E">
      <w:start w:val="1"/>
      <w:numFmt w:val="lowerLetter"/>
      <w:lvlText w:val="%2)"/>
      <w:lvlJc w:val="left"/>
      <w:pPr>
        <w:ind w:left="815" w:hanging="291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6B24E204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4124769C">
      <w:numFmt w:val="bullet"/>
      <w:lvlText w:val="•"/>
      <w:lvlJc w:val="left"/>
      <w:pPr>
        <w:ind w:left="960" w:hanging="286"/>
      </w:pPr>
      <w:rPr>
        <w:rFonts w:hint="default"/>
        <w:lang w:val="cs-CZ" w:eastAsia="cs-CZ" w:bidi="cs-CZ"/>
      </w:rPr>
    </w:lvl>
    <w:lvl w:ilvl="4" w:tplc="A0E62912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5" w:tplc="07F0C61C">
      <w:numFmt w:val="bullet"/>
      <w:lvlText w:val="•"/>
      <w:lvlJc w:val="left"/>
      <w:pPr>
        <w:ind w:left="1100" w:hanging="286"/>
      </w:pPr>
      <w:rPr>
        <w:rFonts w:hint="default"/>
        <w:lang w:val="cs-CZ" w:eastAsia="cs-CZ" w:bidi="cs-CZ"/>
      </w:rPr>
    </w:lvl>
    <w:lvl w:ilvl="6" w:tplc="B9FCA82A">
      <w:numFmt w:val="bullet"/>
      <w:lvlText w:val="•"/>
      <w:lvlJc w:val="left"/>
      <w:pPr>
        <w:ind w:left="2832" w:hanging="286"/>
      </w:pPr>
      <w:rPr>
        <w:rFonts w:hint="default"/>
        <w:lang w:val="cs-CZ" w:eastAsia="cs-CZ" w:bidi="cs-CZ"/>
      </w:rPr>
    </w:lvl>
    <w:lvl w:ilvl="7" w:tplc="DFBCEE9A">
      <w:numFmt w:val="bullet"/>
      <w:lvlText w:val="•"/>
      <w:lvlJc w:val="left"/>
      <w:pPr>
        <w:ind w:left="4564" w:hanging="286"/>
      </w:pPr>
      <w:rPr>
        <w:rFonts w:hint="default"/>
        <w:lang w:val="cs-CZ" w:eastAsia="cs-CZ" w:bidi="cs-CZ"/>
      </w:rPr>
    </w:lvl>
    <w:lvl w:ilvl="8" w:tplc="49EAF8C0">
      <w:numFmt w:val="bullet"/>
      <w:lvlText w:val="•"/>
      <w:lvlJc w:val="left"/>
      <w:pPr>
        <w:ind w:left="6296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31385B3D"/>
    <w:multiLevelType w:val="hybridMultilevel"/>
    <w:tmpl w:val="EB8880AA"/>
    <w:lvl w:ilvl="0" w:tplc="9F32CC3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00E3B7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812B9F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1B6B27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74CF14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5F263F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E732FB4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DEAE33E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86D8A29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24B6EA9"/>
    <w:multiLevelType w:val="hybridMultilevel"/>
    <w:tmpl w:val="56CE76DE"/>
    <w:lvl w:ilvl="0" w:tplc="B6BCFEA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2F8373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7D83752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D6F4FD7C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322E6CBC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C194CC74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1E2618C2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372885DA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7EA047A8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1225358"/>
    <w:multiLevelType w:val="hybridMultilevel"/>
    <w:tmpl w:val="60B450F8"/>
    <w:lvl w:ilvl="0" w:tplc="AE26765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3FAC0262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E1483482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BF906FD0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1F2E8C6A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48901BA0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305489F0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51A24382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32A2B670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147F"/>
    <w:rsid w:val="00234274"/>
    <w:rsid w:val="0089147F"/>
    <w:rsid w:val="00D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CC0D3C"/>
  <w15:docId w15:val="{614D2F1C-DA65-4C56-9334-DBBD328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5279</Words>
  <Characters>31152</Characters>
  <Application>Microsoft Office Word</Application>
  <DocSecurity>0</DocSecurity>
  <Lines>259</Lines>
  <Paragraphs>72</Paragraphs>
  <ScaleCrop>false</ScaleCrop>
  <Company>SFZP</Company>
  <LinksUpToDate>false</LinksUpToDate>
  <CharactersWithSpaces>36359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2021-07-01T13:00:00Z</dcterms:created>
  <dcterms:modified xsi:type="dcterms:W3CDTF">2021-07-01T13:00:00Z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2021-07-01T00:00:00Z</vt:filetime>
  </property>
</Properties>
</file>