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4A3B3" w14:textId="77777777" w:rsidR="003265AF" w:rsidRDefault="003265AF" w:rsidP="00A75DF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57CEB">
        <w:rPr>
          <w:rFonts w:ascii="Arial" w:hAnsi="Arial" w:cs="Arial"/>
          <w:b/>
          <w:sz w:val="28"/>
          <w:szCs w:val="28"/>
        </w:rPr>
        <w:t xml:space="preserve">Technická specifikace </w:t>
      </w:r>
      <w:r w:rsidR="008E2AF1" w:rsidRPr="00757CEB">
        <w:rPr>
          <w:rFonts w:ascii="Arial" w:hAnsi="Arial" w:cs="Arial"/>
          <w:b/>
          <w:sz w:val="28"/>
          <w:szCs w:val="28"/>
        </w:rPr>
        <w:t>rekonstrukce osvětlení pochůzkové trasy</w:t>
      </w:r>
    </w:p>
    <w:p w14:paraId="2548E18C" w14:textId="77777777" w:rsidR="00757CEB" w:rsidRPr="00757CEB" w:rsidRDefault="00757CEB" w:rsidP="00A75DF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8017154" w14:textId="77777777" w:rsidR="008E2AF1" w:rsidRDefault="008E2AF1" w:rsidP="00A75DF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Cílem tohoto projektu rekonstrukce </w:t>
      </w:r>
      <w:r w:rsidR="00F723D5">
        <w:rPr>
          <w:rFonts w:ascii="Arial" w:hAnsi="Arial" w:cs="Arial"/>
        </w:rPr>
        <w:t xml:space="preserve">osvětlení </w:t>
      </w:r>
      <w:r>
        <w:rPr>
          <w:rFonts w:ascii="Arial" w:hAnsi="Arial" w:cs="Arial"/>
        </w:rPr>
        <w:t>stávajících pochůzkových tras je:</w:t>
      </w:r>
    </w:p>
    <w:p w14:paraId="6A658991" w14:textId="77777777" w:rsidR="008E2AF1" w:rsidRPr="00A75DFD" w:rsidRDefault="008E2AF1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A75DFD">
        <w:rPr>
          <w:rFonts w:ascii="Arial" w:hAnsi="Arial" w:cs="Arial"/>
        </w:rPr>
        <w:t>výměn</w:t>
      </w:r>
      <w:r w:rsidR="00A75DFD">
        <w:rPr>
          <w:rFonts w:ascii="Arial" w:hAnsi="Arial" w:cs="Arial"/>
        </w:rPr>
        <w:t>a</w:t>
      </w:r>
      <w:r w:rsidRPr="00A75DFD">
        <w:rPr>
          <w:rFonts w:ascii="Arial" w:hAnsi="Arial" w:cs="Arial"/>
        </w:rPr>
        <w:t xml:space="preserve"> osvětlovacích těles za provedení s LED zdroji světla</w:t>
      </w:r>
      <w:r w:rsidR="002333E1" w:rsidRPr="00A75DFD">
        <w:rPr>
          <w:rFonts w:ascii="Arial" w:hAnsi="Arial" w:cs="Arial"/>
        </w:rPr>
        <w:t xml:space="preserve"> v areálu CTR Nelahozeves na ploše potrubních dvorů nádrží H01 – H10</w:t>
      </w:r>
      <w:r w:rsidR="00A75DFD">
        <w:rPr>
          <w:rFonts w:ascii="Arial" w:hAnsi="Arial" w:cs="Arial"/>
        </w:rPr>
        <w:t>,</w:t>
      </w:r>
    </w:p>
    <w:p w14:paraId="545B68CD" w14:textId="77777777" w:rsidR="008E2AF1" w:rsidRPr="00A75DFD" w:rsidRDefault="008E2AF1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A75DFD">
        <w:rPr>
          <w:rFonts w:ascii="Arial" w:hAnsi="Arial" w:cs="Arial"/>
        </w:rPr>
        <w:t>optimalizace počtu svítidel</w:t>
      </w:r>
      <w:r w:rsidR="00A75DFD">
        <w:rPr>
          <w:rFonts w:ascii="Arial" w:hAnsi="Arial" w:cs="Arial"/>
        </w:rPr>
        <w:t>,</w:t>
      </w:r>
    </w:p>
    <w:p w14:paraId="51D0543E" w14:textId="77777777" w:rsidR="003265AF" w:rsidRPr="00A75DFD" w:rsidRDefault="008E2AF1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A75DFD">
        <w:rPr>
          <w:rFonts w:ascii="Arial" w:hAnsi="Arial" w:cs="Arial"/>
        </w:rPr>
        <w:t>úprava natočení držáků nad osvětlovanou plochu</w:t>
      </w:r>
      <w:r w:rsidR="00A75DFD">
        <w:rPr>
          <w:rFonts w:ascii="Arial" w:hAnsi="Arial" w:cs="Arial"/>
        </w:rPr>
        <w:t>,</w:t>
      </w:r>
    </w:p>
    <w:p w14:paraId="403CAB36" w14:textId="77777777" w:rsidR="008E2AF1" w:rsidRPr="00A75DFD" w:rsidRDefault="008E2AF1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 w:rsidRPr="00A75DFD">
        <w:rPr>
          <w:rFonts w:ascii="Arial" w:hAnsi="Arial" w:cs="Arial"/>
        </w:rPr>
        <w:t xml:space="preserve">výměna spojovacích </w:t>
      </w:r>
      <w:r w:rsidR="00F07B3A" w:rsidRPr="00A75DFD">
        <w:rPr>
          <w:rFonts w:ascii="Arial" w:hAnsi="Arial" w:cs="Arial"/>
        </w:rPr>
        <w:t xml:space="preserve">svorkových skříní </w:t>
      </w:r>
      <w:r w:rsidRPr="00A75DFD">
        <w:rPr>
          <w:rFonts w:ascii="Arial" w:hAnsi="Arial" w:cs="Arial"/>
        </w:rPr>
        <w:t>pro kabelové rozvody ke svítidlům</w:t>
      </w:r>
      <w:r w:rsidR="002333E1" w:rsidRPr="00A75DFD">
        <w:rPr>
          <w:rFonts w:ascii="Arial" w:hAnsi="Arial" w:cs="Arial"/>
        </w:rPr>
        <w:t xml:space="preserve"> včetně části kabeláže</w:t>
      </w:r>
      <w:r w:rsidR="00A75DFD">
        <w:rPr>
          <w:rFonts w:ascii="Arial" w:hAnsi="Arial" w:cs="Arial"/>
        </w:rPr>
        <w:t>.</w:t>
      </w:r>
    </w:p>
    <w:p w14:paraId="7281048A" w14:textId="77777777" w:rsidR="008E2AF1" w:rsidRDefault="008E2AF1" w:rsidP="00A75DFD">
      <w:pPr>
        <w:spacing w:after="0" w:line="240" w:lineRule="auto"/>
        <w:jc w:val="both"/>
        <w:rPr>
          <w:rFonts w:ascii="Arial" w:hAnsi="Arial" w:cs="Arial"/>
        </w:rPr>
      </w:pPr>
    </w:p>
    <w:p w14:paraId="5A981EBD" w14:textId="77777777" w:rsidR="008E2AF1" w:rsidRDefault="008E2AF1" w:rsidP="00A75DF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Požadavky na </w:t>
      </w:r>
      <w:r w:rsidR="00757CEB">
        <w:rPr>
          <w:rFonts w:ascii="Arial" w:hAnsi="Arial" w:cs="Arial"/>
        </w:rPr>
        <w:t xml:space="preserve">osvětlovací tělesa a </w:t>
      </w:r>
      <w:r>
        <w:rPr>
          <w:rFonts w:ascii="Arial" w:hAnsi="Arial" w:cs="Arial"/>
        </w:rPr>
        <w:t>zařízení:</w:t>
      </w:r>
    </w:p>
    <w:p w14:paraId="18E01533" w14:textId="77777777" w:rsidR="00757CEB" w:rsidRDefault="00F07B3A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napájení 230VAC</w:t>
      </w:r>
      <w:r w:rsidR="00A72C6A">
        <w:rPr>
          <w:rFonts w:ascii="Arial" w:hAnsi="Arial" w:cs="Arial"/>
        </w:rPr>
        <w:t xml:space="preserve"> </w:t>
      </w:r>
      <w:proofErr w:type="gramStart"/>
      <w:r w:rsidR="00A72C6A">
        <w:rPr>
          <w:rFonts w:ascii="Arial" w:hAnsi="Arial" w:cs="Arial"/>
        </w:rPr>
        <w:t>50Hz</w:t>
      </w:r>
      <w:proofErr w:type="gramEnd"/>
      <w:r w:rsidR="00757CEB">
        <w:rPr>
          <w:rFonts w:ascii="Arial" w:hAnsi="Arial" w:cs="Arial"/>
        </w:rPr>
        <w:t>, provedení s LED zdrojem světla</w:t>
      </w:r>
      <w:r w:rsidR="00A75DFD">
        <w:rPr>
          <w:rFonts w:ascii="Arial" w:hAnsi="Arial" w:cs="Arial"/>
        </w:rPr>
        <w:t>,</w:t>
      </w:r>
    </w:p>
    <w:p w14:paraId="679A0584" w14:textId="77777777" w:rsidR="008E2AF1" w:rsidRDefault="00CB72AF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světelný tok </w:t>
      </w:r>
      <w:r w:rsidRPr="00FA2C2F">
        <w:rPr>
          <w:rFonts w:ascii="Arial" w:hAnsi="Arial" w:cs="Arial"/>
        </w:rPr>
        <w:t xml:space="preserve">minimálně </w:t>
      </w:r>
      <w:r w:rsidR="00E36013" w:rsidRPr="00FA2C2F">
        <w:rPr>
          <w:rFonts w:ascii="Arial" w:hAnsi="Arial" w:cs="Arial"/>
        </w:rPr>
        <w:t>4800</w:t>
      </w:r>
      <w:r w:rsidRPr="00FA2C2F">
        <w:rPr>
          <w:rFonts w:ascii="Arial" w:hAnsi="Arial" w:cs="Arial"/>
        </w:rPr>
        <w:t xml:space="preserve"> </w:t>
      </w:r>
      <w:proofErr w:type="spellStart"/>
      <w:r w:rsidRPr="00FA2C2F">
        <w:rPr>
          <w:rFonts w:ascii="Arial" w:hAnsi="Arial" w:cs="Arial"/>
        </w:rPr>
        <w:t>lm</w:t>
      </w:r>
      <w:proofErr w:type="spellEnd"/>
      <w:r w:rsidR="00A75DFD">
        <w:rPr>
          <w:rFonts w:ascii="Arial" w:hAnsi="Arial" w:cs="Arial"/>
        </w:rPr>
        <w:t>,</w:t>
      </w:r>
    </w:p>
    <w:p w14:paraId="1AD27771" w14:textId="77777777" w:rsidR="00F07B3A" w:rsidRDefault="00F07B3A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provedení do venkovních p</w:t>
      </w:r>
      <w:r w:rsidR="00CB126E">
        <w:rPr>
          <w:rFonts w:ascii="Arial" w:hAnsi="Arial" w:cs="Arial"/>
        </w:rPr>
        <w:t>rostředí</w:t>
      </w:r>
      <w:r>
        <w:rPr>
          <w:rFonts w:ascii="Arial" w:hAnsi="Arial" w:cs="Arial"/>
        </w:rPr>
        <w:t xml:space="preserve">, </w:t>
      </w:r>
      <w:r w:rsidR="00CB126E">
        <w:rPr>
          <w:rFonts w:ascii="Arial" w:hAnsi="Arial" w:cs="Arial"/>
        </w:rPr>
        <w:t>prostředí</w:t>
      </w:r>
      <w:r>
        <w:rPr>
          <w:rFonts w:ascii="Arial" w:hAnsi="Arial" w:cs="Arial"/>
        </w:rPr>
        <w:t xml:space="preserve"> s nebezpečím výbuchu </w:t>
      </w:r>
      <w:r w:rsidR="005C7E38">
        <w:rPr>
          <w:rFonts w:ascii="Arial" w:hAnsi="Arial" w:cs="Arial"/>
        </w:rPr>
        <w:t xml:space="preserve">plynů a </w:t>
      </w:r>
      <w:proofErr w:type="gramStart"/>
      <w:r w:rsidR="005C7E38">
        <w:rPr>
          <w:rFonts w:ascii="Arial" w:hAnsi="Arial" w:cs="Arial"/>
        </w:rPr>
        <w:t xml:space="preserve">par  </w:t>
      </w:r>
      <w:r>
        <w:rPr>
          <w:rFonts w:ascii="Arial" w:hAnsi="Arial" w:cs="Arial"/>
        </w:rPr>
        <w:t>zóna</w:t>
      </w:r>
      <w:proofErr w:type="gramEnd"/>
      <w:r>
        <w:rPr>
          <w:rFonts w:ascii="Arial" w:hAnsi="Arial" w:cs="Arial"/>
        </w:rPr>
        <w:t xml:space="preserve"> 2</w:t>
      </w:r>
      <w:r w:rsidR="0022087B">
        <w:rPr>
          <w:rFonts w:ascii="Arial" w:hAnsi="Arial" w:cs="Arial"/>
        </w:rPr>
        <w:t>, provedení pro průchozí zapojení kabelů včetně vývodek</w:t>
      </w:r>
      <w:r w:rsidR="00A75DFD">
        <w:rPr>
          <w:rFonts w:ascii="Arial" w:hAnsi="Arial" w:cs="Arial"/>
        </w:rPr>
        <w:t>,</w:t>
      </w:r>
    </w:p>
    <w:p w14:paraId="173CDF67" w14:textId="77777777" w:rsidR="00F07B3A" w:rsidRDefault="00F07B3A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teplota světla </w:t>
      </w:r>
      <w:proofErr w:type="gramStart"/>
      <w:r>
        <w:rPr>
          <w:rFonts w:ascii="Arial" w:hAnsi="Arial" w:cs="Arial"/>
        </w:rPr>
        <w:t>4000 – 5000</w:t>
      </w:r>
      <w:proofErr w:type="gramEnd"/>
      <w:r w:rsidR="00FC65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="00A75DFD">
        <w:rPr>
          <w:rFonts w:ascii="Arial" w:hAnsi="Arial" w:cs="Arial"/>
        </w:rPr>
        <w:t>,</w:t>
      </w:r>
    </w:p>
    <w:p w14:paraId="1553327C" w14:textId="77777777" w:rsidR="00757CEB" w:rsidRPr="00A75DFD" w:rsidRDefault="00757CEB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úhel vyzařování světla m</w:t>
      </w:r>
      <w:r w:rsidRPr="00FA2C2F">
        <w:rPr>
          <w:rFonts w:ascii="Arial" w:hAnsi="Arial" w:cs="Arial"/>
        </w:rPr>
        <w:t>in</w:t>
      </w:r>
      <w:r w:rsidR="00CB72AF" w:rsidRPr="00A75DFD">
        <w:rPr>
          <w:rFonts w:ascii="Arial" w:hAnsi="Arial" w:cs="Arial"/>
        </w:rPr>
        <w:t xml:space="preserve"> </w:t>
      </w:r>
      <w:r w:rsidR="00CB72AF" w:rsidRPr="00FA2C2F">
        <w:rPr>
          <w:rFonts w:ascii="Arial" w:hAnsi="Arial" w:cs="Arial"/>
        </w:rPr>
        <w:t>120</w:t>
      </w:r>
      <w:r w:rsidR="00CB72AF" w:rsidRPr="00A75DFD">
        <w:rPr>
          <w:rFonts w:ascii="Arial" w:hAnsi="Arial" w:cs="Arial"/>
        </w:rPr>
        <w:t>o</w:t>
      </w:r>
      <w:r w:rsidR="00A75DFD">
        <w:rPr>
          <w:rFonts w:ascii="Arial" w:hAnsi="Arial" w:cs="Arial"/>
        </w:rPr>
        <w:t>,</w:t>
      </w:r>
    </w:p>
    <w:p w14:paraId="33C47E23" w14:textId="77777777" w:rsidR="00F07B3A" w:rsidRDefault="00F07B3A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montáž na stávající držáky (trubky s praporci, výložníky)</w:t>
      </w:r>
      <w:r w:rsidR="00A75DFD">
        <w:rPr>
          <w:rFonts w:ascii="Arial" w:hAnsi="Arial" w:cs="Arial"/>
        </w:rPr>
        <w:t>,</w:t>
      </w:r>
    </w:p>
    <w:p w14:paraId="1427DC4F" w14:textId="77777777" w:rsidR="00F07B3A" w:rsidRDefault="00F07B3A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propojovací svorkové skříně v provedení do venkovního </w:t>
      </w:r>
      <w:r w:rsidR="00F723D5">
        <w:rPr>
          <w:rFonts w:ascii="Arial" w:hAnsi="Arial" w:cs="Arial"/>
        </w:rPr>
        <w:t>prostředí</w:t>
      </w:r>
      <w:r>
        <w:rPr>
          <w:rFonts w:ascii="Arial" w:hAnsi="Arial" w:cs="Arial"/>
        </w:rPr>
        <w:t xml:space="preserve">, </w:t>
      </w:r>
      <w:r w:rsidR="00F723D5">
        <w:rPr>
          <w:rFonts w:ascii="Arial" w:hAnsi="Arial" w:cs="Arial"/>
        </w:rPr>
        <w:t>prostředí</w:t>
      </w:r>
      <w:r>
        <w:rPr>
          <w:rFonts w:ascii="Arial" w:hAnsi="Arial" w:cs="Arial"/>
        </w:rPr>
        <w:t xml:space="preserve"> s nebezpečím výbuchu</w:t>
      </w:r>
      <w:r w:rsidR="005C7E38">
        <w:rPr>
          <w:rFonts w:ascii="Arial" w:hAnsi="Arial" w:cs="Arial"/>
        </w:rPr>
        <w:t xml:space="preserve"> plynů a par</w:t>
      </w:r>
      <w:r>
        <w:rPr>
          <w:rFonts w:ascii="Arial" w:hAnsi="Arial" w:cs="Arial"/>
        </w:rPr>
        <w:t xml:space="preserve"> zóna 1</w:t>
      </w:r>
      <w:r w:rsidR="0022087B">
        <w:rPr>
          <w:rFonts w:ascii="Arial" w:hAnsi="Arial" w:cs="Arial"/>
        </w:rPr>
        <w:t>:</w:t>
      </w:r>
    </w:p>
    <w:p w14:paraId="583B8323" w14:textId="77777777" w:rsidR="0022087B" w:rsidRDefault="0022087B" w:rsidP="00A75DFD">
      <w:pPr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Typ </w:t>
      </w:r>
      <w:proofErr w:type="gramStart"/>
      <w:r>
        <w:rPr>
          <w:rFonts w:ascii="Arial" w:hAnsi="Arial" w:cs="Arial"/>
        </w:rPr>
        <w:t>1 – 5</w:t>
      </w:r>
      <w:proofErr w:type="gramEnd"/>
      <w:r>
        <w:rPr>
          <w:rFonts w:ascii="Arial" w:hAnsi="Arial" w:cs="Arial"/>
        </w:rPr>
        <w:t xml:space="preserve"> průchodek</w:t>
      </w:r>
      <w:r w:rsidR="00E36013">
        <w:rPr>
          <w:rFonts w:ascii="Arial" w:hAnsi="Arial" w:cs="Arial"/>
        </w:rPr>
        <w:t>, svorkovnice</w:t>
      </w:r>
      <w:r>
        <w:rPr>
          <w:rFonts w:ascii="Arial" w:hAnsi="Arial" w:cs="Arial"/>
        </w:rPr>
        <w:t xml:space="preserve"> - 1x </w:t>
      </w:r>
      <w:r w:rsidR="00132DFB">
        <w:rPr>
          <w:rFonts w:ascii="Arial" w:hAnsi="Arial" w:cs="Arial"/>
        </w:rPr>
        <w:t>CYKY</w:t>
      </w:r>
      <w:r>
        <w:rPr>
          <w:rFonts w:ascii="Arial" w:hAnsi="Arial" w:cs="Arial"/>
        </w:rPr>
        <w:t xml:space="preserve">5x6, 2x </w:t>
      </w:r>
      <w:r w:rsidR="00132DFB">
        <w:rPr>
          <w:rFonts w:ascii="Arial" w:hAnsi="Arial" w:cs="Arial"/>
        </w:rPr>
        <w:t>CYKY</w:t>
      </w:r>
      <w:r>
        <w:rPr>
          <w:rFonts w:ascii="Arial" w:hAnsi="Arial" w:cs="Arial"/>
        </w:rPr>
        <w:t>3x6, 2x</w:t>
      </w:r>
      <w:r w:rsidR="00132DFB">
        <w:rPr>
          <w:rFonts w:ascii="Arial" w:hAnsi="Arial" w:cs="Arial"/>
        </w:rPr>
        <w:t xml:space="preserve"> CYKY3x2,5</w:t>
      </w:r>
    </w:p>
    <w:p w14:paraId="7E22B7A5" w14:textId="77777777" w:rsidR="00132DFB" w:rsidRDefault="00132DFB" w:rsidP="00A75DFD">
      <w:pPr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Typ </w:t>
      </w:r>
      <w:proofErr w:type="gramStart"/>
      <w:r>
        <w:rPr>
          <w:rFonts w:ascii="Arial" w:hAnsi="Arial" w:cs="Arial"/>
        </w:rPr>
        <w:t>2 – 3</w:t>
      </w:r>
      <w:proofErr w:type="gramEnd"/>
      <w:r>
        <w:rPr>
          <w:rFonts w:ascii="Arial" w:hAnsi="Arial" w:cs="Arial"/>
        </w:rPr>
        <w:t xml:space="preserve"> průchodky</w:t>
      </w:r>
      <w:r w:rsidR="00E36013">
        <w:rPr>
          <w:rFonts w:ascii="Arial" w:hAnsi="Arial" w:cs="Arial"/>
        </w:rPr>
        <w:t xml:space="preserve">, svorkovnice </w:t>
      </w:r>
      <w:r>
        <w:rPr>
          <w:rFonts w:ascii="Arial" w:hAnsi="Arial" w:cs="Arial"/>
        </w:rPr>
        <w:t>– 1x CYKY3x6, 2x CYKY3x2,5</w:t>
      </w:r>
    </w:p>
    <w:p w14:paraId="14EC1E4B" w14:textId="77777777" w:rsidR="005C7E38" w:rsidRDefault="00132DFB" w:rsidP="00A75DFD">
      <w:pPr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Typ </w:t>
      </w:r>
      <w:proofErr w:type="gramStart"/>
      <w:r>
        <w:rPr>
          <w:rFonts w:ascii="Arial" w:hAnsi="Arial" w:cs="Arial"/>
        </w:rPr>
        <w:t>3 – 3</w:t>
      </w:r>
      <w:proofErr w:type="gramEnd"/>
      <w:r>
        <w:rPr>
          <w:rFonts w:ascii="Arial" w:hAnsi="Arial" w:cs="Arial"/>
        </w:rPr>
        <w:t xml:space="preserve"> průchodky</w:t>
      </w:r>
      <w:r w:rsidR="00E36013">
        <w:rPr>
          <w:rFonts w:ascii="Arial" w:hAnsi="Arial" w:cs="Arial"/>
        </w:rPr>
        <w:t xml:space="preserve">, svorkovnice </w:t>
      </w:r>
      <w:r>
        <w:rPr>
          <w:rFonts w:ascii="Arial" w:hAnsi="Arial" w:cs="Arial"/>
        </w:rPr>
        <w:t>– 1x CYKY3x4, 2x CYKY3x2,5</w:t>
      </w:r>
    </w:p>
    <w:p w14:paraId="4152E5B5" w14:textId="77777777" w:rsidR="00132DFB" w:rsidRDefault="00132DFB" w:rsidP="00A75DFD">
      <w:pPr>
        <w:spacing w:after="0" w:line="240" w:lineRule="auto"/>
        <w:ind w:left="708"/>
        <w:jc w:val="both"/>
        <w:rPr>
          <w:rFonts w:ascii="Arial" w:hAnsi="Arial" w:cs="Arial"/>
        </w:rPr>
      </w:pPr>
    </w:p>
    <w:p w14:paraId="24432F04" w14:textId="77777777" w:rsidR="00F07B3A" w:rsidRDefault="00982942" w:rsidP="00A75DF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Požad</w:t>
      </w:r>
      <w:r w:rsidR="00667C33">
        <w:rPr>
          <w:rFonts w:ascii="Arial" w:hAnsi="Arial" w:cs="Arial"/>
        </w:rPr>
        <w:t>ované</w:t>
      </w:r>
      <w:r>
        <w:rPr>
          <w:rFonts w:ascii="Arial" w:hAnsi="Arial" w:cs="Arial"/>
        </w:rPr>
        <w:t xml:space="preserve"> činnosti:</w:t>
      </w:r>
    </w:p>
    <w:p w14:paraId="406F7343" w14:textId="68203CA9" w:rsidR="00982942" w:rsidRDefault="00982942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demontáž stávajících svítidel, demontáže propojovacích svorkových skříní/tlumivek</w:t>
      </w:r>
      <w:r w:rsidR="00801E5C">
        <w:rPr>
          <w:rFonts w:ascii="Arial" w:hAnsi="Arial" w:cs="Arial"/>
        </w:rPr>
        <w:t xml:space="preserve"> a</w:t>
      </w:r>
      <w:r w:rsidR="00FE5520">
        <w:rPr>
          <w:rFonts w:ascii="Arial" w:hAnsi="Arial" w:cs="Arial"/>
        </w:rPr>
        <w:t> </w:t>
      </w:r>
      <w:r w:rsidR="00801E5C">
        <w:rPr>
          <w:rFonts w:ascii="Arial" w:hAnsi="Arial" w:cs="Arial"/>
        </w:rPr>
        <w:t>jejich následná ekologická likvidace</w:t>
      </w:r>
      <w:r w:rsidR="00FE5520">
        <w:rPr>
          <w:rFonts w:ascii="Arial" w:hAnsi="Arial" w:cs="Arial"/>
        </w:rPr>
        <w:t>,</w:t>
      </w:r>
    </w:p>
    <w:p w14:paraId="0EA59DC5" w14:textId="77777777" w:rsidR="00982942" w:rsidRDefault="00982942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instalace nových svítidel a propojovacích svorkových skříní</w:t>
      </w:r>
      <w:r w:rsidR="00A75DFD">
        <w:rPr>
          <w:rFonts w:ascii="Arial" w:hAnsi="Arial" w:cs="Arial"/>
        </w:rPr>
        <w:t>,</w:t>
      </w:r>
    </w:p>
    <w:p w14:paraId="02A24C89" w14:textId="77777777" w:rsidR="00982942" w:rsidRDefault="00667C33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instalace</w:t>
      </w:r>
      <w:r w:rsidR="00982942">
        <w:rPr>
          <w:rFonts w:ascii="Arial" w:hAnsi="Arial" w:cs="Arial"/>
        </w:rPr>
        <w:t xml:space="preserve"> nové kabeláže </w:t>
      </w:r>
      <w:r>
        <w:rPr>
          <w:rFonts w:ascii="Arial" w:hAnsi="Arial" w:cs="Arial"/>
        </w:rPr>
        <w:t>mezi svítidly a propojovacími svorkovými skříněmi, kabeláž bude kompletně vyměněna v rámci dílčí</w:t>
      </w:r>
      <w:r w:rsidR="0038385D">
        <w:rPr>
          <w:rFonts w:ascii="Arial" w:hAnsi="Arial" w:cs="Arial"/>
        </w:rPr>
        <w:t>ch osvětlovacích celků (obslužných nebo přechodových lávek) s tím že budou zachovány pouze přívodní kabely z hlavních kabelových tras</w:t>
      </w:r>
      <w:r w:rsidR="00A75DFD">
        <w:rPr>
          <w:rFonts w:ascii="Arial" w:hAnsi="Arial" w:cs="Arial"/>
        </w:rPr>
        <w:t>,</w:t>
      </w:r>
    </w:p>
    <w:p w14:paraId="275EDF90" w14:textId="77777777" w:rsidR="00982942" w:rsidRDefault="00982942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úprava natočení trubkových držáků u </w:t>
      </w:r>
      <w:r w:rsidR="0022087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ks svítidel přechodů potrubí u nádrží H0</w:t>
      </w:r>
      <w:r w:rsidR="0022087B">
        <w:rPr>
          <w:rFonts w:ascii="Arial" w:hAnsi="Arial" w:cs="Arial"/>
        </w:rPr>
        <w:t>3</w:t>
      </w:r>
      <w:r>
        <w:rPr>
          <w:rFonts w:ascii="Arial" w:hAnsi="Arial" w:cs="Arial"/>
        </w:rPr>
        <w:t>-H06 (odříznutí a navaření v pootočené pozici)</w:t>
      </w:r>
      <w:r w:rsidR="00A75DFD">
        <w:rPr>
          <w:rFonts w:ascii="Arial" w:hAnsi="Arial" w:cs="Arial"/>
        </w:rPr>
        <w:t>,</w:t>
      </w:r>
    </w:p>
    <w:p w14:paraId="7DB36F34" w14:textId="77777777" w:rsidR="00667C33" w:rsidRDefault="00667C33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po veškerých úpravách ocelových konstrukcí (sváření, řezání) bude konstrukce opravena nátěrovým systémem</w:t>
      </w:r>
      <w:r w:rsidR="00A75DFD">
        <w:rPr>
          <w:rFonts w:ascii="Arial" w:hAnsi="Arial" w:cs="Arial"/>
        </w:rPr>
        <w:t>,</w:t>
      </w:r>
    </w:p>
    <w:p w14:paraId="67BE1134" w14:textId="47395981" w:rsidR="0038385D" w:rsidRDefault="00A75DFD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38385D">
        <w:rPr>
          <w:rFonts w:ascii="Arial" w:hAnsi="Arial" w:cs="Arial"/>
        </w:rPr>
        <w:t xml:space="preserve"> některých osvětlovacích ploch dojde k optimalizaci osvětlení tím, že budou demontována určitá svítidla bez náhrady, budou demontovány/odříznuty </w:t>
      </w:r>
      <w:r w:rsidR="00757CEB">
        <w:rPr>
          <w:rFonts w:ascii="Arial" w:hAnsi="Arial" w:cs="Arial"/>
        </w:rPr>
        <w:t>držáky těchto svítidel a</w:t>
      </w:r>
      <w:r>
        <w:rPr>
          <w:rFonts w:ascii="Arial" w:hAnsi="Arial" w:cs="Arial"/>
        </w:rPr>
        <w:t> </w:t>
      </w:r>
      <w:r w:rsidR="00757CEB">
        <w:rPr>
          <w:rFonts w:ascii="Arial" w:hAnsi="Arial" w:cs="Arial"/>
        </w:rPr>
        <w:t>demontována kabeláž včetně svorkových skříní (v celkovém pohledu označeno žlutými body)</w:t>
      </w:r>
      <w:r w:rsidR="00FE5520">
        <w:rPr>
          <w:rFonts w:ascii="Arial" w:hAnsi="Arial" w:cs="Arial"/>
        </w:rPr>
        <w:t>,</w:t>
      </w:r>
    </w:p>
    <w:p w14:paraId="01A6E6B7" w14:textId="4C695659" w:rsidR="005C7E38" w:rsidRDefault="005C7E38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zpracování výchozí revizní zprávy</w:t>
      </w:r>
      <w:r w:rsidR="00FE5520">
        <w:rPr>
          <w:rFonts w:ascii="Arial" w:hAnsi="Arial" w:cs="Arial"/>
        </w:rPr>
        <w:t>,</w:t>
      </w:r>
    </w:p>
    <w:p w14:paraId="7AEDA064" w14:textId="77777777" w:rsidR="005C7E38" w:rsidRDefault="005C7E38" w:rsidP="00A75DFD">
      <w:pPr>
        <w:pStyle w:val="Odstavecseseznamem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dodání souhlasného stanoviska TIČR</w:t>
      </w:r>
      <w:r w:rsidR="00A75DFD">
        <w:rPr>
          <w:rFonts w:ascii="Arial" w:hAnsi="Arial" w:cs="Arial"/>
        </w:rPr>
        <w:t>.</w:t>
      </w:r>
    </w:p>
    <w:p w14:paraId="092F1917" w14:textId="77777777" w:rsidR="00667C33" w:rsidRDefault="005C7E38" w:rsidP="00A75DF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86255CC" wp14:editId="5F822A7B">
            <wp:extent cx="5524500" cy="414433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57" cy="41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30A3" w14:textId="77777777" w:rsidR="0001789A" w:rsidRDefault="002333E1">
      <w:pPr>
        <w:rPr>
          <w:vertAlign w:val="superscript"/>
        </w:rPr>
      </w:pPr>
      <w:r>
        <w:t>Foto č.</w:t>
      </w:r>
      <w:r w:rsidR="00A75DFD">
        <w:t xml:space="preserve"> </w:t>
      </w:r>
      <w:r>
        <w:t xml:space="preserve">1 </w:t>
      </w:r>
      <w:r w:rsidR="001F7CC7">
        <w:t xml:space="preserve">- </w:t>
      </w:r>
      <w:r w:rsidR="00891F80">
        <w:t>instalace, kde budou stožáry pootočeny o 180</w:t>
      </w:r>
      <w:r w:rsidR="00891F80">
        <w:rPr>
          <w:vertAlign w:val="superscript"/>
        </w:rPr>
        <w:t>o</w:t>
      </w:r>
    </w:p>
    <w:p w14:paraId="7670E0A3" w14:textId="77777777" w:rsidR="00E9171E" w:rsidRDefault="00E9171E">
      <w:pPr>
        <w:rPr>
          <w:vertAlign w:val="superscript"/>
        </w:rPr>
      </w:pPr>
    </w:p>
    <w:p w14:paraId="6366BE21" w14:textId="77777777" w:rsidR="002329B0" w:rsidRDefault="002329B0">
      <w:pPr>
        <w:rPr>
          <w:vertAlign w:val="superscript"/>
        </w:rPr>
      </w:pPr>
    </w:p>
    <w:p w14:paraId="7798EDFF" w14:textId="77777777" w:rsidR="002329B0" w:rsidRDefault="002329B0">
      <w:pPr>
        <w:rPr>
          <w:vertAlign w:val="superscript"/>
        </w:rPr>
      </w:pPr>
    </w:p>
    <w:p w14:paraId="40EF5310" w14:textId="77777777" w:rsidR="00891F80" w:rsidRDefault="002329B0" w:rsidP="00A75DFD">
      <w:pPr>
        <w:rPr>
          <w:vertAlign w:val="superscript"/>
        </w:rPr>
      </w:pPr>
      <w:r>
        <w:rPr>
          <w:noProof/>
        </w:rPr>
        <w:drawing>
          <wp:inline distT="0" distB="0" distL="0" distR="0" wp14:anchorId="1FA49371" wp14:editId="07B918F7">
            <wp:extent cx="5387340" cy="2928832"/>
            <wp:effectExtent l="0" t="0" r="381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45" cy="293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575E" w14:textId="77777777" w:rsidR="002329B0" w:rsidRPr="002333E1" w:rsidRDefault="002333E1">
      <w:r>
        <w:t>Foto</w:t>
      </w:r>
      <w:r w:rsidRPr="002333E1">
        <w:t xml:space="preserve"> </w:t>
      </w:r>
      <w:r>
        <w:t>č.</w:t>
      </w:r>
      <w:r w:rsidR="00A75DFD">
        <w:t xml:space="preserve"> </w:t>
      </w:r>
      <w:r>
        <w:t xml:space="preserve">2 </w:t>
      </w:r>
      <w:r w:rsidR="001F7CC7">
        <w:t xml:space="preserve">- </w:t>
      </w:r>
      <w:r w:rsidRPr="002333E1">
        <w:t>umístění osvětlovacích těles a spojovacích skříní</w:t>
      </w:r>
    </w:p>
    <w:p w14:paraId="49EE80B9" w14:textId="77777777" w:rsidR="00891F80" w:rsidRDefault="002329B0" w:rsidP="00A75DFD">
      <w:pPr>
        <w:rPr>
          <w:vertAlign w:val="superscript"/>
        </w:rPr>
      </w:pPr>
      <w:r>
        <w:rPr>
          <w:noProof/>
        </w:rPr>
        <w:lastRenderedPageBreak/>
        <w:drawing>
          <wp:inline distT="0" distB="0" distL="0" distR="0" wp14:anchorId="62FF7712" wp14:editId="7D87E858">
            <wp:extent cx="5433060" cy="40747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0F4C" w14:textId="77777777" w:rsidR="002329B0" w:rsidRPr="001F7CC7" w:rsidRDefault="001F7CC7">
      <w:r w:rsidRPr="001F7CC7">
        <w:t xml:space="preserve">Foto č. 3 </w:t>
      </w:r>
      <w:r>
        <w:t xml:space="preserve">- </w:t>
      </w:r>
      <w:r w:rsidRPr="001F7CC7">
        <w:t>přechodový lávka</w:t>
      </w:r>
      <w:r w:rsidR="00CB126E">
        <w:t xml:space="preserve"> přes potrubní rýhu</w:t>
      </w:r>
    </w:p>
    <w:p w14:paraId="1ED0CB80" w14:textId="77777777" w:rsidR="002329B0" w:rsidRDefault="002329B0">
      <w:pPr>
        <w:rPr>
          <w:vertAlign w:val="superscript"/>
        </w:rPr>
      </w:pPr>
    </w:p>
    <w:p w14:paraId="4B1BAEC3" w14:textId="77777777" w:rsidR="002329B0" w:rsidRDefault="002329B0" w:rsidP="00A75DFD">
      <w:pPr>
        <w:rPr>
          <w:vertAlign w:val="superscript"/>
        </w:rPr>
      </w:pPr>
      <w:r>
        <w:rPr>
          <w:noProof/>
        </w:rPr>
        <w:drawing>
          <wp:inline distT="0" distB="0" distL="0" distR="0" wp14:anchorId="61E96D01" wp14:editId="5307B513">
            <wp:extent cx="5387340" cy="3578025"/>
            <wp:effectExtent l="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33" cy="35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50B3" w14:textId="77777777" w:rsidR="002329B0" w:rsidRPr="001F7CC7" w:rsidRDefault="001F7CC7">
      <w:r w:rsidRPr="001F7CC7">
        <w:t>Foto č.</w:t>
      </w:r>
      <w:r w:rsidR="00A75DFD">
        <w:t xml:space="preserve"> </w:t>
      </w:r>
      <w:r w:rsidRPr="001F7CC7">
        <w:t>4 – lávka ovládání armatur nádrží</w:t>
      </w:r>
    </w:p>
    <w:p w14:paraId="73809F0B" w14:textId="77777777" w:rsidR="002329B0" w:rsidRPr="00891F80" w:rsidRDefault="007253AE">
      <w:pPr>
        <w:rPr>
          <w:vertAlign w:val="superscript"/>
        </w:rPr>
      </w:pPr>
      <w:r>
        <w:rPr>
          <w:noProof/>
        </w:rPr>
        <w:lastRenderedPageBreak/>
        <w:drawing>
          <wp:inline distT="0" distB="0" distL="0" distR="0" wp14:anchorId="69BA8173" wp14:editId="33051A08">
            <wp:extent cx="8608337" cy="3527439"/>
            <wp:effectExtent l="6667" t="0" r="9208" b="9207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4726" cy="35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9B0" w:rsidRPr="00891F80" w:rsidSect="00A75D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6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AEA72" w14:textId="77777777" w:rsidR="00A75DFD" w:rsidRDefault="00A75DFD" w:rsidP="00A75DFD">
      <w:pPr>
        <w:spacing w:after="0" w:line="240" w:lineRule="auto"/>
      </w:pPr>
      <w:r>
        <w:separator/>
      </w:r>
    </w:p>
  </w:endnote>
  <w:endnote w:type="continuationSeparator" w:id="0">
    <w:p w14:paraId="37EEC41E" w14:textId="77777777" w:rsidR="00A75DFD" w:rsidRDefault="00A75DFD" w:rsidP="00A7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4A90B" w14:textId="77777777" w:rsidR="003E487C" w:rsidRDefault="003E48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1198878"/>
      <w:docPartObj>
        <w:docPartGallery w:val="Page Numbers (Bottom of Page)"/>
        <w:docPartUnique/>
      </w:docPartObj>
    </w:sdtPr>
    <w:sdtEndPr/>
    <w:sdtContent>
      <w:p w14:paraId="22BC8B13" w14:textId="77777777" w:rsidR="00A75DFD" w:rsidRDefault="00A75DF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3017E4" w14:textId="77777777" w:rsidR="00A75DFD" w:rsidRDefault="00A75DF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08686" w14:textId="77777777" w:rsidR="003E487C" w:rsidRDefault="003E48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677C8" w14:textId="77777777" w:rsidR="00A75DFD" w:rsidRDefault="00A75DFD" w:rsidP="00A75DFD">
      <w:pPr>
        <w:spacing w:after="0" w:line="240" w:lineRule="auto"/>
      </w:pPr>
      <w:r>
        <w:separator/>
      </w:r>
    </w:p>
  </w:footnote>
  <w:footnote w:type="continuationSeparator" w:id="0">
    <w:p w14:paraId="0527EAEC" w14:textId="77777777" w:rsidR="00A75DFD" w:rsidRDefault="00A75DFD" w:rsidP="00A7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D6D28" w14:textId="77777777" w:rsidR="003E487C" w:rsidRDefault="003E487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F3B6A" w14:textId="5200D030" w:rsidR="00A75DFD" w:rsidRDefault="00A75DFD" w:rsidP="00A75DFD">
    <w:pPr>
      <w:pStyle w:val="Zhlav"/>
      <w:jc w:val="right"/>
    </w:pPr>
    <w:r>
      <w:t xml:space="preserve">Příloha č. 1 k </w:t>
    </w:r>
    <w:r w:rsidR="003E487C" w:rsidRPr="003E487C">
      <w:t>00965/INV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188AF" w14:textId="77777777" w:rsidR="003E487C" w:rsidRDefault="003E48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2675B"/>
    <w:multiLevelType w:val="hybridMultilevel"/>
    <w:tmpl w:val="8370BF7C"/>
    <w:lvl w:ilvl="0" w:tplc="D8388E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121C"/>
    <w:multiLevelType w:val="hybridMultilevel"/>
    <w:tmpl w:val="F4B8E396"/>
    <w:lvl w:ilvl="0" w:tplc="1F6EF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D4A33"/>
    <w:multiLevelType w:val="hybridMultilevel"/>
    <w:tmpl w:val="A6DA66A2"/>
    <w:lvl w:ilvl="0" w:tplc="772AF04E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5AF"/>
    <w:rsid w:val="0001789A"/>
    <w:rsid w:val="00132DFB"/>
    <w:rsid w:val="001F7CC7"/>
    <w:rsid w:val="00207266"/>
    <w:rsid w:val="0022087B"/>
    <w:rsid w:val="002329B0"/>
    <w:rsid w:val="002333E1"/>
    <w:rsid w:val="003265AF"/>
    <w:rsid w:val="0038385D"/>
    <w:rsid w:val="003E487C"/>
    <w:rsid w:val="004014C2"/>
    <w:rsid w:val="00465344"/>
    <w:rsid w:val="005869B3"/>
    <w:rsid w:val="005C7E38"/>
    <w:rsid w:val="0062422C"/>
    <w:rsid w:val="00667C33"/>
    <w:rsid w:val="007253AE"/>
    <w:rsid w:val="00757CEB"/>
    <w:rsid w:val="007B0197"/>
    <w:rsid w:val="00801E5C"/>
    <w:rsid w:val="00810A54"/>
    <w:rsid w:val="00891F80"/>
    <w:rsid w:val="008E2AF1"/>
    <w:rsid w:val="00982942"/>
    <w:rsid w:val="00A72C6A"/>
    <w:rsid w:val="00A75DFD"/>
    <w:rsid w:val="00CB126E"/>
    <w:rsid w:val="00CB72AF"/>
    <w:rsid w:val="00E36013"/>
    <w:rsid w:val="00E9171E"/>
    <w:rsid w:val="00F07B3A"/>
    <w:rsid w:val="00F723D5"/>
    <w:rsid w:val="00FA2C2F"/>
    <w:rsid w:val="00FC65A7"/>
    <w:rsid w:val="00FE5520"/>
    <w:rsid w:val="00F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1E83"/>
  <w15:chartTrackingRefBased/>
  <w15:docId w15:val="{A1D3C0DC-CDE5-4331-8674-359430CB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265A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5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7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5DFD"/>
  </w:style>
  <w:style w:type="paragraph" w:styleId="Zpat">
    <w:name w:val="footer"/>
    <w:basedOn w:val="Normln"/>
    <w:link w:val="ZpatChar"/>
    <w:uiPriority w:val="99"/>
    <w:unhideWhenUsed/>
    <w:rsid w:val="00A7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5DFD"/>
  </w:style>
  <w:style w:type="character" w:styleId="Odkaznakoment">
    <w:name w:val="annotation reference"/>
    <w:basedOn w:val="Standardnpsmoodstavce"/>
    <w:uiPriority w:val="99"/>
    <w:semiHidden/>
    <w:unhideWhenUsed/>
    <w:rsid w:val="004653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53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534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53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534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5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5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MERO ČR, a.s.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Kougl</dc:creator>
  <cp:keywords/>
  <dc:description/>
  <cp:lastModifiedBy>Kateřina Nývltová</cp:lastModifiedBy>
  <cp:revision>2</cp:revision>
  <cp:lastPrinted>2021-06-15T11:55:00Z</cp:lastPrinted>
  <dcterms:created xsi:type="dcterms:W3CDTF">2021-07-01T09:33:00Z</dcterms:created>
  <dcterms:modified xsi:type="dcterms:W3CDTF">2021-07-01T09:33:00Z</dcterms:modified>
</cp:coreProperties>
</file>