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5640"/>
      </w:tblGrid>
      <w:tr w:rsidR="00F53F7A" w:rsidRPr="00B21502" w14:paraId="309BA4F5" w14:textId="77777777" w:rsidTr="006114E5">
        <w:trPr>
          <w:trHeight w:val="4605"/>
          <w:jc w:val="center"/>
        </w:trPr>
        <w:tc>
          <w:tcPr>
            <w:tcW w:w="5640" w:type="dxa"/>
            <w:vAlign w:val="center"/>
          </w:tcPr>
          <w:p w14:paraId="1B2B9147" w14:textId="77777777" w:rsidR="00F53F7A" w:rsidRPr="00B21502" w:rsidRDefault="00F53F7A">
            <w:pPr>
              <w:pStyle w:val="CoverSheetParty"/>
            </w:pPr>
            <w:bookmarkStart w:id="0" w:name="bmkCoverSheet"/>
            <w:r w:rsidRPr="00B21502">
              <w:rPr>
                <w:bCs/>
                <w:szCs w:val="22"/>
              </w:rPr>
              <w:t>GILEAD SCIENCES S.R.O.</w:t>
            </w:r>
          </w:p>
          <w:p w14:paraId="71711174" w14:textId="77777777" w:rsidR="00F53F7A" w:rsidRPr="00B21502" w:rsidRDefault="00F53F7A">
            <w:pPr>
              <w:pStyle w:val="CoverSheetParty"/>
            </w:pPr>
            <w:r w:rsidRPr="00B21502">
              <w:rPr>
                <w:bCs/>
              </w:rPr>
              <w:t>-a-/</w:t>
            </w:r>
            <w:r w:rsidRPr="00B21502">
              <w:rPr>
                <w:bCs/>
                <w:lang w:val="en"/>
              </w:rPr>
              <w:t>-and-</w:t>
            </w:r>
          </w:p>
          <w:p w14:paraId="19B785FB" w14:textId="20F20C82" w:rsidR="00F53F7A" w:rsidRPr="00B21502" w:rsidRDefault="00D301CB">
            <w:pPr>
              <w:pStyle w:val="CoverSheetParty"/>
              <w:rPr>
                <w:caps/>
              </w:rPr>
            </w:pPr>
            <w:r>
              <w:rPr>
                <w:bCs/>
                <w:caps/>
              </w:rPr>
              <w:t>Institut klinické a experimentální medicíny</w:t>
            </w:r>
          </w:p>
        </w:tc>
      </w:tr>
      <w:tr w:rsidR="00F53F7A" w:rsidRPr="00B21502" w14:paraId="449172C1" w14:textId="77777777" w:rsidTr="006114E5">
        <w:trPr>
          <w:trHeight w:val="340"/>
          <w:jc w:val="center"/>
        </w:trPr>
        <w:tc>
          <w:tcPr>
            <w:tcW w:w="5640" w:type="dxa"/>
          </w:tcPr>
          <w:p w14:paraId="5E141C60" w14:textId="77777777" w:rsidR="00F53F7A" w:rsidRPr="00B21502" w:rsidRDefault="00F53F7A">
            <w:pPr>
              <w:pStyle w:val="CoverSheetTitle"/>
            </w:pPr>
          </w:p>
        </w:tc>
      </w:tr>
      <w:tr w:rsidR="00F53F7A" w:rsidRPr="00B21502" w14:paraId="72B34CE7" w14:textId="77777777" w:rsidTr="006114E5">
        <w:trPr>
          <w:trHeight w:val="312"/>
          <w:jc w:val="center"/>
        </w:trPr>
        <w:tc>
          <w:tcPr>
            <w:tcW w:w="5640" w:type="dxa"/>
          </w:tcPr>
          <w:p w14:paraId="1AEC34D3" w14:textId="77777777" w:rsidR="00F53F7A" w:rsidRPr="00B21502" w:rsidRDefault="00F53F7A">
            <w:pPr>
              <w:pStyle w:val="CoverSheetTitle"/>
            </w:pPr>
            <w:r w:rsidRPr="00B21502">
              <w:rPr>
                <w:bCs/>
              </w:rPr>
              <w:t xml:space="preserve">DOHODA O POSKYTOVÁNÍ BONUSU/ </w:t>
            </w:r>
            <w:r w:rsidRPr="00B21502">
              <w:rPr>
                <w:bCs/>
                <w:lang w:val="en"/>
              </w:rPr>
              <w:t>BONUS AGREEMENT</w:t>
            </w:r>
          </w:p>
        </w:tc>
      </w:tr>
      <w:tr w:rsidR="00F53F7A" w:rsidRPr="00B21502" w14:paraId="2EBD28B2" w14:textId="77777777" w:rsidTr="006114E5">
        <w:trPr>
          <w:trHeight w:val="340"/>
          <w:jc w:val="center"/>
        </w:trPr>
        <w:tc>
          <w:tcPr>
            <w:tcW w:w="5640" w:type="dxa"/>
          </w:tcPr>
          <w:p w14:paraId="639A3A58" w14:textId="77777777" w:rsidR="00F53F7A" w:rsidRPr="00B21502" w:rsidRDefault="00F53F7A">
            <w:pPr>
              <w:pStyle w:val="CoverSheetTitle"/>
            </w:pPr>
          </w:p>
        </w:tc>
      </w:tr>
    </w:tbl>
    <w:p w14:paraId="29CF0FA1" w14:textId="77777777" w:rsidR="00F53F7A" w:rsidRPr="00B21502" w:rsidRDefault="00F53F7A">
      <w:pPr>
        <w:jc w:val="center"/>
      </w:pPr>
    </w:p>
    <w:p w14:paraId="07975A99" w14:textId="2C261218" w:rsidR="00F53F7A" w:rsidRPr="00B21502" w:rsidRDefault="00F53F7A">
      <w:pPr>
        <w:sectPr w:rsidR="00F53F7A" w:rsidRPr="00B2150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paperSrc w:first="1" w:other="1"/>
          <w:cols w:space="708"/>
          <w:titlePg/>
          <w:docGrid w:linePitch="360"/>
        </w:sectPr>
      </w:pPr>
    </w:p>
    <w:tbl>
      <w:tblPr>
        <w:tblStyle w:val="Mkatabulky"/>
        <w:tblW w:w="5000" w:type="pct"/>
        <w:tblLook w:val="04A0" w:firstRow="1" w:lastRow="0" w:firstColumn="1" w:lastColumn="0" w:noHBand="0" w:noVBand="1"/>
      </w:tblPr>
      <w:tblGrid>
        <w:gridCol w:w="4573"/>
        <w:gridCol w:w="4771"/>
      </w:tblGrid>
      <w:tr w:rsidR="002573E6" w:rsidRPr="00B21502" w14:paraId="1D41AB8D" w14:textId="77777777" w:rsidTr="002573E6">
        <w:tc>
          <w:tcPr>
            <w:tcW w:w="2500" w:type="pct"/>
          </w:tcPr>
          <w:p w14:paraId="547B6185" w14:textId="77777777" w:rsidR="002573E6" w:rsidRPr="00BB7A49" w:rsidRDefault="002573E6" w:rsidP="002573E6">
            <w:pPr>
              <w:pStyle w:val="TOCTitle"/>
              <w:rPr>
                <w:lang w:val="cs-CZ"/>
              </w:rPr>
            </w:pPr>
            <w:bookmarkStart w:id="1" w:name="bmkToc"/>
            <w:bookmarkEnd w:id="0"/>
            <w:r w:rsidRPr="00BB7A49">
              <w:rPr>
                <w:bCs/>
                <w:lang w:val="cs-CZ"/>
              </w:rPr>
              <w:lastRenderedPageBreak/>
              <w:t>Obsah</w:t>
            </w:r>
          </w:p>
        </w:tc>
        <w:tc>
          <w:tcPr>
            <w:tcW w:w="2500" w:type="pct"/>
          </w:tcPr>
          <w:p w14:paraId="1C58FF2A" w14:textId="77777777" w:rsidR="002573E6" w:rsidRPr="00570B61" w:rsidRDefault="002573E6" w:rsidP="002573E6">
            <w:pPr>
              <w:pStyle w:val="TOCTitle"/>
            </w:pPr>
            <w:r w:rsidRPr="00BB7A49">
              <w:rPr>
                <w:bCs/>
              </w:rPr>
              <w:t>Content</w:t>
            </w:r>
          </w:p>
        </w:tc>
      </w:tr>
      <w:tr w:rsidR="002573E6" w:rsidRPr="00B21502" w14:paraId="7CD14ED5" w14:textId="77777777" w:rsidTr="002573E6">
        <w:tc>
          <w:tcPr>
            <w:tcW w:w="2500" w:type="pct"/>
          </w:tcPr>
          <w:p w14:paraId="7B5F0A06" w14:textId="77777777" w:rsidR="002573E6" w:rsidRPr="00BB7A49" w:rsidRDefault="002573E6" w:rsidP="002573E6">
            <w:pPr>
              <w:rPr>
                <w:lang w:val="cs-CZ"/>
              </w:rPr>
            </w:pPr>
            <w:bookmarkStart w:id="2" w:name="bmkTocField"/>
            <w:bookmarkEnd w:id="2"/>
          </w:p>
        </w:tc>
        <w:tc>
          <w:tcPr>
            <w:tcW w:w="2500" w:type="pct"/>
          </w:tcPr>
          <w:p w14:paraId="0810852A" w14:textId="77777777" w:rsidR="002573E6" w:rsidRPr="00570B61" w:rsidRDefault="002573E6" w:rsidP="002573E6"/>
        </w:tc>
      </w:tr>
      <w:tr w:rsidR="002573E6" w:rsidRPr="00B21502" w14:paraId="2CF4A795" w14:textId="77777777" w:rsidTr="002573E6">
        <w:tc>
          <w:tcPr>
            <w:tcW w:w="2500" w:type="pct"/>
          </w:tcPr>
          <w:p w14:paraId="04CA3286" w14:textId="77777777" w:rsidR="002573E6" w:rsidRPr="00BB7A49" w:rsidRDefault="002573E6" w:rsidP="002573E6">
            <w:pPr>
              <w:tabs>
                <w:tab w:val="left" w:pos="1134"/>
                <w:tab w:val="left" w:pos="8364"/>
              </w:tabs>
              <w:rPr>
                <w:lang w:val="cs-CZ"/>
              </w:rPr>
            </w:pPr>
            <w:r w:rsidRPr="00BB7A49">
              <w:rPr>
                <w:lang w:val="cs-CZ"/>
              </w:rPr>
              <w:t>1.</w:t>
            </w:r>
            <w:r w:rsidRPr="00BB7A49">
              <w:rPr>
                <w:lang w:val="cs-CZ"/>
              </w:rPr>
              <w:tab/>
              <w:t>Výklad pojmů</w:t>
            </w:r>
            <w:r w:rsidRPr="00BB7A49">
              <w:rPr>
                <w:lang w:val="cs-CZ"/>
              </w:rPr>
              <w:tab/>
              <w:t>3</w:t>
            </w:r>
          </w:p>
        </w:tc>
        <w:tc>
          <w:tcPr>
            <w:tcW w:w="2500" w:type="pct"/>
          </w:tcPr>
          <w:p w14:paraId="5C00FCF2" w14:textId="77777777" w:rsidR="002573E6" w:rsidRPr="00570B61" w:rsidRDefault="002573E6" w:rsidP="002573E6">
            <w:pPr>
              <w:tabs>
                <w:tab w:val="left" w:pos="1134"/>
                <w:tab w:val="left" w:pos="8364"/>
              </w:tabs>
            </w:pPr>
            <w:r w:rsidRPr="00BB7A49">
              <w:t>1.</w:t>
            </w:r>
            <w:r w:rsidRPr="00BB7A49">
              <w:tab/>
              <w:t>Definitions</w:t>
            </w:r>
            <w:r w:rsidRPr="00BB7A49">
              <w:tab/>
              <w:t>3</w:t>
            </w:r>
          </w:p>
        </w:tc>
      </w:tr>
      <w:tr w:rsidR="002573E6" w:rsidRPr="00B21502" w14:paraId="72013E7D" w14:textId="77777777" w:rsidTr="002573E6">
        <w:tc>
          <w:tcPr>
            <w:tcW w:w="2500" w:type="pct"/>
          </w:tcPr>
          <w:p w14:paraId="40CDC689" w14:textId="77777777" w:rsidR="002573E6" w:rsidRPr="00BB7A49" w:rsidRDefault="002573E6" w:rsidP="002573E6">
            <w:pPr>
              <w:tabs>
                <w:tab w:val="left" w:pos="1134"/>
                <w:tab w:val="left" w:pos="8364"/>
              </w:tabs>
              <w:rPr>
                <w:lang w:val="cs-CZ"/>
              </w:rPr>
            </w:pPr>
            <w:r w:rsidRPr="00BB7A49">
              <w:rPr>
                <w:lang w:val="cs-CZ"/>
              </w:rPr>
              <w:t>2.</w:t>
            </w:r>
            <w:r w:rsidRPr="00BB7A49">
              <w:rPr>
                <w:lang w:val="cs-CZ"/>
              </w:rPr>
              <w:tab/>
              <w:t>Poskytování bonusu</w:t>
            </w:r>
            <w:r w:rsidRPr="00BB7A49">
              <w:rPr>
                <w:lang w:val="cs-CZ"/>
              </w:rPr>
              <w:tab/>
              <w:t>3</w:t>
            </w:r>
          </w:p>
        </w:tc>
        <w:tc>
          <w:tcPr>
            <w:tcW w:w="2500" w:type="pct"/>
          </w:tcPr>
          <w:p w14:paraId="31465395" w14:textId="77777777" w:rsidR="002573E6" w:rsidRPr="00570B61" w:rsidRDefault="002573E6" w:rsidP="002573E6">
            <w:pPr>
              <w:tabs>
                <w:tab w:val="left" w:pos="1134"/>
                <w:tab w:val="left" w:pos="8364"/>
              </w:tabs>
            </w:pPr>
            <w:r w:rsidRPr="00BB7A49">
              <w:t>2.</w:t>
            </w:r>
            <w:r w:rsidRPr="00BB7A49">
              <w:tab/>
              <w:t>Bonus Provision</w:t>
            </w:r>
            <w:r w:rsidRPr="00BB7A49">
              <w:tab/>
              <w:t>3</w:t>
            </w:r>
          </w:p>
        </w:tc>
      </w:tr>
      <w:tr w:rsidR="00A64CF0" w:rsidRPr="00B21502" w14:paraId="6595675A" w14:textId="77777777" w:rsidTr="002573E6">
        <w:tc>
          <w:tcPr>
            <w:tcW w:w="2500" w:type="pct"/>
          </w:tcPr>
          <w:p w14:paraId="34C72690" w14:textId="77777777" w:rsidR="00A64CF0" w:rsidRPr="00BB7A49" w:rsidRDefault="00A64CF0" w:rsidP="00A64CF0">
            <w:pPr>
              <w:tabs>
                <w:tab w:val="left" w:pos="1134"/>
                <w:tab w:val="left" w:pos="8364"/>
              </w:tabs>
              <w:rPr>
                <w:lang w:val="cs-CZ"/>
              </w:rPr>
            </w:pPr>
            <w:r w:rsidRPr="00BB7A49">
              <w:rPr>
                <w:lang w:val="cs-CZ"/>
              </w:rPr>
              <w:t xml:space="preserve">3.                 </w:t>
            </w:r>
            <w:r w:rsidRPr="00570B61">
              <w:rPr>
                <w:lang w:val="cs-CZ"/>
              </w:rPr>
              <w:t>Způsob poskytnutí Bonusu</w:t>
            </w:r>
          </w:p>
        </w:tc>
        <w:tc>
          <w:tcPr>
            <w:tcW w:w="2500" w:type="pct"/>
          </w:tcPr>
          <w:p w14:paraId="571F448B" w14:textId="77777777" w:rsidR="00A64CF0" w:rsidRPr="00BB7A49" w:rsidRDefault="00F47E11" w:rsidP="00F47E11">
            <w:pPr>
              <w:tabs>
                <w:tab w:val="left" w:pos="1134"/>
                <w:tab w:val="left" w:pos="8364"/>
              </w:tabs>
            </w:pPr>
            <w:r w:rsidRPr="00BB7A49">
              <w:t>3.</w:t>
            </w:r>
            <w:r w:rsidRPr="00BB7A49">
              <w:tab/>
              <w:t>Method of Bonus Provision</w:t>
            </w:r>
          </w:p>
        </w:tc>
      </w:tr>
      <w:tr w:rsidR="00A64CF0" w:rsidRPr="00B21502" w14:paraId="78C654DD" w14:textId="77777777" w:rsidTr="002573E6">
        <w:tc>
          <w:tcPr>
            <w:tcW w:w="2500" w:type="pct"/>
          </w:tcPr>
          <w:p w14:paraId="2FAAE640" w14:textId="77777777" w:rsidR="00A64CF0" w:rsidRPr="00BB7A49" w:rsidRDefault="00A64CF0" w:rsidP="00A64CF0">
            <w:pPr>
              <w:tabs>
                <w:tab w:val="left" w:pos="1134"/>
                <w:tab w:val="left" w:pos="8364"/>
              </w:tabs>
              <w:rPr>
                <w:lang w:val="cs-CZ"/>
              </w:rPr>
            </w:pPr>
            <w:r w:rsidRPr="00BB7A49">
              <w:rPr>
                <w:lang w:val="cs-CZ"/>
              </w:rPr>
              <w:t>4.                 Soulad s právními předpisy</w:t>
            </w:r>
          </w:p>
        </w:tc>
        <w:tc>
          <w:tcPr>
            <w:tcW w:w="2500" w:type="pct"/>
          </w:tcPr>
          <w:p w14:paraId="4A4FF712" w14:textId="77777777" w:rsidR="00A64CF0" w:rsidRPr="00BB7A49" w:rsidRDefault="00F47E11" w:rsidP="00F47E11">
            <w:pPr>
              <w:tabs>
                <w:tab w:val="left" w:pos="1134"/>
                <w:tab w:val="left" w:pos="8364"/>
              </w:tabs>
            </w:pPr>
            <w:r w:rsidRPr="00BB7A49">
              <w:t>4.</w:t>
            </w:r>
            <w:r w:rsidRPr="00BB7A49">
              <w:tab/>
              <w:t>Compliance with Laws</w:t>
            </w:r>
          </w:p>
        </w:tc>
      </w:tr>
      <w:tr w:rsidR="00A64CF0" w:rsidRPr="00B21502" w14:paraId="4C718CCF" w14:textId="77777777" w:rsidTr="002573E6">
        <w:tc>
          <w:tcPr>
            <w:tcW w:w="2500" w:type="pct"/>
          </w:tcPr>
          <w:p w14:paraId="6BB28EA1" w14:textId="77777777" w:rsidR="00A64CF0" w:rsidRPr="00BB7A49" w:rsidRDefault="00A64CF0" w:rsidP="00A64CF0">
            <w:pPr>
              <w:tabs>
                <w:tab w:val="left" w:pos="1134"/>
                <w:tab w:val="left" w:pos="8364"/>
              </w:tabs>
              <w:rPr>
                <w:lang w:val="cs-CZ"/>
              </w:rPr>
            </w:pPr>
            <w:r w:rsidRPr="00BB7A49">
              <w:rPr>
                <w:lang w:val="cs-CZ"/>
              </w:rPr>
              <w:t>5.                 Důvěrné informace</w:t>
            </w:r>
          </w:p>
        </w:tc>
        <w:tc>
          <w:tcPr>
            <w:tcW w:w="2500" w:type="pct"/>
          </w:tcPr>
          <w:p w14:paraId="3C16A981" w14:textId="77777777" w:rsidR="00A64CF0" w:rsidRPr="00BB7A49" w:rsidRDefault="00F47E11" w:rsidP="002573E6">
            <w:pPr>
              <w:tabs>
                <w:tab w:val="left" w:pos="1134"/>
                <w:tab w:val="left" w:pos="8364"/>
              </w:tabs>
            </w:pPr>
            <w:r w:rsidRPr="00BB7A49">
              <w:t>5.</w:t>
            </w:r>
            <w:r w:rsidRPr="00BB7A49">
              <w:tab/>
              <w:t>Confidential Information</w:t>
            </w:r>
          </w:p>
        </w:tc>
      </w:tr>
      <w:tr w:rsidR="00A64CF0" w:rsidRPr="00B21502" w14:paraId="0DB8EB77" w14:textId="77777777" w:rsidTr="002573E6">
        <w:tc>
          <w:tcPr>
            <w:tcW w:w="2500" w:type="pct"/>
          </w:tcPr>
          <w:p w14:paraId="3B33BDF6" w14:textId="77777777" w:rsidR="00A64CF0" w:rsidRPr="00BB7A49" w:rsidRDefault="00A64CF0" w:rsidP="00A64CF0">
            <w:pPr>
              <w:tabs>
                <w:tab w:val="left" w:pos="1134"/>
                <w:tab w:val="left" w:pos="8364"/>
              </w:tabs>
              <w:rPr>
                <w:lang w:val="cs-CZ"/>
              </w:rPr>
            </w:pPr>
            <w:r w:rsidRPr="00BB7A49">
              <w:rPr>
                <w:lang w:val="cs-CZ"/>
              </w:rPr>
              <w:t>6.</w:t>
            </w:r>
            <w:r w:rsidRPr="00BB7A49">
              <w:rPr>
                <w:szCs w:val="22"/>
                <w:lang w:val="cs-CZ"/>
              </w:rPr>
              <w:t xml:space="preserve">                 Uveřejnění v registru smluv</w:t>
            </w:r>
          </w:p>
        </w:tc>
        <w:tc>
          <w:tcPr>
            <w:tcW w:w="2500" w:type="pct"/>
          </w:tcPr>
          <w:p w14:paraId="4B0B5B43" w14:textId="77777777" w:rsidR="00A64CF0" w:rsidRPr="00BB7A49" w:rsidRDefault="00F47E11" w:rsidP="002573E6">
            <w:pPr>
              <w:tabs>
                <w:tab w:val="left" w:pos="1134"/>
                <w:tab w:val="left" w:pos="8364"/>
              </w:tabs>
            </w:pPr>
            <w:r w:rsidRPr="00BB7A49">
              <w:t>6.</w:t>
            </w:r>
            <w:r w:rsidRPr="00BB7A49">
              <w:tab/>
              <w:t>Publication in the Register of Contracts</w:t>
            </w:r>
          </w:p>
        </w:tc>
      </w:tr>
      <w:tr w:rsidR="002573E6" w:rsidRPr="00B21502" w14:paraId="5BFBA69D" w14:textId="77777777" w:rsidTr="002573E6">
        <w:tc>
          <w:tcPr>
            <w:tcW w:w="2500" w:type="pct"/>
          </w:tcPr>
          <w:p w14:paraId="0A2DEAB5" w14:textId="77777777" w:rsidR="002573E6" w:rsidRPr="00BB7A49" w:rsidRDefault="00A64CF0" w:rsidP="002573E6">
            <w:pPr>
              <w:tabs>
                <w:tab w:val="left" w:pos="1134"/>
                <w:tab w:val="left" w:pos="8364"/>
              </w:tabs>
              <w:rPr>
                <w:lang w:val="cs-CZ"/>
              </w:rPr>
            </w:pPr>
            <w:r w:rsidRPr="00570B61">
              <w:rPr>
                <w:lang w:val="cs-CZ"/>
              </w:rPr>
              <w:t>7</w:t>
            </w:r>
            <w:r w:rsidR="002573E6" w:rsidRPr="00BB7A49">
              <w:rPr>
                <w:lang w:val="cs-CZ"/>
              </w:rPr>
              <w:t>.</w:t>
            </w:r>
            <w:r w:rsidR="002573E6" w:rsidRPr="00BB7A49">
              <w:rPr>
                <w:lang w:val="cs-CZ"/>
              </w:rPr>
              <w:tab/>
              <w:t>Závěrečná ustanovení</w:t>
            </w:r>
            <w:r w:rsidR="002573E6" w:rsidRPr="00BB7A49">
              <w:rPr>
                <w:lang w:val="cs-CZ"/>
              </w:rPr>
              <w:tab/>
              <w:t>5</w:t>
            </w:r>
          </w:p>
        </w:tc>
        <w:tc>
          <w:tcPr>
            <w:tcW w:w="2500" w:type="pct"/>
          </w:tcPr>
          <w:p w14:paraId="1E91D741" w14:textId="77777777" w:rsidR="002573E6" w:rsidRPr="00570B61" w:rsidRDefault="00A64CF0" w:rsidP="002573E6">
            <w:pPr>
              <w:tabs>
                <w:tab w:val="left" w:pos="1134"/>
                <w:tab w:val="left" w:pos="8364"/>
              </w:tabs>
            </w:pPr>
            <w:r w:rsidRPr="00BB7A49">
              <w:t>7</w:t>
            </w:r>
            <w:r w:rsidR="002573E6" w:rsidRPr="00BB7A49">
              <w:t>.</w:t>
            </w:r>
            <w:r w:rsidR="002573E6" w:rsidRPr="00BB7A49">
              <w:tab/>
              <w:t>Final Provisions</w:t>
            </w:r>
            <w:r w:rsidR="002573E6" w:rsidRPr="00BB7A49">
              <w:tab/>
              <w:t>5</w:t>
            </w:r>
          </w:p>
        </w:tc>
      </w:tr>
      <w:tr w:rsidR="002573E6" w:rsidRPr="00B21502" w14:paraId="4204D7D4" w14:textId="77777777" w:rsidTr="002573E6">
        <w:tc>
          <w:tcPr>
            <w:tcW w:w="2500" w:type="pct"/>
          </w:tcPr>
          <w:p w14:paraId="6033B23F" w14:textId="77777777" w:rsidR="002573E6" w:rsidRPr="00BB7A49" w:rsidRDefault="002573E6" w:rsidP="002573E6">
            <w:pPr>
              <w:tabs>
                <w:tab w:val="left" w:pos="1134"/>
                <w:tab w:val="left" w:pos="8364"/>
              </w:tabs>
              <w:rPr>
                <w:lang w:val="cs-CZ"/>
              </w:rPr>
            </w:pPr>
            <w:r w:rsidRPr="00BB7A49">
              <w:rPr>
                <w:lang w:val="cs-CZ"/>
              </w:rPr>
              <w:t>Příloha č. 1</w:t>
            </w:r>
            <w:r w:rsidRPr="00BB7A49">
              <w:rPr>
                <w:lang w:val="cs-CZ"/>
              </w:rPr>
              <w:tab/>
            </w:r>
          </w:p>
        </w:tc>
        <w:tc>
          <w:tcPr>
            <w:tcW w:w="2500" w:type="pct"/>
          </w:tcPr>
          <w:p w14:paraId="3A49F33A" w14:textId="77777777" w:rsidR="002573E6" w:rsidRPr="00570B61" w:rsidRDefault="002573E6" w:rsidP="002573E6">
            <w:pPr>
              <w:tabs>
                <w:tab w:val="left" w:pos="1134"/>
                <w:tab w:val="left" w:pos="8364"/>
              </w:tabs>
            </w:pPr>
            <w:r w:rsidRPr="00BB7A49">
              <w:t>Appendix 1</w:t>
            </w:r>
            <w:r w:rsidRPr="00BB7A49">
              <w:tab/>
            </w:r>
          </w:p>
        </w:tc>
      </w:tr>
    </w:tbl>
    <w:p w14:paraId="4ED8BF19" w14:textId="77777777" w:rsidR="002573E6" w:rsidRPr="00B21502" w:rsidRDefault="002573E6"/>
    <w:p w14:paraId="6C280F2D" w14:textId="77777777" w:rsidR="00F53F7A" w:rsidRPr="00B21502" w:rsidRDefault="00F53F7A">
      <w:pPr>
        <w:sectPr w:rsidR="00F53F7A" w:rsidRPr="00B21502">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418" w:header="709" w:footer="709" w:gutter="0"/>
          <w:paperSrc w:first="15" w:other="15"/>
          <w:cols w:space="708"/>
          <w:docGrid w:linePitch="360"/>
        </w:sectPr>
      </w:pPr>
    </w:p>
    <w:tbl>
      <w:tblPr>
        <w:tblStyle w:val="Mkatabulky"/>
        <w:tblW w:w="5000" w:type="pct"/>
        <w:tblLook w:val="04A0" w:firstRow="1" w:lastRow="0" w:firstColumn="1" w:lastColumn="0" w:noHBand="0" w:noVBand="1"/>
      </w:tblPr>
      <w:tblGrid>
        <w:gridCol w:w="4672"/>
        <w:gridCol w:w="4673"/>
      </w:tblGrid>
      <w:tr w:rsidR="002573E6" w:rsidRPr="00B21502" w14:paraId="32E8EB31" w14:textId="77777777" w:rsidTr="002573E6">
        <w:tc>
          <w:tcPr>
            <w:tcW w:w="2500" w:type="pct"/>
          </w:tcPr>
          <w:bookmarkEnd w:id="1"/>
          <w:p w14:paraId="57DB1D2B" w14:textId="77777777" w:rsidR="002573E6" w:rsidRPr="00570B61" w:rsidRDefault="002573E6" w:rsidP="00D32FAB">
            <w:pPr>
              <w:pStyle w:val="Zkladntext"/>
              <w:jc w:val="both"/>
              <w:rPr>
                <w:lang w:val="cs-CZ"/>
              </w:rPr>
            </w:pPr>
            <w:r w:rsidRPr="00570B61">
              <w:rPr>
                <w:b/>
                <w:bCs/>
                <w:lang w:val="cs-CZ"/>
              </w:rPr>
              <w:lastRenderedPageBreak/>
              <w:t>TATO DOHODA O POSKYTOVÁNÍ OBRATOVÉHO BONUSU</w:t>
            </w:r>
            <w:r w:rsidRPr="00570B61">
              <w:rPr>
                <w:lang w:val="cs-CZ"/>
              </w:rPr>
              <w:t xml:space="preserve"> (dále jen „</w:t>
            </w:r>
            <w:r w:rsidRPr="00570B61">
              <w:rPr>
                <w:b/>
                <w:bCs/>
                <w:lang w:val="cs-CZ"/>
              </w:rPr>
              <w:t>Dohoda</w:t>
            </w:r>
            <w:r w:rsidRPr="00570B61">
              <w:rPr>
                <w:lang w:val="cs-CZ"/>
              </w:rPr>
              <w:t xml:space="preserve">“) se uzavírá </w:t>
            </w:r>
          </w:p>
        </w:tc>
        <w:tc>
          <w:tcPr>
            <w:tcW w:w="2500" w:type="pct"/>
          </w:tcPr>
          <w:p w14:paraId="0BFAE326" w14:textId="77777777" w:rsidR="002573E6" w:rsidRPr="00570B61" w:rsidRDefault="002573E6" w:rsidP="00BB7A49">
            <w:pPr>
              <w:pStyle w:val="Zkladntext"/>
              <w:jc w:val="both"/>
            </w:pPr>
            <w:r w:rsidRPr="00BB7A49">
              <w:rPr>
                <w:b/>
                <w:bCs/>
              </w:rPr>
              <w:t>THIS AGREEMENT ON THE PROVISION OF THE TURNOVER BONUS</w:t>
            </w:r>
            <w:r w:rsidRPr="00BB7A49">
              <w:t xml:space="preserve"> (hereinafter the “</w:t>
            </w:r>
            <w:r w:rsidRPr="00BB7A49">
              <w:rPr>
                <w:b/>
                <w:bCs/>
              </w:rPr>
              <w:t>Agreement</w:t>
            </w:r>
            <w:r w:rsidRPr="00BB7A49">
              <w:t xml:space="preserve">”) is concluded </w:t>
            </w:r>
          </w:p>
        </w:tc>
      </w:tr>
      <w:tr w:rsidR="002573E6" w:rsidRPr="00B21502" w14:paraId="407C215B" w14:textId="77777777" w:rsidTr="002573E6">
        <w:tc>
          <w:tcPr>
            <w:tcW w:w="2500" w:type="pct"/>
          </w:tcPr>
          <w:p w14:paraId="2C938E18" w14:textId="77777777" w:rsidR="002573E6" w:rsidRPr="00570B61" w:rsidRDefault="002573E6" w:rsidP="002573E6">
            <w:pPr>
              <w:pStyle w:val="Zkladntext"/>
              <w:rPr>
                <w:b/>
                <w:lang w:val="cs-CZ"/>
              </w:rPr>
            </w:pPr>
            <w:r w:rsidRPr="00570B61">
              <w:rPr>
                <w:b/>
                <w:bCs/>
                <w:lang w:val="cs-CZ"/>
              </w:rPr>
              <w:t>MEZI:</w:t>
            </w:r>
          </w:p>
        </w:tc>
        <w:tc>
          <w:tcPr>
            <w:tcW w:w="2500" w:type="pct"/>
          </w:tcPr>
          <w:p w14:paraId="33BEF9A6" w14:textId="77777777" w:rsidR="002573E6" w:rsidRPr="00570B61" w:rsidRDefault="002573E6" w:rsidP="00BB7A49">
            <w:pPr>
              <w:pStyle w:val="Zkladntext"/>
              <w:jc w:val="both"/>
              <w:rPr>
                <w:b/>
              </w:rPr>
            </w:pPr>
            <w:r w:rsidRPr="00BB7A49">
              <w:rPr>
                <w:b/>
                <w:bCs/>
              </w:rPr>
              <w:t>BY AND BETWEEN:</w:t>
            </w:r>
          </w:p>
        </w:tc>
      </w:tr>
      <w:tr w:rsidR="002573E6" w:rsidRPr="00B21502" w14:paraId="56146A16" w14:textId="77777777" w:rsidTr="002573E6">
        <w:tc>
          <w:tcPr>
            <w:tcW w:w="2500" w:type="pct"/>
          </w:tcPr>
          <w:p w14:paraId="751887E8" w14:textId="1BFD9058" w:rsidR="002573E6" w:rsidRPr="00570B61" w:rsidRDefault="002573E6" w:rsidP="00BB7A49">
            <w:pPr>
              <w:pStyle w:val="slovanseznam4"/>
              <w:numPr>
                <w:ilvl w:val="0"/>
                <w:numId w:val="0"/>
              </w:numPr>
              <w:tabs>
                <w:tab w:val="left" w:pos="426"/>
              </w:tabs>
              <w:jc w:val="both"/>
              <w:rPr>
                <w:lang w:val="cs-CZ"/>
              </w:rPr>
            </w:pPr>
            <w:r w:rsidRPr="00570B61">
              <w:rPr>
                <w:lang w:val="cs-CZ"/>
              </w:rPr>
              <w:t>(1)</w:t>
            </w:r>
            <w:r w:rsidRPr="00570B61">
              <w:rPr>
                <w:lang w:val="cs-CZ"/>
              </w:rPr>
              <w:tab/>
            </w:r>
            <w:proofErr w:type="spellStart"/>
            <w:r w:rsidRPr="00570B61">
              <w:rPr>
                <w:b/>
                <w:bCs/>
                <w:lang w:val="cs-CZ"/>
              </w:rPr>
              <w:t>Gilead</w:t>
            </w:r>
            <w:proofErr w:type="spellEnd"/>
            <w:r w:rsidRPr="00570B61">
              <w:rPr>
                <w:b/>
                <w:bCs/>
                <w:lang w:val="cs-CZ"/>
              </w:rPr>
              <w:t xml:space="preserve"> </w:t>
            </w:r>
            <w:proofErr w:type="spellStart"/>
            <w:r w:rsidRPr="00570B61">
              <w:rPr>
                <w:b/>
                <w:bCs/>
                <w:lang w:val="cs-CZ"/>
              </w:rPr>
              <w:t>Sciences</w:t>
            </w:r>
            <w:proofErr w:type="spellEnd"/>
            <w:r w:rsidRPr="00570B61">
              <w:rPr>
                <w:b/>
                <w:bCs/>
                <w:lang w:val="cs-CZ"/>
              </w:rPr>
              <w:t xml:space="preserve"> s.r.o.</w:t>
            </w:r>
            <w:r w:rsidRPr="00570B61">
              <w:rPr>
                <w:szCs w:val="22"/>
                <w:lang w:val="cs-CZ"/>
              </w:rPr>
              <w:t>, se sídlem Na strži 1702/65, 140 00 Praha 4 - Nusle, Česká republika, IČ</w:t>
            </w:r>
            <w:r w:rsidR="008421DF">
              <w:rPr>
                <w:szCs w:val="22"/>
                <w:lang w:val="cs-CZ"/>
              </w:rPr>
              <w:t>O</w:t>
            </w:r>
            <w:r w:rsidRPr="00570B61">
              <w:rPr>
                <w:szCs w:val="22"/>
                <w:lang w:val="cs-CZ"/>
              </w:rPr>
              <w:t xml:space="preserve">: 242 68 551, zapsaná v obchodním rejstříku vedeném Městským soudem v Praze, oddíl C, vložka 199103 </w:t>
            </w:r>
            <w:r w:rsidRPr="00570B61">
              <w:rPr>
                <w:lang w:val="cs-CZ"/>
              </w:rPr>
              <w:t>(dále jen „</w:t>
            </w:r>
            <w:r w:rsidRPr="00570B61">
              <w:rPr>
                <w:b/>
                <w:bCs/>
                <w:lang w:val="cs-CZ"/>
              </w:rPr>
              <w:t>Gilead</w:t>
            </w:r>
            <w:r w:rsidRPr="00570B61">
              <w:rPr>
                <w:lang w:val="cs-CZ"/>
              </w:rPr>
              <w:t>“); a</w:t>
            </w:r>
          </w:p>
        </w:tc>
        <w:tc>
          <w:tcPr>
            <w:tcW w:w="2500" w:type="pct"/>
          </w:tcPr>
          <w:p w14:paraId="4922C60B" w14:textId="77777777" w:rsidR="002573E6" w:rsidRPr="00570B61" w:rsidRDefault="002573E6" w:rsidP="00BB7A49">
            <w:pPr>
              <w:pStyle w:val="slovanseznam4"/>
              <w:numPr>
                <w:ilvl w:val="0"/>
                <w:numId w:val="0"/>
              </w:numPr>
              <w:tabs>
                <w:tab w:val="left" w:pos="460"/>
              </w:tabs>
              <w:jc w:val="both"/>
            </w:pPr>
            <w:r w:rsidRPr="00BB7A49">
              <w:t>(1)</w:t>
            </w:r>
            <w:r w:rsidRPr="00BB7A49">
              <w:tab/>
            </w:r>
            <w:r w:rsidRPr="00BB7A49">
              <w:rPr>
                <w:b/>
                <w:bCs/>
              </w:rPr>
              <w:t xml:space="preserve">Gilead Sciences </w:t>
            </w:r>
            <w:proofErr w:type="spellStart"/>
            <w:r w:rsidRPr="00BB7A49">
              <w:rPr>
                <w:b/>
                <w:bCs/>
              </w:rPr>
              <w:t>s.r.o.</w:t>
            </w:r>
            <w:proofErr w:type="spellEnd"/>
            <w:r w:rsidRPr="00BB7A49">
              <w:rPr>
                <w:szCs w:val="22"/>
              </w:rPr>
              <w:t xml:space="preserve">, with its registered office at Na </w:t>
            </w:r>
            <w:proofErr w:type="spellStart"/>
            <w:r w:rsidRPr="00BB7A49">
              <w:rPr>
                <w:szCs w:val="22"/>
              </w:rPr>
              <w:t>strži</w:t>
            </w:r>
            <w:proofErr w:type="spellEnd"/>
            <w:r w:rsidRPr="00BB7A49">
              <w:rPr>
                <w:szCs w:val="22"/>
              </w:rPr>
              <w:t xml:space="preserve"> 1702/65, 140 00 Prague 4 – </w:t>
            </w:r>
            <w:proofErr w:type="spellStart"/>
            <w:r w:rsidRPr="00BB7A49">
              <w:rPr>
                <w:szCs w:val="22"/>
              </w:rPr>
              <w:t>Nusle</w:t>
            </w:r>
            <w:proofErr w:type="spellEnd"/>
            <w:r w:rsidRPr="00BB7A49">
              <w:rPr>
                <w:szCs w:val="22"/>
              </w:rPr>
              <w:t xml:space="preserve">, Czech Republic, ID No.: 242 68 551, entered in the Commercial Register kept on file by the Municipal Court in Prague, Section C, Insert 199103 </w:t>
            </w:r>
            <w:r w:rsidRPr="00BB7A49">
              <w:t>(hereinafter “</w:t>
            </w:r>
            <w:r w:rsidRPr="00BB7A49">
              <w:rPr>
                <w:b/>
                <w:bCs/>
              </w:rPr>
              <w:t>Gilead</w:t>
            </w:r>
            <w:r w:rsidRPr="00BB7A49">
              <w:t>”); and</w:t>
            </w:r>
          </w:p>
        </w:tc>
      </w:tr>
      <w:tr w:rsidR="002573E6" w:rsidRPr="00B21502" w14:paraId="64DCE6A4" w14:textId="77777777" w:rsidTr="002573E6">
        <w:tc>
          <w:tcPr>
            <w:tcW w:w="2500" w:type="pct"/>
          </w:tcPr>
          <w:p w14:paraId="6836C2E1" w14:textId="6780390A" w:rsidR="002573E6" w:rsidRPr="00570B61" w:rsidRDefault="002573E6">
            <w:pPr>
              <w:pStyle w:val="slovanseznam4"/>
              <w:numPr>
                <w:ilvl w:val="0"/>
                <w:numId w:val="0"/>
              </w:numPr>
              <w:tabs>
                <w:tab w:val="left" w:pos="426"/>
              </w:tabs>
              <w:jc w:val="both"/>
              <w:rPr>
                <w:b/>
                <w:lang w:val="cs-CZ"/>
              </w:rPr>
            </w:pPr>
            <w:r w:rsidRPr="00570B61">
              <w:rPr>
                <w:lang w:val="cs-CZ"/>
              </w:rPr>
              <w:t>(2)</w:t>
            </w:r>
            <w:r w:rsidRPr="00570B61">
              <w:rPr>
                <w:lang w:val="cs-CZ"/>
              </w:rPr>
              <w:tab/>
            </w:r>
            <w:r w:rsidR="008421DF">
              <w:rPr>
                <w:b/>
                <w:bCs/>
                <w:lang w:val="cs-CZ"/>
              </w:rPr>
              <w:t>Institut klinické a experimentální medicíny</w:t>
            </w:r>
            <w:r w:rsidR="008421DF" w:rsidRPr="00570B61">
              <w:rPr>
                <w:lang w:val="cs-CZ"/>
              </w:rPr>
              <w:t xml:space="preserve">, </w:t>
            </w:r>
            <w:r w:rsidRPr="00570B61">
              <w:rPr>
                <w:lang w:val="cs-CZ"/>
              </w:rPr>
              <w:t xml:space="preserve">se sídlem </w:t>
            </w:r>
            <w:r w:rsidR="008421DF" w:rsidRPr="002A3820">
              <w:rPr>
                <w:lang w:val="cs-CZ"/>
              </w:rPr>
              <w:t>Vídeňská 1958/9,</w:t>
            </w:r>
            <w:r w:rsidR="008421DF" w:rsidRPr="00570B61">
              <w:rPr>
                <w:lang w:val="cs-CZ"/>
              </w:rPr>
              <w:t xml:space="preserve"> </w:t>
            </w:r>
            <w:r w:rsidR="002A3820" w:rsidRPr="002A3820">
              <w:rPr>
                <w:lang w:val="cs-CZ"/>
              </w:rPr>
              <w:t>140 21 Praha 4</w:t>
            </w:r>
            <w:r w:rsidR="002A3820">
              <w:rPr>
                <w:lang w:val="cs-CZ"/>
              </w:rPr>
              <w:t xml:space="preserve">, </w:t>
            </w:r>
            <w:r w:rsidRPr="00570B61">
              <w:rPr>
                <w:lang w:val="cs-CZ"/>
              </w:rPr>
              <w:t>IČ</w:t>
            </w:r>
            <w:r w:rsidR="008421DF">
              <w:rPr>
                <w:lang w:val="cs-CZ"/>
              </w:rPr>
              <w:t>O</w:t>
            </w:r>
            <w:r w:rsidRPr="00570B61">
              <w:rPr>
                <w:lang w:val="cs-CZ"/>
              </w:rPr>
              <w:t xml:space="preserve">: </w:t>
            </w:r>
            <w:r w:rsidR="008421DF" w:rsidRPr="002A3820">
              <w:rPr>
                <w:lang w:val="cs-CZ"/>
              </w:rPr>
              <w:t xml:space="preserve">00023001, </w:t>
            </w:r>
            <w:r w:rsidRPr="002A3820">
              <w:rPr>
                <w:lang w:val="cs-CZ"/>
              </w:rPr>
              <w:t>státní příspěvková organizace zřízená rozhodnutím Ministerstva zdravotnictví ČR,</w:t>
            </w:r>
            <w:r w:rsidRPr="00570B61">
              <w:rPr>
                <w:lang w:val="cs-CZ"/>
              </w:rPr>
              <w:t xml:space="preserve"> (dále jen „</w:t>
            </w:r>
            <w:r w:rsidRPr="00570B61">
              <w:rPr>
                <w:b/>
                <w:bCs/>
                <w:lang w:val="cs-CZ"/>
              </w:rPr>
              <w:t>Kupující</w:t>
            </w:r>
            <w:r w:rsidRPr="00570B61">
              <w:rPr>
                <w:lang w:val="cs-CZ"/>
              </w:rPr>
              <w:t>“)</w:t>
            </w:r>
          </w:p>
        </w:tc>
        <w:tc>
          <w:tcPr>
            <w:tcW w:w="2500" w:type="pct"/>
          </w:tcPr>
          <w:p w14:paraId="17DF195E" w14:textId="6C7BD79A" w:rsidR="002573E6" w:rsidRPr="00570B61" w:rsidRDefault="002573E6" w:rsidP="00BB7A49">
            <w:pPr>
              <w:pStyle w:val="slovanseznam4"/>
              <w:numPr>
                <w:ilvl w:val="0"/>
                <w:numId w:val="0"/>
              </w:numPr>
              <w:tabs>
                <w:tab w:val="left" w:pos="460"/>
              </w:tabs>
              <w:jc w:val="both"/>
              <w:rPr>
                <w:b/>
              </w:rPr>
            </w:pPr>
            <w:r w:rsidRPr="00BB7A49">
              <w:t>(2)</w:t>
            </w:r>
            <w:r w:rsidRPr="00BB7A49">
              <w:tab/>
            </w:r>
            <w:proofErr w:type="spellStart"/>
            <w:r w:rsidR="002A3820" w:rsidRPr="002A3820">
              <w:rPr>
                <w:b/>
                <w:bCs/>
              </w:rPr>
              <w:t>Institut</w:t>
            </w:r>
            <w:proofErr w:type="spellEnd"/>
            <w:r w:rsidR="002A3820" w:rsidRPr="002A3820">
              <w:rPr>
                <w:b/>
                <w:bCs/>
              </w:rPr>
              <w:t xml:space="preserve"> </w:t>
            </w:r>
            <w:proofErr w:type="spellStart"/>
            <w:r w:rsidR="002A3820" w:rsidRPr="002A3820">
              <w:rPr>
                <w:b/>
                <w:bCs/>
              </w:rPr>
              <w:t>klinické</w:t>
            </w:r>
            <w:proofErr w:type="spellEnd"/>
            <w:r w:rsidR="002A3820" w:rsidRPr="002A3820">
              <w:rPr>
                <w:b/>
                <w:bCs/>
              </w:rPr>
              <w:t xml:space="preserve"> </w:t>
            </w:r>
            <w:proofErr w:type="gramStart"/>
            <w:r w:rsidR="002A3820" w:rsidRPr="002A3820">
              <w:rPr>
                <w:b/>
                <w:bCs/>
              </w:rPr>
              <w:t>a</w:t>
            </w:r>
            <w:proofErr w:type="gramEnd"/>
            <w:r w:rsidR="002A3820" w:rsidRPr="002A3820">
              <w:rPr>
                <w:b/>
                <w:bCs/>
              </w:rPr>
              <w:t xml:space="preserve"> </w:t>
            </w:r>
            <w:proofErr w:type="spellStart"/>
            <w:r w:rsidR="002A3820" w:rsidRPr="002A3820">
              <w:rPr>
                <w:b/>
                <w:bCs/>
              </w:rPr>
              <w:t>experimentální</w:t>
            </w:r>
            <w:proofErr w:type="spellEnd"/>
            <w:r w:rsidR="002A3820" w:rsidRPr="002A3820">
              <w:rPr>
                <w:b/>
                <w:bCs/>
              </w:rPr>
              <w:t xml:space="preserve"> </w:t>
            </w:r>
            <w:proofErr w:type="spellStart"/>
            <w:r w:rsidR="002A3820" w:rsidRPr="002A3820">
              <w:rPr>
                <w:b/>
                <w:bCs/>
              </w:rPr>
              <w:t>medicíny</w:t>
            </w:r>
            <w:proofErr w:type="spellEnd"/>
            <w:r w:rsidRPr="00BB7A49">
              <w:t xml:space="preserve">, with its registered office at </w:t>
            </w:r>
            <w:r w:rsidR="002A3820" w:rsidRPr="002A3820">
              <w:rPr>
                <w:lang w:val="cs-CZ"/>
              </w:rPr>
              <w:t>Vídeňská 1958/9,</w:t>
            </w:r>
            <w:r w:rsidR="002A3820" w:rsidRPr="00570B61">
              <w:rPr>
                <w:lang w:val="cs-CZ"/>
              </w:rPr>
              <w:t xml:space="preserve"> </w:t>
            </w:r>
            <w:r w:rsidR="002A3820" w:rsidRPr="002A3820">
              <w:rPr>
                <w:lang w:val="cs-CZ"/>
              </w:rPr>
              <w:t>140 21 Praha 4</w:t>
            </w:r>
            <w:r w:rsidRPr="00BB7A49">
              <w:t>,</w:t>
            </w:r>
            <w:r w:rsidR="00F47E11" w:rsidRPr="00BB7A49">
              <w:t xml:space="preserve"> </w:t>
            </w:r>
            <w:r w:rsidRPr="00BB7A49">
              <w:t xml:space="preserve">ID No.: </w:t>
            </w:r>
            <w:r w:rsidR="002A3820" w:rsidRPr="002A3820">
              <w:rPr>
                <w:lang w:val="cs-CZ"/>
              </w:rPr>
              <w:t>00023001</w:t>
            </w:r>
            <w:r w:rsidRPr="00BB7A49">
              <w:t xml:space="preserve">, </w:t>
            </w:r>
            <w:r w:rsidRPr="002A3820">
              <w:t>a state-funded institution established by a decision of the Ministry of Health of the Czech Republic,</w:t>
            </w:r>
            <w:r w:rsidRPr="00BB7A49">
              <w:t xml:space="preserve"> (hereinafter the “</w:t>
            </w:r>
            <w:r w:rsidRPr="00BB7A49">
              <w:rPr>
                <w:b/>
                <w:bCs/>
              </w:rPr>
              <w:t>Buyer</w:t>
            </w:r>
            <w:r w:rsidRPr="00BB7A49">
              <w:t>”)</w:t>
            </w:r>
          </w:p>
        </w:tc>
      </w:tr>
      <w:tr w:rsidR="002573E6" w:rsidRPr="00B21502" w14:paraId="3B301A6C" w14:textId="77777777" w:rsidTr="002573E6">
        <w:tc>
          <w:tcPr>
            <w:tcW w:w="2500" w:type="pct"/>
          </w:tcPr>
          <w:p w14:paraId="098903F6" w14:textId="5C5A7795" w:rsidR="002573E6" w:rsidRPr="00570B61" w:rsidRDefault="002573E6" w:rsidP="00BB7A49">
            <w:pPr>
              <w:pStyle w:val="Zkladntext"/>
              <w:jc w:val="both"/>
              <w:rPr>
                <w:szCs w:val="22"/>
                <w:lang w:val="cs-CZ"/>
              </w:rPr>
            </w:pPr>
            <w:r w:rsidRPr="00570B61">
              <w:rPr>
                <w:szCs w:val="22"/>
                <w:lang w:val="cs-CZ"/>
              </w:rPr>
              <w:t>(Gilead a Kupující dále společně jen „</w:t>
            </w:r>
            <w:r w:rsidRPr="00570B61">
              <w:rPr>
                <w:rStyle w:val="StyleBodyTextChar"/>
                <w:szCs w:val="22"/>
                <w:lang w:val="cs-CZ"/>
              </w:rPr>
              <w:t>Strany</w:t>
            </w:r>
            <w:r w:rsidRPr="00570B61">
              <w:rPr>
                <w:szCs w:val="22"/>
                <w:lang w:val="cs-CZ"/>
              </w:rPr>
              <w:t>“ a jednotlivě jen „</w:t>
            </w:r>
            <w:r w:rsidRPr="00570B61">
              <w:rPr>
                <w:rStyle w:val="StyleBodyTextChar"/>
                <w:szCs w:val="22"/>
                <w:lang w:val="cs-CZ"/>
              </w:rPr>
              <w:t>Strana</w:t>
            </w:r>
            <w:r w:rsidRPr="00570B61">
              <w:rPr>
                <w:szCs w:val="22"/>
                <w:lang w:val="cs-CZ"/>
              </w:rPr>
              <w:t>“)</w:t>
            </w:r>
          </w:p>
        </w:tc>
        <w:tc>
          <w:tcPr>
            <w:tcW w:w="2500" w:type="pct"/>
          </w:tcPr>
          <w:p w14:paraId="6869BACC" w14:textId="77777777" w:rsidR="002573E6" w:rsidRPr="00570B61" w:rsidRDefault="002573E6" w:rsidP="00BB7A49">
            <w:pPr>
              <w:pStyle w:val="Zkladntext"/>
              <w:jc w:val="both"/>
              <w:rPr>
                <w:szCs w:val="22"/>
              </w:rPr>
            </w:pPr>
            <w:r w:rsidRPr="00BB7A49">
              <w:rPr>
                <w:szCs w:val="22"/>
              </w:rPr>
              <w:t>(Gilead and the Buyer are hereinafter jointly referred to as the “</w:t>
            </w:r>
            <w:r w:rsidRPr="00BB7A49">
              <w:rPr>
                <w:rStyle w:val="StyleBodyTextChar"/>
                <w:szCs w:val="22"/>
              </w:rPr>
              <w:t>Parties</w:t>
            </w:r>
            <w:r w:rsidRPr="00BB7A49">
              <w:rPr>
                <w:szCs w:val="22"/>
              </w:rPr>
              <w:t>” or individually as the “</w:t>
            </w:r>
            <w:r w:rsidRPr="00BB7A49">
              <w:rPr>
                <w:rStyle w:val="StyleBodyTextChar"/>
                <w:szCs w:val="22"/>
              </w:rPr>
              <w:t>Party</w:t>
            </w:r>
            <w:r w:rsidRPr="00BB7A49">
              <w:rPr>
                <w:szCs w:val="22"/>
              </w:rPr>
              <w:t>”)</w:t>
            </w:r>
          </w:p>
        </w:tc>
      </w:tr>
      <w:tr w:rsidR="002573E6" w:rsidRPr="00B21502" w14:paraId="15131667" w14:textId="77777777" w:rsidTr="002573E6">
        <w:tc>
          <w:tcPr>
            <w:tcW w:w="2500" w:type="pct"/>
          </w:tcPr>
          <w:p w14:paraId="3F7273CE" w14:textId="77777777" w:rsidR="002573E6" w:rsidRPr="00570B61" w:rsidRDefault="002573E6" w:rsidP="002573E6">
            <w:pPr>
              <w:pStyle w:val="Zkladntext"/>
              <w:rPr>
                <w:lang w:val="cs-CZ"/>
              </w:rPr>
            </w:pPr>
            <w:r w:rsidRPr="00570B61">
              <w:rPr>
                <w:b/>
                <w:bCs/>
                <w:caps/>
                <w:lang w:val="cs-CZ"/>
              </w:rPr>
              <w:t>strany se dohodly</w:t>
            </w:r>
            <w:r w:rsidRPr="00570B61">
              <w:rPr>
                <w:lang w:val="cs-CZ"/>
              </w:rPr>
              <w:t xml:space="preserve"> následovně:</w:t>
            </w:r>
          </w:p>
        </w:tc>
        <w:tc>
          <w:tcPr>
            <w:tcW w:w="2500" w:type="pct"/>
          </w:tcPr>
          <w:p w14:paraId="24D1861F" w14:textId="77777777" w:rsidR="002573E6" w:rsidRPr="00570B61" w:rsidRDefault="002573E6" w:rsidP="00BB7A49">
            <w:pPr>
              <w:pStyle w:val="Zkladntext"/>
              <w:jc w:val="both"/>
            </w:pPr>
            <w:r w:rsidRPr="00BB7A49">
              <w:rPr>
                <w:b/>
                <w:bCs/>
                <w:caps/>
              </w:rPr>
              <w:t>The Parties have agreed</w:t>
            </w:r>
            <w:r w:rsidRPr="00BB7A49">
              <w:t xml:space="preserve"> as follows:</w:t>
            </w:r>
          </w:p>
        </w:tc>
      </w:tr>
      <w:tr w:rsidR="002573E6" w:rsidRPr="00B21502" w14:paraId="37E47FAC" w14:textId="77777777" w:rsidTr="002573E6">
        <w:tc>
          <w:tcPr>
            <w:tcW w:w="2500" w:type="pct"/>
          </w:tcPr>
          <w:p w14:paraId="184F174E" w14:textId="77777777" w:rsidR="002573E6" w:rsidRPr="00570B61" w:rsidRDefault="002573E6" w:rsidP="00BB7A49">
            <w:pPr>
              <w:pStyle w:val="CMSHeadL2"/>
              <w:numPr>
                <w:ilvl w:val="0"/>
                <w:numId w:val="0"/>
              </w:numPr>
              <w:tabs>
                <w:tab w:val="left" w:pos="284"/>
              </w:tabs>
              <w:rPr>
                <w:lang w:val="cs-CZ"/>
              </w:rPr>
            </w:pPr>
            <w:bookmarkStart w:id="3" w:name="_Toc452373016"/>
            <w:bookmarkStart w:id="4" w:name="_Toc358021980"/>
            <w:r w:rsidRPr="00570B61">
              <w:rPr>
                <w:bCs/>
                <w:lang w:val="cs-CZ"/>
              </w:rPr>
              <w:t>1.</w:t>
            </w:r>
            <w:r w:rsidRPr="00570B61">
              <w:rPr>
                <w:bCs/>
                <w:lang w:val="cs-CZ"/>
              </w:rPr>
              <w:tab/>
              <w:t>Výklad pojmů</w:t>
            </w:r>
            <w:bookmarkEnd w:id="3"/>
            <w:bookmarkEnd w:id="4"/>
          </w:p>
        </w:tc>
        <w:tc>
          <w:tcPr>
            <w:tcW w:w="2500" w:type="pct"/>
          </w:tcPr>
          <w:p w14:paraId="2D3DD36B" w14:textId="77777777" w:rsidR="002573E6" w:rsidRPr="00570B61" w:rsidRDefault="002573E6" w:rsidP="00BB7A49">
            <w:pPr>
              <w:pStyle w:val="CMSHeadL2"/>
              <w:numPr>
                <w:ilvl w:val="0"/>
                <w:numId w:val="0"/>
              </w:numPr>
              <w:tabs>
                <w:tab w:val="left" w:pos="318"/>
              </w:tabs>
              <w:jc w:val="both"/>
            </w:pPr>
            <w:r w:rsidRPr="00BB7A49">
              <w:rPr>
                <w:bCs/>
              </w:rPr>
              <w:t>1.</w:t>
            </w:r>
            <w:r w:rsidRPr="00BB7A49">
              <w:rPr>
                <w:bCs/>
              </w:rPr>
              <w:tab/>
              <w:t>Definitions</w:t>
            </w:r>
          </w:p>
        </w:tc>
      </w:tr>
      <w:tr w:rsidR="002573E6" w:rsidRPr="00B21502" w14:paraId="484A20FC" w14:textId="77777777" w:rsidTr="002573E6">
        <w:tc>
          <w:tcPr>
            <w:tcW w:w="2500" w:type="pct"/>
          </w:tcPr>
          <w:p w14:paraId="5402AE1E" w14:textId="77777777" w:rsidR="002573E6" w:rsidRPr="00570B61" w:rsidRDefault="002573E6" w:rsidP="00BB7A49">
            <w:pPr>
              <w:pStyle w:val="CMSHeadL3"/>
              <w:numPr>
                <w:ilvl w:val="0"/>
                <w:numId w:val="0"/>
              </w:numPr>
              <w:tabs>
                <w:tab w:val="left" w:pos="426"/>
              </w:tabs>
              <w:spacing w:before="120" w:after="120"/>
              <w:jc w:val="both"/>
              <w:rPr>
                <w:lang w:val="cs-CZ"/>
              </w:rPr>
            </w:pPr>
            <w:r w:rsidRPr="00570B61">
              <w:rPr>
                <w:lang w:val="cs-CZ"/>
              </w:rPr>
              <w:t>1.1</w:t>
            </w:r>
            <w:r w:rsidRPr="00570B61">
              <w:rPr>
                <w:lang w:val="cs-CZ"/>
              </w:rPr>
              <w:tab/>
              <w:t xml:space="preserve">Níže uvedené výrazy mají v této </w:t>
            </w:r>
            <w:r w:rsidR="00C404DC" w:rsidRPr="00570B61">
              <w:rPr>
                <w:lang w:val="cs-CZ"/>
              </w:rPr>
              <w:t xml:space="preserve">Dohodě </w:t>
            </w:r>
            <w:r w:rsidRPr="00570B61">
              <w:rPr>
                <w:lang w:val="cs-CZ"/>
              </w:rPr>
              <w:t>následující význam:</w:t>
            </w:r>
          </w:p>
        </w:tc>
        <w:tc>
          <w:tcPr>
            <w:tcW w:w="2500" w:type="pct"/>
          </w:tcPr>
          <w:p w14:paraId="05DE9D6D" w14:textId="77777777" w:rsidR="002573E6" w:rsidRPr="00570B61" w:rsidRDefault="002573E6" w:rsidP="00BB7A49">
            <w:pPr>
              <w:pStyle w:val="CMSHeadL3"/>
              <w:numPr>
                <w:ilvl w:val="0"/>
                <w:numId w:val="0"/>
              </w:numPr>
              <w:tabs>
                <w:tab w:val="left" w:pos="460"/>
              </w:tabs>
              <w:spacing w:before="120" w:after="120"/>
              <w:jc w:val="both"/>
            </w:pPr>
            <w:r w:rsidRPr="00BB7A49">
              <w:t>1.1</w:t>
            </w:r>
            <w:r w:rsidRPr="00BB7A49">
              <w:tab/>
              <w:t>In this Agreement, the terms below have the following meaning:</w:t>
            </w:r>
          </w:p>
        </w:tc>
      </w:tr>
      <w:tr w:rsidR="002573E6" w:rsidRPr="00B21502" w14:paraId="77B9C652" w14:textId="77777777" w:rsidTr="002573E6">
        <w:tc>
          <w:tcPr>
            <w:tcW w:w="2500" w:type="pct"/>
          </w:tcPr>
          <w:p w14:paraId="5EE03AD6" w14:textId="77777777" w:rsidR="002573E6" w:rsidRPr="00570B61" w:rsidRDefault="002573E6" w:rsidP="00BB7A49">
            <w:pPr>
              <w:pStyle w:val="CMSHeadL2"/>
              <w:numPr>
                <w:ilvl w:val="0"/>
                <w:numId w:val="0"/>
              </w:numPr>
              <w:spacing w:before="120" w:after="120"/>
              <w:jc w:val="both"/>
              <w:rPr>
                <w:b w:val="0"/>
                <w:lang w:val="cs-CZ"/>
              </w:rPr>
            </w:pPr>
            <w:bookmarkStart w:id="5" w:name="_Toc452373017"/>
            <w:r w:rsidRPr="00570B61">
              <w:rPr>
                <w:b w:val="0"/>
                <w:lang w:val="cs-CZ"/>
              </w:rPr>
              <w:t>„</w:t>
            </w:r>
            <w:r w:rsidRPr="00570B61">
              <w:rPr>
                <w:bCs/>
                <w:lang w:val="cs-CZ"/>
              </w:rPr>
              <w:t>Bonus</w:t>
            </w:r>
            <w:r w:rsidRPr="00570B61">
              <w:rPr>
                <w:b w:val="0"/>
                <w:lang w:val="cs-CZ"/>
              </w:rPr>
              <w:t xml:space="preserve">“ znamená obratový bonus poskytovaný </w:t>
            </w:r>
            <w:r w:rsidR="00F47E11" w:rsidRPr="00570B61">
              <w:rPr>
                <w:b w:val="0"/>
                <w:lang w:val="cs-CZ"/>
              </w:rPr>
              <w:t xml:space="preserve">společností </w:t>
            </w:r>
            <w:r w:rsidRPr="00570B61">
              <w:rPr>
                <w:b w:val="0"/>
                <w:lang w:val="cs-CZ"/>
              </w:rPr>
              <w:t>Gilead za odběr Produktů za podmínek vymezených touto Dohodou.</w:t>
            </w:r>
          </w:p>
        </w:tc>
        <w:tc>
          <w:tcPr>
            <w:tcW w:w="2500" w:type="pct"/>
          </w:tcPr>
          <w:p w14:paraId="5B3E1508" w14:textId="77777777" w:rsidR="002573E6" w:rsidRPr="00570B61" w:rsidRDefault="002573E6" w:rsidP="00BB7A49">
            <w:pPr>
              <w:pStyle w:val="CMSHeadL2"/>
              <w:numPr>
                <w:ilvl w:val="0"/>
                <w:numId w:val="0"/>
              </w:numPr>
              <w:spacing w:before="120" w:after="120"/>
              <w:jc w:val="both"/>
              <w:rPr>
                <w:b w:val="0"/>
              </w:rPr>
            </w:pPr>
            <w:r w:rsidRPr="00BB7A49">
              <w:rPr>
                <w:b w:val="0"/>
              </w:rPr>
              <w:t>“</w:t>
            </w:r>
            <w:r w:rsidRPr="00BB7A49">
              <w:rPr>
                <w:bCs/>
              </w:rPr>
              <w:t>Bonus</w:t>
            </w:r>
            <w:r w:rsidRPr="00BB7A49">
              <w:rPr>
                <w:b w:val="0"/>
              </w:rPr>
              <w:t xml:space="preserve">” </w:t>
            </w:r>
            <w:r w:rsidR="00F47E11" w:rsidRPr="00BB7A49">
              <w:rPr>
                <w:b w:val="0"/>
              </w:rPr>
              <w:t xml:space="preserve">means </w:t>
            </w:r>
            <w:r w:rsidRPr="00BB7A49">
              <w:rPr>
                <w:b w:val="0"/>
              </w:rPr>
              <w:t>a turnover bonus provided by Gilead for the purchase of Products under the conditions stipulated by this Agreement.</w:t>
            </w:r>
          </w:p>
        </w:tc>
      </w:tr>
      <w:tr w:rsidR="002573E6" w:rsidRPr="00B21502" w14:paraId="1EC45A95" w14:textId="77777777" w:rsidTr="002573E6">
        <w:tc>
          <w:tcPr>
            <w:tcW w:w="2500" w:type="pct"/>
          </w:tcPr>
          <w:p w14:paraId="2CFA1FA4" w14:textId="627A3F65" w:rsidR="002573E6" w:rsidRPr="00570B61" w:rsidRDefault="002573E6" w:rsidP="00BB7A49">
            <w:pPr>
              <w:pStyle w:val="CMSHeadL2"/>
              <w:numPr>
                <w:ilvl w:val="0"/>
                <w:numId w:val="0"/>
              </w:numPr>
              <w:spacing w:before="120" w:after="120"/>
              <w:jc w:val="both"/>
              <w:rPr>
                <w:b w:val="0"/>
                <w:lang w:val="cs-CZ"/>
              </w:rPr>
            </w:pPr>
            <w:r w:rsidRPr="00570B61">
              <w:rPr>
                <w:b w:val="0"/>
                <w:lang w:val="cs-CZ"/>
              </w:rPr>
              <w:t>„</w:t>
            </w:r>
            <w:r w:rsidRPr="00570B61">
              <w:rPr>
                <w:bCs/>
                <w:lang w:val="cs-CZ"/>
              </w:rPr>
              <w:t>Produkt</w:t>
            </w:r>
            <w:r w:rsidRPr="00570B61">
              <w:rPr>
                <w:b w:val="0"/>
                <w:lang w:val="cs-CZ"/>
              </w:rPr>
              <w:t xml:space="preserve">“ znamená produkty </w:t>
            </w:r>
            <w:r w:rsidR="00B9153E" w:rsidRPr="00570B61">
              <w:rPr>
                <w:b w:val="0"/>
                <w:lang w:val="cs-CZ"/>
              </w:rPr>
              <w:t xml:space="preserve">společnosti </w:t>
            </w:r>
            <w:r w:rsidRPr="00570B61">
              <w:rPr>
                <w:b w:val="0"/>
                <w:lang w:val="cs-CZ"/>
              </w:rPr>
              <w:t xml:space="preserve">Gilead, které mají charakter léčivých přípravků podle zákona 378/2007 Sb., o léčivech, ve znění pozdějších předpisů, a případně další dohodnuté produkty, které jsou vymezeny v </w:t>
            </w:r>
            <w:r w:rsidR="00C60765" w:rsidRPr="00570B61">
              <w:rPr>
                <w:b w:val="0"/>
                <w:lang w:val="cs-CZ"/>
              </w:rPr>
              <w:t>P</w:t>
            </w:r>
            <w:r w:rsidRPr="00570B61">
              <w:rPr>
                <w:b w:val="0"/>
                <w:lang w:val="cs-CZ"/>
              </w:rPr>
              <w:t xml:space="preserve">říloze </w:t>
            </w:r>
            <w:r w:rsidR="00C60765" w:rsidRPr="00570B61">
              <w:rPr>
                <w:b w:val="0"/>
                <w:lang w:val="cs-CZ"/>
              </w:rPr>
              <w:t>č. 1</w:t>
            </w:r>
            <w:r w:rsidR="00544B42" w:rsidRPr="00570B61">
              <w:rPr>
                <w:b w:val="0"/>
                <w:lang w:val="cs-CZ"/>
              </w:rPr>
              <w:t xml:space="preserve"> </w:t>
            </w:r>
            <w:r w:rsidRPr="00570B61">
              <w:rPr>
                <w:b w:val="0"/>
                <w:lang w:val="cs-CZ"/>
              </w:rPr>
              <w:t>této Dohody.</w:t>
            </w:r>
          </w:p>
        </w:tc>
        <w:tc>
          <w:tcPr>
            <w:tcW w:w="2500" w:type="pct"/>
          </w:tcPr>
          <w:p w14:paraId="129CA721" w14:textId="06DEE514" w:rsidR="002573E6" w:rsidRPr="00570B61" w:rsidRDefault="002573E6" w:rsidP="00BB7A49">
            <w:pPr>
              <w:pStyle w:val="CMSHeadL2"/>
              <w:numPr>
                <w:ilvl w:val="0"/>
                <w:numId w:val="0"/>
              </w:numPr>
              <w:spacing w:before="120" w:after="120"/>
              <w:jc w:val="both"/>
              <w:rPr>
                <w:b w:val="0"/>
              </w:rPr>
            </w:pPr>
            <w:r w:rsidRPr="00BB7A49">
              <w:rPr>
                <w:b w:val="0"/>
              </w:rPr>
              <w:t>“</w:t>
            </w:r>
            <w:r w:rsidRPr="00BB7A49">
              <w:rPr>
                <w:bCs/>
              </w:rPr>
              <w:t>Product</w:t>
            </w:r>
            <w:r w:rsidRPr="00BB7A49">
              <w:rPr>
                <w:b w:val="0"/>
              </w:rPr>
              <w:t>” means Gilead products having the character of medicinal products</w:t>
            </w:r>
            <w:r w:rsidR="00853FA2">
              <w:rPr>
                <w:b w:val="0"/>
              </w:rPr>
              <w:t xml:space="preserve"> </w:t>
            </w:r>
            <w:r w:rsidRPr="00BB7A49">
              <w:rPr>
                <w:b w:val="0"/>
              </w:rPr>
              <w:t xml:space="preserve">according to Act No. 378/2007 Sb., on pharmaceuticals, as amended, and any other agreed products defined in Appendix </w:t>
            </w:r>
            <w:r w:rsidR="00F47E11" w:rsidRPr="00BB7A49">
              <w:rPr>
                <w:b w:val="0"/>
              </w:rPr>
              <w:t xml:space="preserve">1 </w:t>
            </w:r>
            <w:r w:rsidRPr="00BB7A49">
              <w:rPr>
                <w:b w:val="0"/>
              </w:rPr>
              <w:t>to this Agreement.</w:t>
            </w:r>
          </w:p>
        </w:tc>
      </w:tr>
      <w:tr w:rsidR="002573E6" w:rsidRPr="00B21502" w14:paraId="7233114C" w14:textId="77777777" w:rsidTr="002573E6">
        <w:tc>
          <w:tcPr>
            <w:tcW w:w="2500" w:type="pct"/>
          </w:tcPr>
          <w:p w14:paraId="6DD3C571" w14:textId="77777777" w:rsidR="002573E6" w:rsidRPr="00570B61" w:rsidRDefault="002573E6" w:rsidP="00BB7A49">
            <w:pPr>
              <w:pStyle w:val="CMSHeadL2"/>
              <w:numPr>
                <w:ilvl w:val="0"/>
                <w:numId w:val="0"/>
              </w:numPr>
              <w:spacing w:before="120" w:after="120"/>
              <w:jc w:val="both"/>
              <w:rPr>
                <w:b w:val="0"/>
                <w:lang w:val="cs-CZ"/>
              </w:rPr>
            </w:pPr>
            <w:r w:rsidRPr="00570B61">
              <w:rPr>
                <w:b w:val="0"/>
                <w:lang w:val="cs-CZ"/>
              </w:rPr>
              <w:t>„</w:t>
            </w:r>
            <w:r w:rsidRPr="00570B61">
              <w:rPr>
                <w:bCs/>
                <w:lang w:val="cs-CZ"/>
              </w:rPr>
              <w:t>Referenční období</w:t>
            </w:r>
            <w:r w:rsidRPr="00570B61">
              <w:rPr>
                <w:b w:val="0"/>
                <w:lang w:val="cs-CZ"/>
              </w:rPr>
              <w:t xml:space="preserve">“ má význam, který je vymezen v </w:t>
            </w:r>
            <w:r w:rsidR="00C60765" w:rsidRPr="00570B61">
              <w:rPr>
                <w:b w:val="0"/>
                <w:lang w:val="cs-CZ"/>
              </w:rPr>
              <w:t>P</w:t>
            </w:r>
            <w:r w:rsidRPr="00570B61">
              <w:rPr>
                <w:b w:val="0"/>
                <w:lang w:val="cs-CZ"/>
              </w:rPr>
              <w:t xml:space="preserve">říloze </w:t>
            </w:r>
            <w:r w:rsidR="006D7F07" w:rsidRPr="00570B61">
              <w:rPr>
                <w:b w:val="0"/>
                <w:lang w:val="cs-CZ"/>
              </w:rPr>
              <w:t xml:space="preserve">č. 1 </w:t>
            </w:r>
            <w:r w:rsidRPr="00570B61">
              <w:rPr>
                <w:b w:val="0"/>
                <w:lang w:val="cs-CZ"/>
              </w:rPr>
              <w:t>této Dohody.</w:t>
            </w:r>
          </w:p>
        </w:tc>
        <w:tc>
          <w:tcPr>
            <w:tcW w:w="2500" w:type="pct"/>
          </w:tcPr>
          <w:p w14:paraId="704A6C8B" w14:textId="77777777" w:rsidR="002573E6" w:rsidRPr="00570B61" w:rsidRDefault="002573E6" w:rsidP="00BB7A49">
            <w:pPr>
              <w:pStyle w:val="CMSHeadL2"/>
              <w:numPr>
                <w:ilvl w:val="0"/>
                <w:numId w:val="0"/>
              </w:numPr>
              <w:spacing w:before="120" w:after="120"/>
              <w:jc w:val="both"/>
              <w:rPr>
                <w:b w:val="0"/>
              </w:rPr>
            </w:pPr>
            <w:r w:rsidRPr="00BB7A49">
              <w:rPr>
                <w:b w:val="0"/>
              </w:rPr>
              <w:t>“</w:t>
            </w:r>
            <w:r w:rsidRPr="00BB7A49">
              <w:rPr>
                <w:bCs/>
              </w:rPr>
              <w:t>Reference Period</w:t>
            </w:r>
            <w:r w:rsidRPr="00BB7A49">
              <w:rPr>
                <w:b w:val="0"/>
              </w:rPr>
              <w:t xml:space="preserve">” has the meaning defined in </w:t>
            </w:r>
            <w:r w:rsidR="00F47E11" w:rsidRPr="00BB7A49">
              <w:rPr>
                <w:b w:val="0"/>
              </w:rPr>
              <w:t>A</w:t>
            </w:r>
            <w:r w:rsidRPr="00BB7A49">
              <w:rPr>
                <w:b w:val="0"/>
              </w:rPr>
              <w:t xml:space="preserve">ppendix </w:t>
            </w:r>
            <w:r w:rsidR="00F47E11" w:rsidRPr="00BB7A49">
              <w:rPr>
                <w:b w:val="0"/>
              </w:rPr>
              <w:t xml:space="preserve">1 </w:t>
            </w:r>
            <w:r w:rsidRPr="00BB7A49">
              <w:rPr>
                <w:b w:val="0"/>
              </w:rPr>
              <w:t>to this Agreement.</w:t>
            </w:r>
          </w:p>
        </w:tc>
      </w:tr>
      <w:tr w:rsidR="002573E6" w:rsidRPr="00B21502" w14:paraId="266D327B" w14:textId="77777777" w:rsidTr="002573E6">
        <w:tc>
          <w:tcPr>
            <w:tcW w:w="2500" w:type="pct"/>
          </w:tcPr>
          <w:p w14:paraId="2C2B73BE" w14:textId="77777777" w:rsidR="002573E6" w:rsidRPr="00570B61" w:rsidRDefault="002573E6" w:rsidP="00BB7A49">
            <w:pPr>
              <w:pStyle w:val="CMSHeadL2"/>
              <w:numPr>
                <w:ilvl w:val="0"/>
                <w:numId w:val="0"/>
              </w:numPr>
              <w:tabs>
                <w:tab w:val="left" w:pos="284"/>
              </w:tabs>
              <w:rPr>
                <w:lang w:val="cs-CZ"/>
              </w:rPr>
            </w:pPr>
            <w:r w:rsidRPr="00570B61">
              <w:rPr>
                <w:bCs/>
                <w:lang w:val="cs-CZ"/>
              </w:rPr>
              <w:t>2.</w:t>
            </w:r>
            <w:r w:rsidRPr="00570B61">
              <w:rPr>
                <w:bCs/>
                <w:lang w:val="cs-CZ"/>
              </w:rPr>
              <w:tab/>
              <w:t xml:space="preserve">Poskytování </w:t>
            </w:r>
            <w:r w:rsidR="00B9153E" w:rsidRPr="00570B61">
              <w:rPr>
                <w:bCs/>
                <w:lang w:val="cs-CZ"/>
              </w:rPr>
              <w:t>B</w:t>
            </w:r>
            <w:r w:rsidRPr="00570B61">
              <w:rPr>
                <w:bCs/>
                <w:lang w:val="cs-CZ"/>
              </w:rPr>
              <w:t>onusu</w:t>
            </w:r>
            <w:bookmarkEnd w:id="5"/>
          </w:p>
        </w:tc>
        <w:tc>
          <w:tcPr>
            <w:tcW w:w="2500" w:type="pct"/>
          </w:tcPr>
          <w:p w14:paraId="1A03FF7E" w14:textId="77777777" w:rsidR="002573E6" w:rsidRPr="00570B61" w:rsidRDefault="002573E6" w:rsidP="00BB7A49">
            <w:pPr>
              <w:pStyle w:val="CMSHeadL2"/>
              <w:numPr>
                <w:ilvl w:val="0"/>
                <w:numId w:val="0"/>
              </w:numPr>
              <w:tabs>
                <w:tab w:val="left" w:pos="318"/>
              </w:tabs>
              <w:jc w:val="both"/>
            </w:pPr>
            <w:r w:rsidRPr="00BB7A49">
              <w:rPr>
                <w:bCs/>
              </w:rPr>
              <w:t>2.</w:t>
            </w:r>
            <w:r w:rsidRPr="00BB7A49">
              <w:rPr>
                <w:bCs/>
              </w:rPr>
              <w:tab/>
              <w:t>Bonus Provision</w:t>
            </w:r>
          </w:p>
        </w:tc>
      </w:tr>
      <w:tr w:rsidR="002573E6" w:rsidRPr="00B21502" w14:paraId="490D353D" w14:textId="77777777" w:rsidTr="002573E6">
        <w:tc>
          <w:tcPr>
            <w:tcW w:w="2500" w:type="pct"/>
          </w:tcPr>
          <w:p w14:paraId="46366AE1" w14:textId="77777777" w:rsidR="002573E6" w:rsidRPr="00570B61" w:rsidRDefault="002573E6" w:rsidP="00BB7A49">
            <w:pPr>
              <w:pStyle w:val="CMSHeadL3"/>
              <w:numPr>
                <w:ilvl w:val="0"/>
                <w:numId w:val="0"/>
              </w:numPr>
              <w:tabs>
                <w:tab w:val="left" w:pos="426"/>
              </w:tabs>
              <w:spacing w:before="120" w:after="120"/>
              <w:jc w:val="both"/>
              <w:rPr>
                <w:lang w:val="cs-CZ"/>
              </w:rPr>
            </w:pPr>
            <w:r w:rsidRPr="00570B61">
              <w:rPr>
                <w:lang w:val="cs-CZ"/>
              </w:rPr>
              <w:t>2.1</w:t>
            </w:r>
            <w:r w:rsidRPr="00570B61">
              <w:rPr>
                <w:lang w:val="cs-CZ"/>
              </w:rPr>
              <w:tab/>
              <w:t xml:space="preserve">Gilead poskytne Kupujícímu </w:t>
            </w:r>
            <w:r w:rsidR="006D7F07" w:rsidRPr="00570B61">
              <w:rPr>
                <w:lang w:val="cs-CZ"/>
              </w:rPr>
              <w:t xml:space="preserve">v souladu s jeho požadavkem </w:t>
            </w:r>
            <w:r w:rsidRPr="00570B61">
              <w:rPr>
                <w:lang w:val="cs-CZ"/>
              </w:rPr>
              <w:t xml:space="preserve">Bonus za odběr Produktů, a to ve výši a za podmínek stanovených touto Dohodou a přílohou č. </w:t>
            </w:r>
            <w:proofErr w:type="gramStart"/>
            <w:r w:rsidRPr="00570B61">
              <w:rPr>
                <w:lang w:val="cs-CZ"/>
              </w:rPr>
              <w:t>1  této</w:t>
            </w:r>
            <w:proofErr w:type="gramEnd"/>
            <w:r w:rsidRPr="00570B61">
              <w:rPr>
                <w:lang w:val="cs-CZ"/>
              </w:rPr>
              <w:t xml:space="preserve"> Dohody.</w:t>
            </w:r>
            <w:r w:rsidR="00C60765" w:rsidRPr="00570B61">
              <w:rPr>
                <w:lang w:val="cs-CZ"/>
              </w:rPr>
              <w:t xml:space="preserve"> </w:t>
            </w:r>
            <w:r w:rsidR="00C60765" w:rsidRPr="00BB7A49">
              <w:rPr>
                <w:szCs w:val="22"/>
                <w:lang w:val="cs-CZ"/>
              </w:rPr>
              <w:t xml:space="preserve">Výběr </w:t>
            </w:r>
            <w:r w:rsidR="00C60765" w:rsidRPr="00570B61">
              <w:rPr>
                <w:szCs w:val="22"/>
                <w:lang w:val="cs-CZ"/>
              </w:rPr>
              <w:t>Produktů</w:t>
            </w:r>
            <w:r w:rsidR="00C60765" w:rsidRPr="00BB7A49">
              <w:rPr>
                <w:szCs w:val="22"/>
                <w:lang w:val="cs-CZ"/>
              </w:rPr>
              <w:t xml:space="preserve"> uvedených v</w:t>
            </w:r>
            <w:r w:rsidR="00C60765" w:rsidRPr="00570B61">
              <w:rPr>
                <w:szCs w:val="22"/>
                <w:lang w:val="cs-CZ"/>
              </w:rPr>
              <w:t> </w:t>
            </w:r>
            <w:r w:rsidR="00C60765" w:rsidRPr="00BB7A49">
              <w:rPr>
                <w:szCs w:val="22"/>
                <w:lang w:val="cs-CZ"/>
              </w:rPr>
              <w:t>Přílo</w:t>
            </w:r>
            <w:r w:rsidR="00C60765" w:rsidRPr="00570B61">
              <w:rPr>
                <w:szCs w:val="22"/>
                <w:lang w:val="cs-CZ"/>
              </w:rPr>
              <w:t>ze č. 1</w:t>
            </w:r>
            <w:r w:rsidR="00C60765" w:rsidRPr="00BB7A49">
              <w:rPr>
                <w:szCs w:val="22"/>
                <w:lang w:val="cs-CZ"/>
              </w:rPr>
              <w:t xml:space="preserve"> vychází z potřeb a návrhu </w:t>
            </w:r>
            <w:r w:rsidR="00C60765" w:rsidRPr="00570B61">
              <w:rPr>
                <w:szCs w:val="22"/>
                <w:lang w:val="cs-CZ"/>
              </w:rPr>
              <w:t>Kupujícího.</w:t>
            </w:r>
          </w:p>
        </w:tc>
        <w:tc>
          <w:tcPr>
            <w:tcW w:w="2500" w:type="pct"/>
          </w:tcPr>
          <w:p w14:paraId="30AF1D8B" w14:textId="77777777" w:rsidR="002573E6" w:rsidRPr="00570B61" w:rsidRDefault="002573E6" w:rsidP="00BB7A49">
            <w:pPr>
              <w:pStyle w:val="CMSHeadL3"/>
              <w:numPr>
                <w:ilvl w:val="0"/>
                <w:numId w:val="0"/>
              </w:numPr>
              <w:tabs>
                <w:tab w:val="left" w:pos="460"/>
              </w:tabs>
              <w:spacing w:before="120" w:after="120"/>
              <w:jc w:val="both"/>
            </w:pPr>
            <w:r w:rsidRPr="00BB7A49">
              <w:t>2.1</w:t>
            </w:r>
            <w:r w:rsidRPr="00BB7A49">
              <w:tab/>
              <w:t>Gilead will provide the Buyer</w:t>
            </w:r>
            <w:r w:rsidR="00F47E11" w:rsidRPr="00BB7A49">
              <w:t>, in accordance with the Buyer’s request,</w:t>
            </w:r>
            <w:r w:rsidRPr="00BB7A49">
              <w:t xml:space="preserve"> with a Bonus for the purchase of Products in the amount and under the conditions stipulated by this Agreement and Appendix 1 to this Agreement.</w:t>
            </w:r>
            <w:r w:rsidR="00F47E11" w:rsidRPr="00BB7A49">
              <w:t xml:space="preserve"> The choice of the Products listed in Appendix 1 is based on the Buyer’s needs and suggestion.</w:t>
            </w:r>
          </w:p>
        </w:tc>
      </w:tr>
      <w:tr w:rsidR="002573E6" w:rsidRPr="00B21502" w14:paraId="5E33BA9A" w14:textId="77777777" w:rsidTr="002573E6">
        <w:tc>
          <w:tcPr>
            <w:tcW w:w="2500" w:type="pct"/>
          </w:tcPr>
          <w:p w14:paraId="1AC0338A" w14:textId="77777777" w:rsidR="002573E6" w:rsidRPr="00570B61" w:rsidRDefault="002573E6" w:rsidP="00BB7A49">
            <w:pPr>
              <w:pStyle w:val="CMSHeadL3"/>
              <w:numPr>
                <w:ilvl w:val="0"/>
                <w:numId w:val="0"/>
              </w:numPr>
              <w:tabs>
                <w:tab w:val="left" w:pos="426"/>
              </w:tabs>
              <w:spacing w:before="120" w:after="120"/>
              <w:jc w:val="both"/>
              <w:rPr>
                <w:lang w:val="cs-CZ"/>
              </w:rPr>
            </w:pPr>
            <w:r w:rsidRPr="00570B61">
              <w:rPr>
                <w:lang w:val="cs-CZ"/>
              </w:rPr>
              <w:lastRenderedPageBreak/>
              <w:t>2.2</w:t>
            </w:r>
            <w:r w:rsidRPr="00570B61">
              <w:rPr>
                <w:lang w:val="cs-CZ"/>
              </w:rPr>
              <w:tab/>
              <w:t>Gilead se zavazuje, že Kupujícímu vyplatí Bonus při splnění všech následujících podmínek:</w:t>
            </w:r>
          </w:p>
        </w:tc>
        <w:tc>
          <w:tcPr>
            <w:tcW w:w="2500" w:type="pct"/>
          </w:tcPr>
          <w:p w14:paraId="5A85E875" w14:textId="77777777" w:rsidR="002573E6" w:rsidRPr="00570B61" w:rsidRDefault="002573E6" w:rsidP="00BB7A49">
            <w:pPr>
              <w:pStyle w:val="CMSHeadL3"/>
              <w:numPr>
                <w:ilvl w:val="0"/>
                <w:numId w:val="0"/>
              </w:numPr>
              <w:tabs>
                <w:tab w:val="left" w:pos="460"/>
              </w:tabs>
              <w:spacing w:before="120" w:after="120"/>
              <w:jc w:val="both"/>
            </w:pPr>
            <w:r w:rsidRPr="00BB7A49">
              <w:t>2.2</w:t>
            </w:r>
            <w:r w:rsidRPr="00BB7A49">
              <w:tab/>
              <w:t xml:space="preserve">Gilead undertakes to pay the Bonus to the Buyer upon the fulfilment of </w:t>
            </w:r>
            <w:proofErr w:type="gramStart"/>
            <w:r w:rsidR="00F47E11" w:rsidRPr="00BB7A49">
              <w:t>all of</w:t>
            </w:r>
            <w:proofErr w:type="gramEnd"/>
            <w:r w:rsidR="00F47E11" w:rsidRPr="00BB7A49">
              <w:t xml:space="preserve"> </w:t>
            </w:r>
            <w:r w:rsidRPr="00BB7A49">
              <w:t>the following conditions:</w:t>
            </w:r>
          </w:p>
        </w:tc>
      </w:tr>
      <w:tr w:rsidR="002573E6" w:rsidRPr="00B21502" w14:paraId="30B3117F" w14:textId="77777777" w:rsidTr="002573E6">
        <w:tc>
          <w:tcPr>
            <w:tcW w:w="2500" w:type="pct"/>
          </w:tcPr>
          <w:p w14:paraId="018A8795" w14:textId="77777777" w:rsidR="00C60765" w:rsidRPr="00570B61" w:rsidRDefault="002573E6" w:rsidP="00EB6111">
            <w:pPr>
              <w:pStyle w:val="CMSHeadL4"/>
              <w:numPr>
                <w:ilvl w:val="0"/>
                <w:numId w:val="0"/>
              </w:numPr>
              <w:tabs>
                <w:tab w:val="left" w:pos="567"/>
              </w:tabs>
              <w:spacing w:before="120" w:after="120"/>
              <w:jc w:val="both"/>
              <w:rPr>
                <w:lang w:val="cs-CZ"/>
              </w:rPr>
            </w:pPr>
            <w:r w:rsidRPr="00570B61">
              <w:rPr>
                <w:lang w:val="cs-CZ"/>
              </w:rPr>
              <w:t>2.2.1</w:t>
            </w:r>
            <w:r w:rsidRPr="00570B61">
              <w:rPr>
                <w:lang w:val="cs-CZ"/>
              </w:rPr>
              <w:tab/>
            </w:r>
            <w:r w:rsidR="00ED1AD9">
              <w:rPr>
                <w:lang w:val="cs-CZ"/>
              </w:rPr>
              <w:t>O</w:t>
            </w:r>
            <w:r w:rsidRPr="00570B61">
              <w:rPr>
                <w:lang w:val="cs-CZ"/>
              </w:rPr>
              <w:t>dběr Produktů v Referenčním období dosáhne minimálně obratu uvedeného v</w:t>
            </w:r>
            <w:r w:rsidR="006D7F07" w:rsidRPr="00570B61">
              <w:rPr>
                <w:lang w:val="cs-CZ"/>
              </w:rPr>
              <w:t> </w:t>
            </w:r>
            <w:r w:rsidR="00C60765" w:rsidRPr="00570B61">
              <w:rPr>
                <w:lang w:val="cs-CZ"/>
              </w:rPr>
              <w:t>P</w:t>
            </w:r>
            <w:r w:rsidR="006D7F07" w:rsidRPr="00570B61">
              <w:rPr>
                <w:lang w:val="cs-CZ"/>
              </w:rPr>
              <w:t>říloze č.</w:t>
            </w:r>
            <w:r w:rsidR="00287B0C">
              <w:rPr>
                <w:lang w:val="cs-CZ"/>
              </w:rPr>
              <w:t> </w:t>
            </w:r>
            <w:r w:rsidR="006D7F07" w:rsidRPr="00570B61">
              <w:rPr>
                <w:lang w:val="cs-CZ"/>
              </w:rPr>
              <w:t>1</w:t>
            </w:r>
            <w:r w:rsidRPr="00570B61">
              <w:rPr>
                <w:lang w:val="cs-CZ"/>
              </w:rPr>
              <w:t>, přičemž obrat se vypočte jako součet cen všech balení Produktů</w:t>
            </w:r>
            <w:r w:rsidR="00C60765" w:rsidRPr="00570B61">
              <w:rPr>
                <w:lang w:val="cs-CZ"/>
              </w:rPr>
              <w:t xml:space="preserve"> výslovně uvedených v Příloze č. 1, které Kupující nakoupí v průběhu příslušného Referenčního období. Pro účely tohoto výpočtu platí, že: </w:t>
            </w:r>
          </w:p>
          <w:p w14:paraId="3A80063E" w14:textId="660B1CB7" w:rsidR="00C60765" w:rsidRPr="00570B61" w:rsidRDefault="00C60765" w:rsidP="001D11D5">
            <w:pPr>
              <w:pStyle w:val="Claneka"/>
              <w:numPr>
                <w:ilvl w:val="2"/>
                <w:numId w:val="18"/>
              </w:numPr>
              <w:tabs>
                <w:tab w:val="clear" w:pos="992"/>
                <w:tab w:val="num" w:pos="426"/>
              </w:tabs>
              <w:ind w:left="426" w:hanging="426"/>
              <w:rPr>
                <w:rFonts w:ascii="Times New Roman" w:hAnsi="Times New Roman"/>
              </w:rPr>
            </w:pPr>
            <w:r w:rsidRPr="00570B61">
              <w:rPr>
                <w:rFonts w:ascii="Times New Roman" w:hAnsi="Times New Roman"/>
              </w:rPr>
              <w:t xml:space="preserve">se použije cena Produktů </w:t>
            </w:r>
            <w:r w:rsidR="00144472" w:rsidRPr="00144472">
              <w:rPr>
                <w:rFonts w:ascii="Times New Roman" w:hAnsi="Times New Roman"/>
              </w:rPr>
              <w:t>včetně případné obchodní přirážky účtované společností Gilead bez DPH</w:t>
            </w:r>
            <w:r w:rsidRPr="00570B61">
              <w:rPr>
                <w:rFonts w:ascii="Times New Roman" w:hAnsi="Times New Roman"/>
              </w:rPr>
              <w:t xml:space="preserve">; </w:t>
            </w:r>
          </w:p>
          <w:p w14:paraId="5C7C4B52" w14:textId="77777777" w:rsidR="00C60765" w:rsidRPr="00570B61" w:rsidRDefault="00C60765" w:rsidP="001D11D5">
            <w:pPr>
              <w:pStyle w:val="Claneka"/>
              <w:numPr>
                <w:ilvl w:val="2"/>
                <w:numId w:val="18"/>
              </w:numPr>
              <w:tabs>
                <w:tab w:val="clear" w:pos="992"/>
                <w:tab w:val="num" w:pos="426"/>
              </w:tabs>
              <w:ind w:left="426" w:hanging="426"/>
              <w:rPr>
                <w:rFonts w:ascii="Times New Roman" w:hAnsi="Times New Roman"/>
              </w:rPr>
            </w:pPr>
            <w:r w:rsidRPr="00570B61">
              <w:rPr>
                <w:rFonts w:ascii="Times New Roman" w:hAnsi="Times New Roman"/>
              </w:rPr>
              <w:t xml:space="preserve">se </w:t>
            </w:r>
            <w:r w:rsidR="000322EF">
              <w:rPr>
                <w:rFonts w:ascii="Times New Roman" w:hAnsi="Times New Roman"/>
              </w:rPr>
              <w:t xml:space="preserve">použije jen </w:t>
            </w:r>
            <w:r w:rsidRPr="00570B61">
              <w:rPr>
                <w:rFonts w:ascii="Times New Roman" w:hAnsi="Times New Roman"/>
              </w:rPr>
              <w:t>cen</w:t>
            </w:r>
            <w:r w:rsidR="000322EF">
              <w:rPr>
                <w:rFonts w:ascii="Times New Roman" w:hAnsi="Times New Roman"/>
              </w:rPr>
              <w:t>a</w:t>
            </w:r>
            <w:r w:rsidRPr="00570B61">
              <w:rPr>
                <w:rFonts w:ascii="Times New Roman" w:hAnsi="Times New Roman"/>
              </w:rPr>
              <w:t xml:space="preserve"> Produktů nakoupených Kupujícím přímo od společnosti Gilead; a</w:t>
            </w:r>
          </w:p>
          <w:p w14:paraId="27626314" w14:textId="77777777" w:rsidR="002573E6" w:rsidRPr="00570B61" w:rsidRDefault="00C60765" w:rsidP="001D11D5">
            <w:pPr>
              <w:pStyle w:val="CMSHeadL4"/>
              <w:numPr>
                <w:ilvl w:val="2"/>
                <w:numId w:val="18"/>
              </w:numPr>
              <w:tabs>
                <w:tab w:val="clear" w:pos="992"/>
                <w:tab w:val="left" w:pos="426"/>
              </w:tabs>
              <w:spacing w:before="120" w:after="120"/>
              <w:ind w:left="426" w:hanging="426"/>
              <w:jc w:val="both"/>
              <w:rPr>
                <w:lang w:val="cs-CZ"/>
              </w:rPr>
            </w:pPr>
            <w:r w:rsidRPr="00BB7A49">
              <w:rPr>
                <w:lang w:val="cs-CZ"/>
              </w:rPr>
              <w:t xml:space="preserve">se započítají jen ceny těch balení Produktů, které </w:t>
            </w:r>
            <w:r w:rsidR="00F8396B" w:rsidRPr="00BB7A49">
              <w:rPr>
                <w:lang w:val="cs-CZ"/>
              </w:rPr>
              <w:t>společnost Gilead</w:t>
            </w:r>
            <w:r w:rsidR="00F8396B" w:rsidRPr="00F8396B" w:rsidDel="00F8396B">
              <w:rPr>
                <w:lang w:val="cs-CZ"/>
              </w:rPr>
              <w:t xml:space="preserve"> </w:t>
            </w:r>
            <w:r w:rsidRPr="00BB7A49">
              <w:rPr>
                <w:lang w:val="cs-CZ"/>
              </w:rPr>
              <w:t>Kupujícímu v průběhu příslušného Referenčního období skutečně fyzicky dodal</w:t>
            </w:r>
            <w:r w:rsidR="00F8396B">
              <w:rPr>
                <w:lang w:val="cs-CZ"/>
              </w:rPr>
              <w:t>a</w:t>
            </w:r>
            <w:r w:rsidRPr="00BB7A49">
              <w:rPr>
                <w:lang w:val="cs-CZ"/>
              </w:rPr>
              <w:t>.</w:t>
            </w:r>
          </w:p>
        </w:tc>
        <w:tc>
          <w:tcPr>
            <w:tcW w:w="2500" w:type="pct"/>
          </w:tcPr>
          <w:p w14:paraId="047FCB63" w14:textId="77777777" w:rsidR="00F47E11" w:rsidRPr="00BB7A49" w:rsidRDefault="002573E6" w:rsidP="00BB7A49">
            <w:pPr>
              <w:pStyle w:val="CMSHeadL4"/>
              <w:numPr>
                <w:ilvl w:val="0"/>
                <w:numId w:val="0"/>
              </w:numPr>
              <w:tabs>
                <w:tab w:val="left" w:pos="602"/>
              </w:tabs>
              <w:spacing w:before="120" w:after="120"/>
              <w:jc w:val="both"/>
            </w:pPr>
            <w:r w:rsidRPr="00BB7A49">
              <w:t>2.2.1</w:t>
            </w:r>
            <w:r w:rsidRPr="00BB7A49">
              <w:tab/>
              <w:t xml:space="preserve">The purchase of Products in the Reference Period will reach at least the turnover specified in </w:t>
            </w:r>
            <w:r w:rsidR="00F47E11" w:rsidRPr="00BB7A49">
              <w:t>A</w:t>
            </w:r>
            <w:r w:rsidRPr="00BB7A49">
              <w:t>ppendix</w:t>
            </w:r>
            <w:r w:rsidR="00F47E11" w:rsidRPr="00BB7A49">
              <w:t xml:space="preserve"> 1</w:t>
            </w:r>
            <w:r w:rsidRPr="00BB7A49">
              <w:t xml:space="preserve">, whereas the turnover is calculated as the sum of the prices </w:t>
            </w:r>
            <w:r w:rsidR="00F47E11" w:rsidRPr="00BB7A49">
              <w:t xml:space="preserve">of all packages </w:t>
            </w:r>
            <w:r w:rsidRPr="00BB7A49">
              <w:t>of the Products</w:t>
            </w:r>
            <w:r w:rsidR="00F47E11" w:rsidRPr="00BB7A49">
              <w:t xml:space="preserve"> expressly specified in Appendix 1 which the Buyer purchases in the course of the relevant Reference Period. For the purposes of this calculation:</w:t>
            </w:r>
          </w:p>
          <w:p w14:paraId="35AA55A1" w14:textId="5359765D" w:rsidR="00F47E11" w:rsidRPr="00BB7A49" w:rsidRDefault="00F47E11" w:rsidP="00BB7A49">
            <w:pPr>
              <w:pStyle w:val="CMSHeadL4"/>
              <w:numPr>
                <w:ilvl w:val="0"/>
                <w:numId w:val="0"/>
              </w:numPr>
              <w:tabs>
                <w:tab w:val="left" w:pos="460"/>
              </w:tabs>
              <w:spacing w:before="120" w:after="120"/>
              <w:ind w:left="460" w:hanging="460"/>
              <w:jc w:val="both"/>
            </w:pPr>
            <w:r w:rsidRPr="00BB7A49">
              <w:t>(a)</w:t>
            </w:r>
            <w:r w:rsidRPr="00BB7A49">
              <w:tab/>
              <w:t xml:space="preserve">the price of the Products </w:t>
            </w:r>
            <w:r w:rsidR="00144472" w:rsidRPr="00144472">
              <w:t>including the business margin if charged by Gilead, excluding VAT will be used</w:t>
            </w:r>
            <w:r w:rsidRPr="00BB7A49">
              <w:t>;</w:t>
            </w:r>
          </w:p>
          <w:p w14:paraId="62A3D1F6" w14:textId="77777777" w:rsidR="00F47E11" w:rsidRPr="00BB7A49" w:rsidRDefault="00F47E11" w:rsidP="00BB7A49">
            <w:pPr>
              <w:pStyle w:val="CMSHeadL4"/>
              <w:numPr>
                <w:ilvl w:val="0"/>
                <w:numId w:val="0"/>
              </w:numPr>
              <w:tabs>
                <w:tab w:val="left" w:pos="460"/>
              </w:tabs>
              <w:spacing w:before="120" w:after="120"/>
              <w:ind w:left="460" w:hanging="460"/>
              <w:jc w:val="both"/>
            </w:pPr>
            <w:r w:rsidRPr="00BB7A49">
              <w:t>(b)</w:t>
            </w:r>
            <w:r w:rsidRPr="00BB7A49">
              <w:tab/>
            </w:r>
            <w:r w:rsidR="000322EF">
              <w:t xml:space="preserve">only </w:t>
            </w:r>
            <w:r w:rsidRPr="00BB7A49">
              <w:t xml:space="preserve">the price of Products purchased by the Buyer directly from Gilead </w:t>
            </w:r>
            <w:r w:rsidR="000322EF">
              <w:t>will be used</w:t>
            </w:r>
            <w:r w:rsidRPr="00BB7A49">
              <w:t>; and</w:t>
            </w:r>
          </w:p>
          <w:p w14:paraId="41BAA75A" w14:textId="77777777" w:rsidR="002573E6" w:rsidRPr="00570B61" w:rsidRDefault="00F47E11" w:rsidP="00BB7A49">
            <w:pPr>
              <w:pStyle w:val="CMSHeadL4"/>
              <w:numPr>
                <w:ilvl w:val="0"/>
                <w:numId w:val="0"/>
              </w:numPr>
              <w:tabs>
                <w:tab w:val="left" w:pos="460"/>
              </w:tabs>
              <w:spacing w:before="120" w:after="120"/>
              <w:ind w:left="460" w:hanging="460"/>
              <w:jc w:val="both"/>
            </w:pPr>
            <w:r w:rsidRPr="00BB7A49">
              <w:t>(c)</w:t>
            </w:r>
            <w:r w:rsidRPr="00BB7A49">
              <w:tab/>
              <w:t xml:space="preserve">only the prices of those Product </w:t>
            </w:r>
            <w:proofErr w:type="spellStart"/>
            <w:r w:rsidRPr="00BB7A49">
              <w:t>packagings</w:t>
            </w:r>
            <w:proofErr w:type="spellEnd"/>
            <w:r w:rsidRPr="00BB7A49">
              <w:t xml:space="preserve"> that were </w:t>
            </w:r>
            <w:proofErr w:type="gramStart"/>
            <w:r w:rsidRPr="00BB7A49">
              <w:t>actually physically</w:t>
            </w:r>
            <w:proofErr w:type="gramEnd"/>
            <w:r w:rsidRPr="00BB7A49">
              <w:t xml:space="preserve"> supplied to the Buyer by </w:t>
            </w:r>
            <w:r w:rsidR="00F8396B">
              <w:t>Gilead</w:t>
            </w:r>
            <w:r w:rsidRPr="00BB7A49">
              <w:t xml:space="preserve"> in the course of the relevant Reference Period will be accounted for.</w:t>
            </w:r>
          </w:p>
        </w:tc>
      </w:tr>
      <w:tr w:rsidR="002573E6" w:rsidRPr="00B21502" w14:paraId="11490678" w14:textId="77777777" w:rsidTr="002573E6">
        <w:tc>
          <w:tcPr>
            <w:tcW w:w="2500" w:type="pct"/>
          </w:tcPr>
          <w:p w14:paraId="60B2FAE5" w14:textId="77777777" w:rsidR="002573E6" w:rsidRPr="00570B61" w:rsidRDefault="002573E6" w:rsidP="00BB7A49">
            <w:pPr>
              <w:pStyle w:val="CMSHeadL4"/>
              <w:numPr>
                <w:ilvl w:val="0"/>
                <w:numId w:val="0"/>
              </w:numPr>
              <w:tabs>
                <w:tab w:val="left" w:pos="567"/>
              </w:tabs>
              <w:spacing w:before="120" w:after="120"/>
              <w:jc w:val="both"/>
              <w:rPr>
                <w:lang w:val="cs-CZ"/>
              </w:rPr>
            </w:pPr>
            <w:r w:rsidRPr="00570B61">
              <w:rPr>
                <w:lang w:val="cs-CZ"/>
              </w:rPr>
              <w:t>2.2.</w:t>
            </w:r>
            <w:r w:rsidR="000322EF">
              <w:rPr>
                <w:lang w:val="cs-CZ"/>
              </w:rPr>
              <w:t>2</w:t>
            </w:r>
            <w:r w:rsidRPr="00570B61">
              <w:rPr>
                <w:lang w:val="cs-CZ"/>
              </w:rPr>
              <w:tab/>
              <w:t>Bonus bude Kupujícímu náležet vždy pouze za příslušné Referenční období, a to dle úrovně dosaženého Bonusu; a</w:t>
            </w:r>
          </w:p>
        </w:tc>
        <w:tc>
          <w:tcPr>
            <w:tcW w:w="2500" w:type="pct"/>
          </w:tcPr>
          <w:p w14:paraId="4D500127" w14:textId="77777777" w:rsidR="002573E6" w:rsidRPr="00570B61" w:rsidRDefault="002573E6" w:rsidP="00BB7A49">
            <w:pPr>
              <w:pStyle w:val="CMSHeadL4"/>
              <w:numPr>
                <w:ilvl w:val="0"/>
                <w:numId w:val="0"/>
              </w:numPr>
              <w:tabs>
                <w:tab w:val="left" w:pos="602"/>
              </w:tabs>
              <w:spacing w:before="120" w:after="120"/>
              <w:jc w:val="both"/>
            </w:pPr>
            <w:r w:rsidRPr="00BB7A49">
              <w:t>2.2.</w:t>
            </w:r>
            <w:r w:rsidR="000322EF">
              <w:t>2</w:t>
            </w:r>
            <w:r w:rsidRPr="00BB7A49">
              <w:tab/>
              <w:t>The Buyer will always receive the Bonus only for the relevant Reference Period according to the Bonus level achieved; and</w:t>
            </w:r>
          </w:p>
        </w:tc>
      </w:tr>
      <w:tr w:rsidR="002573E6" w:rsidRPr="00B21502" w14:paraId="3EFE5F86" w14:textId="77777777" w:rsidTr="002573E6">
        <w:tc>
          <w:tcPr>
            <w:tcW w:w="2500" w:type="pct"/>
          </w:tcPr>
          <w:p w14:paraId="3989E024" w14:textId="77777777" w:rsidR="002573E6" w:rsidRPr="00570B61" w:rsidRDefault="002573E6" w:rsidP="00BB7A49">
            <w:pPr>
              <w:pStyle w:val="CMSHeadL4"/>
              <w:numPr>
                <w:ilvl w:val="0"/>
                <w:numId w:val="0"/>
              </w:numPr>
              <w:tabs>
                <w:tab w:val="left" w:pos="567"/>
              </w:tabs>
              <w:spacing w:before="120" w:after="120"/>
              <w:jc w:val="both"/>
              <w:rPr>
                <w:lang w:val="cs-CZ"/>
              </w:rPr>
            </w:pPr>
            <w:r w:rsidRPr="00570B61">
              <w:rPr>
                <w:lang w:val="cs-CZ"/>
              </w:rPr>
              <w:t>2.2.</w:t>
            </w:r>
            <w:r w:rsidR="000322EF">
              <w:rPr>
                <w:lang w:val="cs-CZ"/>
              </w:rPr>
              <w:t>3</w:t>
            </w:r>
            <w:r w:rsidRPr="00570B61">
              <w:rPr>
                <w:lang w:val="cs-CZ"/>
              </w:rPr>
              <w:tab/>
              <w:t xml:space="preserve">Kupující </w:t>
            </w:r>
            <w:r w:rsidR="00C60765" w:rsidRPr="00570B61">
              <w:rPr>
                <w:lang w:val="cs-CZ"/>
              </w:rPr>
              <w:t xml:space="preserve">společnosti </w:t>
            </w:r>
            <w:r w:rsidRPr="00570B61">
              <w:rPr>
                <w:lang w:val="cs-CZ"/>
              </w:rPr>
              <w:t>Gilead plně uhradil kupní cenu za dodané Produkty za příslušné Referenční období.</w:t>
            </w:r>
          </w:p>
        </w:tc>
        <w:tc>
          <w:tcPr>
            <w:tcW w:w="2500" w:type="pct"/>
          </w:tcPr>
          <w:p w14:paraId="7968A7E8" w14:textId="77777777" w:rsidR="002573E6" w:rsidRPr="00570B61" w:rsidRDefault="002573E6" w:rsidP="00BB7A49">
            <w:pPr>
              <w:pStyle w:val="CMSHeadL4"/>
              <w:numPr>
                <w:ilvl w:val="0"/>
                <w:numId w:val="0"/>
              </w:numPr>
              <w:tabs>
                <w:tab w:val="left" w:pos="602"/>
              </w:tabs>
              <w:spacing w:before="120" w:after="120"/>
              <w:jc w:val="both"/>
            </w:pPr>
            <w:r w:rsidRPr="00BB7A49">
              <w:t>2.2.</w:t>
            </w:r>
            <w:r w:rsidR="000322EF">
              <w:t>3</w:t>
            </w:r>
            <w:r w:rsidRPr="00BB7A49">
              <w:tab/>
              <w:t>The Buyer has fully paid the purchase price to Gilead for the Products delivered within the relevant Reference Period.</w:t>
            </w:r>
          </w:p>
        </w:tc>
      </w:tr>
      <w:tr w:rsidR="002573E6" w:rsidRPr="00B21502" w14:paraId="2980619E" w14:textId="77777777" w:rsidTr="002573E6">
        <w:tc>
          <w:tcPr>
            <w:tcW w:w="2500" w:type="pct"/>
          </w:tcPr>
          <w:p w14:paraId="3FA3756A" w14:textId="77777777" w:rsidR="002573E6" w:rsidRPr="00570B61" w:rsidRDefault="002573E6" w:rsidP="00BB7A49">
            <w:pPr>
              <w:pStyle w:val="CMSHeadL3"/>
              <w:numPr>
                <w:ilvl w:val="0"/>
                <w:numId w:val="0"/>
              </w:numPr>
              <w:tabs>
                <w:tab w:val="left" w:pos="426"/>
              </w:tabs>
              <w:spacing w:before="120" w:after="120"/>
              <w:jc w:val="both"/>
              <w:rPr>
                <w:lang w:val="cs-CZ"/>
              </w:rPr>
            </w:pPr>
            <w:bookmarkStart w:id="6" w:name="_Ref361401126"/>
            <w:r w:rsidRPr="00570B61">
              <w:rPr>
                <w:lang w:val="cs-CZ"/>
              </w:rPr>
              <w:t>2.3</w:t>
            </w:r>
            <w:r w:rsidRPr="00570B61">
              <w:rPr>
                <w:lang w:val="cs-CZ"/>
              </w:rPr>
              <w:tab/>
            </w:r>
            <w:r w:rsidR="00C60765" w:rsidRPr="00570B61">
              <w:rPr>
                <w:lang w:val="cs-CZ"/>
              </w:rPr>
              <w:t xml:space="preserve">Společnost </w:t>
            </w:r>
            <w:r w:rsidRPr="00570B61">
              <w:rPr>
                <w:lang w:val="cs-CZ"/>
              </w:rPr>
              <w:t xml:space="preserve">Gilead má právo si kdykoliv vyžádat, aby Kupující předložil žádost o poskytnutí Bonusu či jakékoliv další související doklady. </w:t>
            </w:r>
            <w:bookmarkEnd w:id="6"/>
            <w:r w:rsidR="00C60765" w:rsidRPr="00570B61">
              <w:rPr>
                <w:lang w:val="cs-CZ"/>
              </w:rPr>
              <w:t xml:space="preserve">Společnost </w:t>
            </w:r>
            <w:r w:rsidRPr="00570B61">
              <w:rPr>
                <w:lang w:val="cs-CZ"/>
              </w:rPr>
              <w:t xml:space="preserve">Gilead </w:t>
            </w:r>
            <w:r w:rsidR="00C60765" w:rsidRPr="00570B61">
              <w:rPr>
                <w:lang w:val="cs-CZ"/>
              </w:rPr>
              <w:t>je též</w:t>
            </w:r>
            <w:r w:rsidRPr="00570B61">
              <w:rPr>
                <w:lang w:val="cs-CZ"/>
              </w:rPr>
              <w:t xml:space="preserve"> </w:t>
            </w:r>
            <w:r w:rsidR="00C60765" w:rsidRPr="00570B61">
              <w:rPr>
                <w:lang w:val="cs-CZ"/>
              </w:rPr>
              <w:t>o</w:t>
            </w:r>
            <w:r w:rsidRPr="00570B61">
              <w:rPr>
                <w:lang w:val="cs-CZ"/>
              </w:rPr>
              <w:t>práv</w:t>
            </w:r>
            <w:r w:rsidR="00C60765" w:rsidRPr="00570B61">
              <w:rPr>
                <w:lang w:val="cs-CZ"/>
              </w:rPr>
              <w:t>něna</w:t>
            </w:r>
            <w:r w:rsidRPr="00570B61">
              <w:rPr>
                <w:lang w:val="cs-CZ"/>
              </w:rPr>
              <w:t xml:space="preserve"> jmenovat třetí stranu, která bude jednat je</w:t>
            </w:r>
            <w:r w:rsidR="00C60765" w:rsidRPr="00570B61">
              <w:rPr>
                <w:lang w:val="cs-CZ"/>
              </w:rPr>
              <w:t>jím</w:t>
            </w:r>
            <w:r w:rsidRPr="00570B61">
              <w:rPr>
                <w:lang w:val="cs-CZ"/>
              </w:rPr>
              <w:t xml:space="preserve"> jménem a spravovat Bonusy.</w:t>
            </w:r>
          </w:p>
        </w:tc>
        <w:tc>
          <w:tcPr>
            <w:tcW w:w="2500" w:type="pct"/>
          </w:tcPr>
          <w:p w14:paraId="7CDC4643" w14:textId="77777777" w:rsidR="002573E6" w:rsidRPr="00570B61" w:rsidRDefault="002573E6" w:rsidP="00BB7A49">
            <w:pPr>
              <w:pStyle w:val="CMSHeadL4"/>
              <w:numPr>
                <w:ilvl w:val="0"/>
                <w:numId w:val="0"/>
              </w:numPr>
              <w:tabs>
                <w:tab w:val="left" w:pos="460"/>
              </w:tabs>
              <w:spacing w:before="120" w:after="120"/>
              <w:jc w:val="both"/>
            </w:pPr>
            <w:r w:rsidRPr="00BB7A49">
              <w:t>2.3</w:t>
            </w:r>
            <w:r w:rsidRPr="00BB7A49">
              <w:tab/>
              <w:t>Gilead is entitled to request the Buyer at any time to provide an application for the Bonus or any other related documents. Gilead is also entitled to authorize a third party to act on behalf of Gilead and manage Bonuses.</w:t>
            </w:r>
          </w:p>
        </w:tc>
      </w:tr>
      <w:tr w:rsidR="002573E6" w:rsidRPr="00B21502" w14:paraId="5F7BBA28" w14:textId="77777777" w:rsidTr="002573E6">
        <w:tc>
          <w:tcPr>
            <w:tcW w:w="2500" w:type="pct"/>
          </w:tcPr>
          <w:p w14:paraId="3D2DA5D1" w14:textId="77777777" w:rsidR="002573E6" w:rsidRPr="00570B61" w:rsidRDefault="002573E6" w:rsidP="00BB7A49">
            <w:pPr>
              <w:pStyle w:val="CMSHeadL3"/>
              <w:numPr>
                <w:ilvl w:val="0"/>
                <w:numId w:val="0"/>
              </w:numPr>
              <w:tabs>
                <w:tab w:val="left" w:pos="426"/>
              </w:tabs>
              <w:spacing w:before="120" w:after="120"/>
              <w:jc w:val="both"/>
              <w:rPr>
                <w:lang w:val="cs-CZ"/>
              </w:rPr>
            </w:pPr>
            <w:r w:rsidRPr="00570B61">
              <w:rPr>
                <w:lang w:val="cs-CZ"/>
              </w:rPr>
              <w:t>2.4</w:t>
            </w:r>
            <w:r w:rsidRPr="00570B61">
              <w:rPr>
                <w:lang w:val="cs-CZ"/>
              </w:rPr>
              <w:tab/>
            </w:r>
            <w:r w:rsidR="00C60765" w:rsidRPr="00570B61">
              <w:rPr>
                <w:szCs w:val="22"/>
                <w:lang w:val="cs-CZ"/>
              </w:rPr>
              <w:t xml:space="preserve">Společnost Gilead je oprávněna odepřít poskytnutí Bonusu, dokud bude Kupující v prodlení s </w:t>
            </w:r>
            <w:proofErr w:type="gramStart"/>
            <w:r w:rsidR="00C60765" w:rsidRPr="00570B61">
              <w:rPr>
                <w:szCs w:val="22"/>
                <w:lang w:val="cs-CZ"/>
              </w:rPr>
              <w:t>úhradou</w:t>
            </w:r>
            <w:proofErr w:type="gramEnd"/>
            <w:r w:rsidR="00C60765" w:rsidRPr="00570B61">
              <w:rPr>
                <w:szCs w:val="22"/>
                <w:lang w:val="cs-CZ"/>
              </w:rPr>
              <w:t xml:space="preserve"> byť jen části kupní ceny jakékoliv objednávky Produktů odebraných přímo od společnosti Gilead. </w:t>
            </w:r>
          </w:p>
        </w:tc>
        <w:tc>
          <w:tcPr>
            <w:tcW w:w="2500" w:type="pct"/>
          </w:tcPr>
          <w:p w14:paraId="1B3F1E57" w14:textId="77777777" w:rsidR="002573E6" w:rsidRPr="00570B61" w:rsidRDefault="002573E6" w:rsidP="00BB7A49">
            <w:pPr>
              <w:pStyle w:val="CMSHeadL4"/>
              <w:numPr>
                <w:ilvl w:val="0"/>
                <w:numId w:val="0"/>
              </w:numPr>
              <w:tabs>
                <w:tab w:val="left" w:pos="460"/>
              </w:tabs>
              <w:spacing w:before="120" w:after="120"/>
              <w:jc w:val="both"/>
            </w:pPr>
            <w:r w:rsidRPr="00BB7A49">
              <w:t>2.4</w:t>
            </w:r>
            <w:r w:rsidRPr="00BB7A49">
              <w:tab/>
            </w:r>
            <w:r w:rsidR="00F47E11" w:rsidRPr="00BB7A49">
              <w:t xml:space="preserve">Gilead </w:t>
            </w:r>
            <w:r w:rsidR="00DC3BB7">
              <w:t>will</w:t>
            </w:r>
            <w:r w:rsidR="00F47E11" w:rsidRPr="00BB7A49">
              <w:t xml:space="preserve"> refuse to provide the Bonus </w:t>
            </w:r>
            <w:proofErr w:type="gramStart"/>
            <w:r w:rsidR="00F47E11" w:rsidRPr="00BB7A49">
              <w:t>as long as</w:t>
            </w:r>
            <w:proofErr w:type="gramEnd"/>
            <w:r w:rsidR="00F47E11" w:rsidRPr="00BB7A49">
              <w:t xml:space="preserve"> the Buyer defaults on the payment of even a portion of the purchase price for any purchase order of Products received directly from Gilead. </w:t>
            </w:r>
          </w:p>
        </w:tc>
      </w:tr>
      <w:tr w:rsidR="002573E6" w:rsidRPr="00B21502" w14:paraId="291F5177" w14:textId="77777777" w:rsidTr="002573E6">
        <w:tc>
          <w:tcPr>
            <w:tcW w:w="2500" w:type="pct"/>
          </w:tcPr>
          <w:p w14:paraId="28A18678" w14:textId="77777777" w:rsidR="002573E6" w:rsidRPr="00570B61" w:rsidRDefault="002573E6" w:rsidP="00BB7A49">
            <w:pPr>
              <w:pStyle w:val="CMSHeadL3"/>
              <w:numPr>
                <w:ilvl w:val="0"/>
                <w:numId w:val="0"/>
              </w:numPr>
              <w:tabs>
                <w:tab w:val="left" w:pos="399"/>
                <w:tab w:val="left" w:pos="1134"/>
              </w:tabs>
              <w:spacing w:before="120" w:after="120"/>
              <w:jc w:val="both"/>
              <w:rPr>
                <w:lang w:val="cs-CZ"/>
              </w:rPr>
            </w:pPr>
            <w:r w:rsidRPr="00570B61">
              <w:rPr>
                <w:lang w:val="cs-CZ"/>
              </w:rPr>
              <w:t>2.5</w:t>
            </w:r>
            <w:r w:rsidR="00F47E11" w:rsidRPr="00570B61">
              <w:rPr>
                <w:lang w:val="cs-CZ"/>
              </w:rPr>
              <w:tab/>
            </w:r>
            <w:r w:rsidR="00C60765" w:rsidRPr="00570B61">
              <w:rPr>
                <w:szCs w:val="22"/>
                <w:lang w:val="cs-CZ"/>
              </w:rPr>
              <w:t>Dojde</w:t>
            </w:r>
            <w:r w:rsidR="00570B61">
              <w:rPr>
                <w:szCs w:val="22"/>
                <w:lang w:val="cs-CZ"/>
              </w:rPr>
              <w:t>-</w:t>
            </w:r>
            <w:r w:rsidR="00C60765" w:rsidRPr="00570B61">
              <w:rPr>
                <w:szCs w:val="22"/>
                <w:lang w:val="cs-CZ"/>
              </w:rPr>
              <w:t xml:space="preserve">li v průběhu doby trvání této </w:t>
            </w:r>
            <w:r w:rsidR="00D57569" w:rsidRPr="00570B61">
              <w:rPr>
                <w:szCs w:val="22"/>
                <w:lang w:val="cs-CZ"/>
              </w:rPr>
              <w:t>Dohody</w:t>
            </w:r>
            <w:r w:rsidR="00C60765" w:rsidRPr="00570B61">
              <w:rPr>
                <w:szCs w:val="22"/>
                <w:lang w:val="cs-CZ"/>
              </w:rPr>
              <w:t xml:space="preserve"> k významné změně cen </w:t>
            </w:r>
            <w:r w:rsidR="00B9153E" w:rsidRPr="00570B61">
              <w:rPr>
                <w:szCs w:val="22"/>
                <w:lang w:val="cs-CZ"/>
              </w:rPr>
              <w:t>Produktů</w:t>
            </w:r>
            <w:r w:rsidR="00C60765" w:rsidRPr="00570B61">
              <w:rPr>
                <w:szCs w:val="22"/>
                <w:lang w:val="cs-CZ"/>
              </w:rPr>
              <w:t xml:space="preserve">, Strany se zavazují, že bez zbytečného odkladu po takové změně cen vstoupí v dobré víře do jednání o takových úpravách této </w:t>
            </w:r>
            <w:r w:rsidR="00D57569" w:rsidRPr="00570B61">
              <w:rPr>
                <w:szCs w:val="22"/>
                <w:lang w:val="cs-CZ"/>
              </w:rPr>
              <w:t>Dohody</w:t>
            </w:r>
            <w:r w:rsidR="00C60765" w:rsidRPr="00570B61">
              <w:rPr>
                <w:szCs w:val="22"/>
                <w:lang w:val="cs-CZ"/>
              </w:rPr>
              <w:t xml:space="preserve">, které uvedenou změnu cen adekvátně zohlední. Nebude-li mezi Stranami dosaženo dohody na takových úpravách </w:t>
            </w:r>
            <w:r w:rsidR="00D57569" w:rsidRPr="00570B61">
              <w:rPr>
                <w:szCs w:val="22"/>
                <w:lang w:val="cs-CZ"/>
              </w:rPr>
              <w:t>Dohody</w:t>
            </w:r>
            <w:r w:rsidR="00C60765" w:rsidRPr="00570B61">
              <w:rPr>
                <w:szCs w:val="22"/>
                <w:lang w:val="cs-CZ"/>
              </w:rPr>
              <w:t xml:space="preserve"> ani do 10 dní od zahájení jednání, je kterákoli Strana oprávněna bez dalšího poskytování nebo přijímání Bonusu odmítnout a tuto </w:t>
            </w:r>
            <w:r w:rsidR="00D57569" w:rsidRPr="00570B61">
              <w:rPr>
                <w:szCs w:val="22"/>
                <w:lang w:val="cs-CZ"/>
              </w:rPr>
              <w:t>Dohodu</w:t>
            </w:r>
            <w:r w:rsidR="00C60765" w:rsidRPr="00570B61">
              <w:rPr>
                <w:szCs w:val="22"/>
                <w:lang w:val="cs-CZ"/>
              </w:rPr>
              <w:t xml:space="preserve"> vypovědět bez výpovědní doby.</w:t>
            </w:r>
            <w:r w:rsidRPr="00570B61">
              <w:rPr>
                <w:lang w:val="cs-CZ"/>
              </w:rPr>
              <w:tab/>
            </w:r>
          </w:p>
        </w:tc>
        <w:tc>
          <w:tcPr>
            <w:tcW w:w="2500" w:type="pct"/>
          </w:tcPr>
          <w:p w14:paraId="57B07FAF" w14:textId="77777777" w:rsidR="002573E6" w:rsidRPr="00570B61" w:rsidRDefault="002573E6" w:rsidP="00BB7A49">
            <w:pPr>
              <w:pStyle w:val="CMSHeadL4"/>
              <w:numPr>
                <w:ilvl w:val="0"/>
                <w:numId w:val="0"/>
              </w:numPr>
              <w:tabs>
                <w:tab w:val="left" w:pos="460"/>
              </w:tabs>
              <w:spacing w:before="120" w:after="120"/>
              <w:jc w:val="both"/>
            </w:pPr>
            <w:r w:rsidRPr="00BB7A49">
              <w:t>2.5</w:t>
            </w:r>
            <w:r w:rsidRPr="00BB7A49">
              <w:tab/>
            </w:r>
            <w:r w:rsidR="001833AE" w:rsidRPr="00BB7A49">
              <w:t xml:space="preserve">If the prices of the Products change substantially during the term of this Agreement, the Parties agree to enter, without undue delay upon such change of prices, into good faith negotiations regarding such amendments to this Agreement that will adequately reflect such change in prices. If the Parties fail to agree on such amendments to this Agreement within 10 days of </w:t>
            </w:r>
            <w:proofErr w:type="gramStart"/>
            <w:r w:rsidR="001833AE" w:rsidRPr="00BB7A49">
              <w:t>entering into</w:t>
            </w:r>
            <w:proofErr w:type="gramEnd"/>
            <w:r w:rsidR="001833AE" w:rsidRPr="00BB7A49">
              <w:t xml:space="preserve"> negotiations, either of the Parties may refuse to provide or receive the Bonus </w:t>
            </w:r>
            <w:r w:rsidR="00020E4A" w:rsidRPr="00BB7A49">
              <w:rPr>
                <w:szCs w:val="22"/>
              </w:rPr>
              <w:t>without further conditions</w:t>
            </w:r>
            <w:r w:rsidR="00020E4A" w:rsidRPr="00BB7A49">
              <w:t xml:space="preserve"> </w:t>
            </w:r>
            <w:r w:rsidR="001833AE" w:rsidRPr="00BB7A49">
              <w:t>and terminate this Agreement with immediate effect.</w:t>
            </w:r>
          </w:p>
        </w:tc>
      </w:tr>
      <w:tr w:rsidR="002573E6" w:rsidRPr="00B21502" w14:paraId="7E4734DE" w14:textId="77777777" w:rsidTr="002573E6">
        <w:tc>
          <w:tcPr>
            <w:tcW w:w="2500" w:type="pct"/>
          </w:tcPr>
          <w:p w14:paraId="3185037F" w14:textId="77777777" w:rsidR="002573E6" w:rsidRPr="00570B61" w:rsidRDefault="002573E6" w:rsidP="00EB6111">
            <w:pPr>
              <w:pStyle w:val="CMSHeadL3"/>
              <w:numPr>
                <w:ilvl w:val="0"/>
                <w:numId w:val="0"/>
              </w:numPr>
              <w:tabs>
                <w:tab w:val="left" w:pos="426"/>
              </w:tabs>
              <w:spacing w:before="120" w:after="120"/>
              <w:jc w:val="both"/>
              <w:rPr>
                <w:lang w:val="cs-CZ"/>
              </w:rPr>
            </w:pPr>
            <w:r w:rsidRPr="00570B61">
              <w:rPr>
                <w:lang w:val="cs-CZ"/>
              </w:rPr>
              <w:lastRenderedPageBreak/>
              <w:t>2.6</w:t>
            </w:r>
            <w:r w:rsidRPr="00570B61">
              <w:rPr>
                <w:lang w:val="cs-CZ"/>
              </w:rPr>
              <w:tab/>
              <w:t xml:space="preserve">Kupující bere na vědomí, že výše stanoveného Bonusu je plně závislá na obratu (hodnotě) dodaných Produktů a že </w:t>
            </w:r>
            <w:r w:rsidR="00B9153E" w:rsidRPr="00570B61">
              <w:rPr>
                <w:lang w:val="cs-CZ"/>
              </w:rPr>
              <w:t xml:space="preserve">společnost </w:t>
            </w:r>
            <w:r w:rsidRPr="00570B61">
              <w:rPr>
                <w:lang w:val="cs-CZ"/>
              </w:rPr>
              <w:t>Gilead tento Bonus nabízí všem svým zákazníkům.</w:t>
            </w:r>
          </w:p>
        </w:tc>
        <w:tc>
          <w:tcPr>
            <w:tcW w:w="2500" w:type="pct"/>
          </w:tcPr>
          <w:p w14:paraId="56E3DAA1" w14:textId="77777777" w:rsidR="002573E6" w:rsidRPr="00570B61" w:rsidRDefault="002573E6" w:rsidP="00BB7A49">
            <w:pPr>
              <w:pStyle w:val="CMSHeadL4"/>
              <w:numPr>
                <w:ilvl w:val="0"/>
                <w:numId w:val="0"/>
              </w:numPr>
              <w:tabs>
                <w:tab w:val="left" w:pos="602"/>
              </w:tabs>
              <w:spacing w:before="120" w:after="120"/>
              <w:jc w:val="both"/>
            </w:pPr>
            <w:r w:rsidRPr="00BB7A49">
              <w:t>2.6</w:t>
            </w:r>
            <w:r w:rsidRPr="00BB7A49">
              <w:tab/>
              <w:t>The Buyer acknowledges that the amount of the Bonus is fully dependent on the turnover (value) of the delivered Products and that Gilead offers this Bonus to all its customers.</w:t>
            </w:r>
          </w:p>
        </w:tc>
      </w:tr>
      <w:tr w:rsidR="00196FFD" w:rsidRPr="00B21502" w14:paraId="596A705B" w14:textId="77777777" w:rsidTr="002573E6">
        <w:tc>
          <w:tcPr>
            <w:tcW w:w="2500" w:type="pct"/>
          </w:tcPr>
          <w:p w14:paraId="0CC41573" w14:textId="77777777" w:rsidR="00196FFD" w:rsidRPr="00BB7A49" w:rsidRDefault="00196FFD" w:rsidP="001D11D5">
            <w:pPr>
              <w:pStyle w:val="CMSHeadL3"/>
              <w:numPr>
                <w:ilvl w:val="0"/>
                <w:numId w:val="19"/>
              </w:numPr>
              <w:tabs>
                <w:tab w:val="left" w:pos="426"/>
              </w:tabs>
              <w:spacing w:before="240"/>
              <w:ind w:left="284" w:hanging="284"/>
              <w:jc w:val="both"/>
              <w:rPr>
                <w:b/>
                <w:lang w:val="cs-CZ"/>
              </w:rPr>
            </w:pPr>
            <w:r w:rsidRPr="00BB7A49">
              <w:rPr>
                <w:b/>
                <w:lang w:val="cs-CZ"/>
              </w:rPr>
              <w:t>Způsob poskytnutí Bonusu</w:t>
            </w:r>
          </w:p>
        </w:tc>
        <w:tc>
          <w:tcPr>
            <w:tcW w:w="2500" w:type="pct"/>
          </w:tcPr>
          <w:p w14:paraId="5977865C" w14:textId="77777777" w:rsidR="00196FFD" w:rsidRPr="00BB7A49" w:rsidRDefault="00196FFD" w:rsidP="00BB7A49">
            <w:pPr>
              <w:pStyle w:val="CMSHeadL3"/>
              <w:numPr>
                <w:ilvl w:val="0"/>
                <w:numId w:val="0"/>
              </w:numPr>
              <w:tabs>
                <w:tab w:val="left" w:pos="318"/>
              </w:tabs>
              <w:spacing w:before="240"/>
              <w:jc w:val="both"/>
            </w:pPr>
            <w:r w:rsidRPr="00570B61">
              <w:rPr>
                <w:b/>
              </w:rPr>
              <w:t>3.</w:t>
            </w:r>
            <w:r w:rsidRPr="00570B61">
              <w:rPr>
                <w:b/>
              </w:rPr>
              <w:tab/>
              <w:t xml:space="preserve">Method of </w:t>
            </w:r>
            <w:r w:rsidRPr="00BB7A49">
              <w:rPr>
                <w:b/>
              </w:rPr>
              <w:t>Bonus</w:t>
            </w:r>
            <w:r w:rsidRPr="00570B61">
              <w:rPr>
                <w:b/>
              </w:rPr>
              <w:t xml:space="preserve"> Provision</w:t>
            </w:r>
          </w:p>
        </w:tc>
      </w:tr>
      <w:tr w:rsidR="00196FFD" w:rsidRPr="00C86BA8" w14:paraId="73BC238E" w14:textId="77777777" w:rsidTr="002573E6">
        <w:tc>
          <w:tcPr>
            <w:tcW w:w="2500" w:type="pct"/>
          </w:tcPr>
          <w:p w14:paraId="63653357" w14:textId="77777777" w:rsidR="00196FFD" w:rsidRPr="00BB7A49" w:rsidRDefault="00196FFD" w:rsidP="001D11D5">
            <w:pPr>
              <w:pStyle w:val="CMSHeadL3"/>
              <w:numPr>
                <w:ilvl w:val="1"/>
                <w:numId w:val="19"/>
              </w:numPr>
              <w:tabs>
                <w:tab w:val="left" w:pos="0"/>
                <w:tab w:val="left" w:pos="426"/>
              </w:tabs>
              <w:spacing w:before="120" w:after="120"/>
              <w:ind w:left="0" w:firstLine="0"/>
              <w:jc w:val="both"/>
              <w:rPr>
                <w:szCs w:val="22"/>
                <w:lang w:val="cs-CZ"/>
              </w:rPr>
            </w:pPr>
            <w:bookmarkStart w:id="7" w:name="_Ref18412844"/>
            <w:r w:rsidRPr="00BB7A49">
              <w:rPr>
                <w:szCs w:val="22"/>
                <w:lang w:val="cs-CZ"/>
              </w:rPr>
              <w:t>Případný Bonus za příslušné Referenční období bude vypořádán takto:</w:t>
            </w:r>
            <w:bookmarkEnd w:id="7"/>
          </w:p>
          <w:p w14:paraId="3C6F7A1B" w14:textId="0A4D9AA3" w:rsidR="00196FFD" w:rsidRPr="00570B61" w:rsidRDefault="00C3443D" w:rsidP="001D11D5">
            <w:pPr>
              <w:pStyle w:val="Claneka"/>
              <w:keepLines w:val="0"/>
              <w:numPr>
                <w:ilvl w:val="0"/>
                <w:numId w:val="21"/>
              </w:numPr>
              <w:ind w:left="426" w:hanging="426"/>
            </w:pPr>
            <w:bookmarkStart w:id="8" w:name="_Ref529442766"/>
            <w:r>
              <w:rPr>
                <w:rFonts w:ascii="Times New Roman" w:hAnsi="Times New Roman"/>
              </w:rPr>
              <w:t xml:space="preserve">Společnost Gilead </w:t>
            </w:r>
            <w:r w:rsidR="00196FFD" w:rsidRPr="00BB7A49">
              <w:rPr>
                <w:rFonts w:ascii="Times New Roman" w:hAnsi="Times New Roman"/>
              </w:rPr>
              <w:t xml:space="preserve">sdělí </w:t>
            </w:r>
            <w:r>
              <w:rPr>
                <w:rFonts w:ascii="Times New Roman" w:hAnsi="Times New Roman"/>
              </w:rPr>
              <w:t>Kupujícímu</w:t>
            </w:r>
            <w:r w:rsidR="00196FFD" w:rsidRPr="00BB7A49">
              <w:rPr>
                <w:rFonts w:ascii="Times New Roman" w:hAnsi="Times New Roman"/>
              </w:rPr>
              <w:t xml:space="preserve"> do </w:t>
            </w:r>
            <w:r>
              <w:rPr>
                <w:rFonts w:ascii="Times New Roman" w:hAnsi="Times New Roman"/>
              </w:rPr>
              <w:t>3</w:t>
            </w:r>
            <w:r w:rsidRPr="00BB7A49">
              <w:rPr>
                <w:rFonts w:ascii="Times New Roman" w:hAnsi="Times New Roman"/>
              </w:rPr>
              <w:t xml:space="preserve">0 </w:t>
            </w:r>
            <w:r w:rsidR="00196FFD" w:rsidRPr="00BB7A49">
              <w:rPr>
                <w:rFonts w:ascii="Times New Roman" w:hAnsi="Times New Roman"/>
              </w:rPr>
              <w:t xml:space="preserve">dní </w:t>
            </w:r>
            <w:r w:rsidR="00173EB2">
              <w:rPr>
                <w:rFonts w:ascii="Times New Roman" w:hAnsi="Times New Roman"/>
              </w:rPr>
              <w:t>ode dne</w:t>
            </w:r>
            <w:r w:rsidR="00423FB7">
              <w:rPr>
                <w:rFonts w:ascii="Times New Roman" w:hAnsi="Times New Roman"/>
              </w:rPr>
              <w:t>,</w:t>
            </w:r>
            <w:r w:rsidR="00173EB2">
              <w:rPr>
                <w:rFonts w:ascii="Times New Roman" w:hAnsi="Times New Roman"/>
              </w:rPr>
              <w:t xml:space="preserve"> kdy Kupující plně uhradil společnosti Gilead cenu za Produkty dodané během</w:t>
            </w:r>
            <w:r w:rsidR="00196FFD" w:rsidRPr="00BB7A49">
              <w:rPr>
                <w:rFonts w:ascii="Times New Roman" w:hAnsi="Times New Roman"/>
              </w:rPr>
              <w:t xml:space="preserve"> příslušného Referenčního období</w:t>
            </w:r>
            <w:r w:rsidR="00423FB7">
              <w:rPr>
                <w:rFonts w:ascii="Times New Roman" w:hAnsi="Times New Roman"/>
              </w:rPr>
              <w:t>,</w:t>
            </w:r>
            <w:r w:rsidR="00196FFD" w:rsidRPr="00BB7A49">
              <w:rPr>
                <w:rFonts w:ascii="Times New Roman" w:hAnsi="Times New Roman"/>
              </w:rPr>
              <w:t xml:space="preserve"> celkové množství Produktů nakoupených Kupujícím během tohoto Referenčního období</w:t>
            </w:r>
            <w:r>
              <w:rPr>
                <w:rFonts w:ascii="Times New Roman" w:hAnsi="Times New Roman"/>
              </w:rPr>
              <w:t xml:space="preserve"> a kalkulaci Bonusu</w:t>
            </w:r>
            <w:r w:rsidR="00196FFD" w:rsidRPr="00BB7A49">
              <w:rPr>
                <w:rFonts w:ascii="Times New Roman" w:hAnsi="Times New Roman"/>
              </w:rPr>
              <w:t xml:space="preserve">. </w:t>
            </w:r>
            <w:r w:rsidR="007F41F5">
              <w:rPr>
                <w:rFonts w:ascii="Times New Roman" w:hAnsi="Times New Roman"/>
              </w:rPr>
              <w:t>Neinformuje-l</w:t>
            </w:r>
            <w:r>
              <w:rPr>
                <w:rFonts w:ascii="Times New Roman" w:hAnsi="Times New Roman"/>
              </w:rPr>
              <w:t>i</w:t>
            </w:r>
            <w:r w:rsidR="007F41F5">
              <w:rPr>
                <w:rFonts w:ascii="Times New Roman" w:hAnsi="Times New Roman"/>
              </w:rPr>
              <w:t xml:space="preserve"> společnost</w:t>
            </w:r>
            <w:r>
              <w:rPr>
                <w:rFonts w:ascii="Times New Roman" w:hAnsi="Times New Roman"/>
              </w:rPr>
              <w:t xml:space="preserve"> Gilead Kupující</w:t>
            </w:r>
            <w:r w:rsidR="00173EB2">
              <w:rPr>
                <w:rFonts w:ascii="Times New Roman" w:hAnsi="Times New Roman"/>
              </w:rPr>
              <w:t xml:space="preserve">ho o Bonusu </w:t>
            </w:r>
            <w:r>
              <w:rPr>
                <w:rFonts w:ascii="Times New Roman" w:hAnsi="Times New Roman"/>
              </w:rPr>
              <w:t xml:space="preserve">během stanovené lhůty, Kupující je oprávněn informovat </w:t>
            </w:r>
            <w:r w:rsidR="00423FB7">
              <w:rPr>
                <w:rFonts w:ascii="Times New Roman" w:hAnsi="Times New Roman"/>
              </w:rPr>
              <w:t xml:space="preserve">společnost </w:t>
            </w:r>
            <w:r>
              <w:rPr>
                <w:rFonts w:ascii="Times New Roman" w:hAnsi="Times New Roman"/>
              </w:rPr>
              <w:t>Gilead o v</w:t>
            </w:r>
            <w:r w:rsidR="00173EB2">
              <w:rPr>
                <w:rFonts w:ascii="Times New Roman" w:hAnsi="Times New Roman"/>
              </w:rPr>
              <w:t>ý</w:t>
            </w:r>
            <w:r>
              <w:rPr>
                <w:rFonts w:ascii="Times New Roman" w:hAnsi="Times New Roman"/>
              </w:rPr>
              <w:t>počtu</w:t>
            </w:r>
            <w:r w:rsidR="00173EB2">
              <w:rPr>
                <w:rFonts w:ascii="Times New Roman" w:hAnsi="Times New Roman"/>
              </w:rPr>
              <w:t xml:space="preserve"> Bonusu</w:t>
            </w:r>
            <w:r>
              <w:rPr>
                <w:rFonts w:ascii="Times New Roman" w:hAnsi="Times New Roman"/>
              </w:rPr>
              <w:t xml:space="preserve"> sám. </w:t>
            </w:r>
            <w:bookmarkEnd w:id="8"/>
          </w:p>
          <w:p w14:paraId="1BAC2E0F" w14:textId="77777777" w:rsidR="00196FFD" w:rsidRPr="00BB7A49" w:rsidRDefault="00196FFD" w:rsidP="001D11D5">
            <w:pPr>
              <w:pStyle w:val="Claneka"/>
              <w:keepLines w:val="0"/>
              <w:numPr>
                <w:ilvl w:val="0"/>
                <w:numId w:val="21"/>
              </w:numPr>
              <w:ind w:left="426" w:hanging="426"/>
              <w:rPr>
                <w:rFonts w:ascii="Times New Roman" w:hAnsi="Times New Roman"/>
              </w:rPr>
            </w:pPr>
            <w:r w:rsidRPr="00BB7A49">
              <w:rPr>
                <w:rFonts w:ascii="Times New Roman" w:hAnsi="Times New Roman"/>
              </w:rPr>
              <w:t xml:space="preserve">Strany si vzájemně poskytnou součinnost nezbytnou k výpočtu celkového objemu nákupu </w:t>
            </w:r>
            <w:r w:rsidRPr="00570B61">
              <w:rPr>
                <w:rFonts w:ascii="Times New Roman" w:hAnsi="Times New Roman"/>
              </w:rPr>
              <w:t>Produktů</w:t>
            </w:r>
            <w:r w:rsidRPr="00BB7A49">
              <w:rPr>
                <w:rFonts w:ascii="Times New Roman" w:hAnsi="Times New Roman"/>
              </w:rPr>
              <w:t xml:space="preserve"> </w:t>
            </w:r>
            <w:r w:rsidRPr="00570B61">
              <w:rPr>
                <w:rFonts w:ascii="Times New Roman" w:hAnsi="Times New Roman"/>
              </w:rPr>
              <w:t>Kupujícím</w:t>
            </w:r>
            <w:r w:rsidRPr="00BB7A49">
              <w:rPr>
                <w:rFonts w:ascii="Times New Roman" w:hAnsi="Times New Roman"/>
              </w:rPr>
              <w:t xml:space="preserve"> během příslušného Referenčního období a k posouzení nároku </w:t>
            </w:r>
            <w:r w:rsidRPr="00570B61">
              <w:rPr>
                <w:rFonts w:ascii="Times New Roman" w:hAnsi="Times New Roman"/>
              </w:rPr>
              <w:t>Kupujícího</w:t>
            </w:r>
            <w:r w:rsidRPr="00BB7A49">
              <w:rPr>
                <w:rFonts w:ascii="Times New Roman" w:hAnsi="Times New Roman"/>
              </w:rPr>
              <w:t xml:space="preserve"> na poskytnutí Bonusu a k výpočtu jeho výše. Každá ze Stran je zejména povinna řádně vypořádat námitky druhé Strany k tvrzenému objemu nákupu </w:t>
            </w:r>
            <w:r w:rsidRPr="00570B61">
              <w:rPr>
                <w:rFonts w:ascii="Times New Roman" w:hAnsi="Times New Roman"/>
              </w:rPr>
              <w:t>Produktů</w:t>
            </w:r>
            <w:r w:rsidRPr="00BB7A49">
              <w:rPr>
                <w:rFonts w:ascii="Times New Roman" w:hAnsi="Times New Roman"/>
              </w:rPr>
              <w:t xml:space="preserve"> </w:t>
            </w:r>
            <w:r w:rsidRPr="00570B61">
              <w:rPr>
                <w:rFonts w:ascii="Times New Roman" w:hAnsi="Times New Roman"/>
              </w:rPr>
              <w:t>Kupujícím</w:t>
            </w:r>
            <w:r w:rsidRPr="00BB7A49">
              <w:rPr>
                <w:rFonts w:ascii="Times New Roman" w:hAnsi="Times New Roman"/>
              </w:rPr>
              <w:t>.</w:t>
            </w:r>
          </w:p>
          <w:p w14:paraId="376FBD88" w14:textId="06F13863" w:rsidR="00196FFD" w:rsidRPr="00570B61" w:rsidRDefault="00173EB2" w:rsidP="001D11D5">
            <w:pPr>
              <w:pStyle w:val="Claneka"/>
              <w:keepLines w:val="0"/>
              <w:numPr>
                <w:ilvl w:val="0"/>
                <w:numId w:val="21"/>
              </w:numPr>
              <w:ind w:left="426" w:hanging="426"/>
            </w:pPr>
            <w:r>
              <w:rPr>
                <w:rFonts w:ascii="Times New Roman" w:hAnsi="Times New Roman"/>
              </w:rPr>
              <w:t>Nerozporuje-li žádná ze Stran</w:t>
            </w:r>
            <w:r w:rsidR="00196FFD" w:rsidRPr="00BB7A49">
              <w:rPr>
                <w:rFonts w:ascii="Times New Roman" w:hAnsi="Times New Roman"/>
              </w:rPr>
              <w:t xml:space="preserve">, že Kupujícímu vznikl nárok na poskytnutí Bonusu za příslušné Referenční období, </w:t>
            </w:r>
            <w:r>
              <w:rPr>
                <w:rFonts w:ascii="Times New Roman" w:hAnsi="Times New Roman"/>
              </w:rPr>
              <w:t>včetně toho</w:t>
            </w:r>
            <w:r w:rsidR="00196FFD" w:rsidRPr="00BB7A49">
              <w:rPr>
                <w:rFonts w:ascii="Times New Roman" w:hAnsi="Times New Roman"/>
              </w:rPr>
              <w:t xml:space="preserve">, jaká je jeho </w:t>
            </w:r>
            <w:r>
              <w:rPr>
                <w:rFonts w:ascii="Times New Roman" w:hAnsi="Times New Roman"/>
              </w:rPr>
              <w:t xml:space="preserve">navrhovaná </w:t>
            </w:r>
            <w:r w:rsidR="00196FFD" w:rsidRPr="00BB7A49">
              <w:rPr>
                <w:rFonts w:ascii="Times New Roman" w:hAnsi="Times New Roman"/>
              </w:rPr>
              <w:t>výše, společnost Gilead vystaví ve prospěch Kupujícího doklad</w:t>
            </w:r>
            <w:r>
              <w:rPr>
                <w:rFonts w:ascii="Times New Roman" w:hAnsi="Times New Roman"/>
              </w:rPr>
              <w:t xml:space="preserve"> „Přiznání obratového zvýhodnění“</w:t>
            </w:r>
            <w:r w:rsidR="00196FFD" w:rsidRPr="00BB7A49">
              <w:rPr>
                <w:rFonts w:ascii="Times New Roman" w:hAnsi="Times New Roman"/>
              </w:rPr>
              <w:t xml:space="preserve"> se </w:t>
            </w:r>
            <w:r w:rsidR="00196FFD" w:rsidRPr="00253605">
              <w:rPr>
                <w:rFonts w:ascii="Times New Roman" w:hAnsi="Times New Roman"/>
              </w:rPr>
              <w:t xml:space="preserve">splatností </w:t>
            </w:r>
            <w:r w:rsidR="00196FFD" w:rsidRPr="00253605">
              <w:rPr>
                <w:rFonts w:ascii="Times New Roman" w:hAnsi="Times New Roman"/>
                <w:color w:val="000000" w:themeColor="text1"/>
              </w:rPr>
              <w:t>60</w:t>
            </w:r>
            <w:r w:rsidR="00196FFD" w:rsidRPr="00BB7A49">
              <w:rPr>
                <w:rFonts w:ascii="Times New Roman" w:hAnsi="Times New Roman"/>
                <w:color w:val="000000" w:themeColor="text1"/>
              </w:rPr>
              <w:t xml:space="preserve"> dní </w:t>
            </w:r>
            <w:r w:rsidR="00196FFD" w:rsidRPr="00BB7A49">
              <w:rPr>
                <w:rFonts w:ascii="Times New Roman" w:hAnsi="Times New Roman"/>
              </w:rPr>
              <w:t>ode dne jeho vystavení, který se bude vztahovat k celkovému množství Produktů nakoupených Kupujícím během tohoto Referenčního období.</w:t>
            </w:r>
            <w:r w:rsidR="00196FFD" w:rsidRPr="00570B61">
              <w:t xml:space="preserve"> </w:t>
            </w:r>
          </w:p>
        </w:tc>
        <w:tc>
          <w:tcPr>
            <w:tcW w:w="2500" w:type="pct"/>
          </w:tcPr>
          <w:p w14:paraId="54C6DA34" w14:textId="77777777" w:rsidR="00196FFD" w:rsidRPr="00BB7A49" w:rsidRDefault="00196FFD" w:rsidP="00BB7A49">
            <w:pPr>
              <w:pStyle w:val="CMSHeadL3"/>
              <w:numPr>
                <w:ilvl w:val="0"/>
                <w:numId w:val="0"/>
              </w:numPr>
              <w:tabs>
                <w:tab w:val="left" w:pos="460"/>
              </w:tabs>
              <w:spacing w:before="120" w:after="120"/>
              <w:jc w:val="both"/>
              <w:rPr>
                <w:szCs w:val="22"/>
              </w:rPr>
            </w:pPr>
            <w:r w:rsidRPr="00570B61">
              <w:rPr>
                <w:szCs w:val="22"/>
              </w:rPr>
              <w:t>3.1</w:t>
            </w:r>
            <w:r w:rsidRPr="00570B61">
              <w:rPr>
                <w:szCs w:val="22"/>
              </w:rPr>
              <w:tab/>
            </w:r>
            <w:r w:rsidRPr="00BB7A49">
              <w:rPr>
                <w:szCs w:val="22"/>
              </w:rPr>
              <w:t>Bonus</w:t>
            </w:r>
            <w:r w:rsidRPr="00570B61">
              <w:rPr>
                <w:szCs w:val="22"/>
              </w:rPr>
              <w:t>, if any, for the relevant Reference Period will be settled as follows</w:t>
            </w:r>
            <w:r w:rsidRPr="00BB7A49">
              <w:rPr>
                <w:szCs w:val="22"/>
              </w:rPr>
              <w:t>:</w:t>
            </w:r>
          </w:p>
          <w:p w14:paraId="6BADE7E3" w14:textId="52175588" w:rsidR="00EA0C48" w:rsidRPr="00BB7A49" w:rsidRDefault="00196FFD" w:rsidP="00BB7A49">
            <w:pPr>
              <w:pStyle w:val="Claneka"/>
              <w:keepLines w:val="0"/>
              <w:tabs>
                <w:tab w:val="clear" w:pos="992"/>
              </w:tabs>
              <w:ind w:left="460" w:hanging="460"/>
              <w:rPr>
                <w:lang w:val="en-GB"/>
              </w:rPr>
            </w:pPr>
            <w:r w:rsidRPr="00570B61">
              <w:rPr>
                <w:rFonts w:ascii="Times New Roman" w:hAnsi="Times New Roman"/>
                <w:lang w:val="en-GB"/>
              </w:rPr>
              <w:t>(a)</w:t>
            </w:r>
            <w:r w:rsidRPr="00570B61">
              <w:rPr>
                <w:rFonts w:ascii="Times New Roman" w:hAnsi="Times New Roman"/>
                <w:lang w:val="en-GB"/>
              </w:rPr>
              <w:tab/>
            </w:r>
            <w:r w:rsidR="00F07B6B">
              <w:rPr>
                <w:rFonts w:ascii="Times New Roman" w:hAnsi="Times New Roman"/>
                <w:lang w:val="en-GB"/>
              </w:rPr>
              <w:t>Gilead</w:t>
            </w:r>
            <w:r w:rsidRPr="00570B61">
              <w:rPr>
                <w:rFonts w:ascii="Times New Roman" w:hAnsi="Times New Roman"/>
                <w:lang w:val="en-GB"/>
              </w:rPr>
              <w:t xml:space="preserve"> will, within </w:t>
            </w:r>
            <w:r w:rsidR="00F07B6B">
              <w:rPr>
                <w:lang w:val="en-GB"/>
              </w:rPr>
              <w:t>3</w:t>
            </w:r>
            <w:r w:rsidR="00F07B6B" w:rsidRPr="00BB7A49">
              <w:rPr>
                <w:lang w:val="en-GB"/>
              </w:rPr>
              <w:t xml:space="preserve">0 </w:t>
            </w:r>
            <w:r w:rsidRPr="00BB7A49">
              <w:rPr>
                <w:lang w:val="en-GB"/>
              </w:rPr>
              <w:t>d</w:t>
            </w:r>
            <w:r w:rsidRPr="00570B61">
              <w:rPr>
                <w:rFonts w:ascii="Times New Roman" w:hAnsi="Times New Roman"/>
                <w:lang w:val="en-GB"/>
              </w:rPr>
              <w:t>ays of the</w:t>
            </w:r>
            <w:r w:rsidR="00173EB2">
              <w:rPr>
                <w:rFonts w:ascii="Times New Roman" w:hAnsi="Times New Roman"/>
                <w:lang w:val="en-GB"/>
              </w:rPr>
              <w:t xml:space="preserve"> day </w:t>
            </w:r>
            <w:r w:rsidR="00173EB2" w:rsidRPr="00173EB2">
              <w:rPr>
                <w:rFonts w:ascii="Times New Roman" w:hAnsi="Times New Roman"/>
                <w:lang w:val="en-GB"/>
              </w:rPr>
              <w:t xml:space="preserve">when the Buyer has fully paid the purchase price to Gilead for the Products delivered within </w:t>
            </w:r>
            <w:r w:rsidRPr="00570B61">
              <w:rPr>
                <w:rFonts w:ascii="Times New Roman" w:hAnsi="Times New Roman"/>
                <w:lang w:val="en-GB"/>
              </w:rPr>
              <w:t xml:space="preserve">the relevant Reference Period, notify </w:t>
            </w:r>
            <w:r w:rsidR="00F07B6B">
              <w:rPr>
                <w:rFonts w:ascii="Times New Roman" w:hAnsi="Times New Roman"/>
                <w:lang w:val="en-GB"/>
              </w:rPr>
              <w:t>the Buyer</w:t>
            </w:r>
            <w:r w:rsidR="00F07B6B" w:rsidRPr="00570B61">
              <w:rPr>
                <w:rFonts w:ascii="Times New Roman" w:hAnsi="Times New Roman"/>
                <w:lang w:val="en-GB"/>
              </w:rPr>
              <w:t xml:space="preserve"> </w:t>
            </w:r>
            <w:r w:rsidRPr="00570B61">
              <w:rPr>
                <w:rFonts w:ascii="Times New Roman" w:hAnsi="Times New Roman"/>
                <w:lang w:val="en-GB"/>
              </w:rPr>
              <w:t>of the total quantity of Products purchased by the Buyer during that Reference Period</w:t>
            </w:r>
            <w:r w:rsidR="00F07B6B">
              <w:rPr>
                <w:rFonts w:ascii="Times New Roman" w:hAnsi="Times New Roman"/>
                <w:lang w:val="en-GB"/>
              </w:rPr>
              <w:t xml:space="preserve"> and of the Bonus calculation</w:t>
            </w:r>
            <w:r w:rsidRPr="00BB7A49">
              <w:rPr>
                <w:lang w:val="en-GB"/>
              </w:rPr>
              <w:t xml:space="preserve">. </w:t>
            </w:r>
            <w:r w:rsidR="00F07B6B">
              <w:rPr>
                <w:lang w:val="en-GB"/>
              </w:rPr>
              <w:t xml:space="preserve">If Gilead does not notify the Buyer </w:t>
            </w:r>
            <w:r w:rsidR="00173EB2">
              <w:rPr>
                <w:lang w:val="en-GB"/>
              </w:rPr>
              <w:t xml:space="preserve">of the Bonus </w:t>
            </w:r>
            <w:r w:rsidR="00F07B6B">
              <w:rPr>
                <w:lang w:val="en-GB"/>
              </w:rPr>
              <w:t xml:space="preserve">within such period, the Buyer is entitled to notify Gilead of the same himself. </w:t>
            </w:r>
          </w:p>
          <w:p w14:paraId="09A5D7FE" w14:textId="77777777" w:rsidR="00196FFD" w:rsidRPr="00BB7A49" w:rsidRDefault="00196FFD" w:rsidP="00BB7A49">
            <w:pPr>
              <w:pStyle w:val="Claneka"/>
              <w:keepLines w:val="0"/>
              <w:tabs>
                <w:tab w:val="clear" w:pos="992"/>
              </w:tabs>
              <w:ind w:left="460" w:hanging="460"/>
              <w:rPr>
                <w:rFonts w:ascii="Times New Roman" w:hAnsi="Times New Roman"/>
                <w:lang w:val="en-GB"/>
              </w:rPr>
            </w:pPr>
            <w:r w:rsidRPr="00570B61">
              <w:rPr>
                <w:rFonts w:ascii="Times New Roman" w:hAnsi="Times New Roman"/>
                <w:lang w:val="en-GB"/>
              </w:rPr>
              <w:t>(b)</w:t>
            </w:r>
            <w:r w:rsidRPr="00570B61">
              <w:rPr>
                <w:rFonts w:ascii="Times New Roman" w:hAnsi="Times New Roman"/>
                <w:lang w:val="en-GB"/>
              </w:rPr>
              <w:tab/>
              <w:t xml:space="preserve">The Parties will provide each other with cooperation necessary for the calculation of the total volume of purchases of Products by the Buyer </w:t>
            </w:r>
            <w:proofErr w:type="gramStart"/>
            <w:r w:rsidRPr="00570B61">
              <w:rPr>
                <w:rFonts w:ascii="Times New Roman" w:hAnsi="Times New Roman"/>
                <w:lang w:val="en-GB"/>
              </w:rPr>
              <w:t>in the course of</w:t>
            </w:r>
            <w:proofErr w:type="gramEnd"/>
            <w:r w:rsidRPr="00570B61">
              <w:rPr>
                <w:rFonts w:ascii="Times New Roman" w:hAnsi="Times New Roman"/>
                <w:lang w:val="en-GB"/>
              </w:rPr>
              <w:t xml:space="preserve"> the relevant Reference Period and for the assessment of the Buyer’s claim for the </w:t>
            </w:r>
            <w:r w:rsidRPr="00BB7A49">
              <w:rPr>
                <w:rFonts w:ascii="Times New Roman" w:hAnsi="Times New Roman"/>
                <w:lang w:val="en-GB"/>
              </w:rPr>
              <w:t>Bonus</w:t>
            </w:r>
            <w:r w:rsidRPr="00570B61">
              <w:rPr>
                <w:rFonts w:ascii="Times New Roman" w:hAnsi="Times New Roman"/>
                <w:lang w:val="en-GB"/>
              </w:rPr>
              <w:t xml:space="preserve"> and calculation of its amount</w:t>
            </w:r>
            <w:r w:rsidRPr="00BB7A49">
              <w:rPr>
                <w:rFonts w:ascii="Times New Roman" w:hAnsi="Times New Roman"/>
                <w:lang w:val="en-GB"/>
              </w:rPr>
              <w:t xml:space="preserve">. </w:t>
            </w:r>
            <w:proofErr w:type="gramStart"/>
            <w:r w:rsidRPr="00570B61">
              <w:rPr>
                <w:rFonts w:ascii="Times New Roman" w:hAnsi="Times New Roman"/>
                <w:lang w:val="en-GB"/>
              </w:rPr>
              <w:t>In particular, each</w:t>
            </w:r>
            <w:proofErr w:type="gramEnd"/>
            <w:r w:rsidRPr="00570B61">
              <w:rPr>
                <w:rFonts w:ascii="Times New Roman" w:hAnsi="Times New Roman"/>
                <w:lang w:val="en-GB"/>
              </w:rPr>
              <w:t xml:space="preserve"> Party is obliged to properly deal with the other Party’s objections regarding the contented volume of purchase of Products by the Buyer</w:t>
            </w:r>
            <w:r w:rsidRPr="00BB7A49">
              <w:rPr>
                <w:rFonts w:ascii="Times New Roman" w:hAnsi="Times New Roman"/>
                <w:lang w:val="en-GB"/>
              </w:rPr>
              <w:t>.</w:t>
            </w:r>
          </w:p>
          <w:p w14:paraId="3A5BEDBC" w14:textId="5A1DB5A6" w:rsidR="00196FFD" w:rsidRPr="00BB7A49" w:rsidRDefault="00196FFD" w:rsidP="00BB7A49">
            <w:pPr>
              <w:pStyle w:val="Claneka"/>
              <w:keepLines w:val="0"/>
              <w:tabs>
                <w:tab w:val="clear" w:pos="992"/>
              </w:tabs>
              <w:ind w:left="460" w:hanging="460"/>
              <w:rPr>
                <w:lang w:val="en-GB"/>
              </w:rPr>
            </w:pPr>
            <w:r w:rsidRPr="00B833FC">
              <w:rPr>
                <w:rFonts w:ascii="Times New Roman" w:hAnsi="Times New Roman"/>
                <w:lang w:val="en-GB"/>
              </w:rPr>
              <w:t>(c)</w:t>
            </w:r>
            <w:r w:rsidRPr="00BB7A49">
              <w:rPr>
                <w:lang w:val="en-GB"/>
              </w:rPr>
              <w:tab/>
            </w:r>
            <w:r w:rsidRPr="00570B61">
              <w:rPr>
                <w:rFonts w:ascii="Times New Roman" w:hAnsi="Times New Roman"/>
                <w:lang w:val="en-GB"/>
              </w:rPr>
              <w:t xml:space="preserve">If </w:t>
            </w:r>
            <w:r w:rsidR="00F07B6B">
              <w:rPr>
                <w:rFonts w:ascii="Times New Roman" w:hAnsi="Times New Roman"/>
                <w:lang w:val="en-GB"/>
              </w:rPr>
              <w:t>none of the</w:t>
            </w:r>
            <w:r w:rsidR="00F07B6B" w:rsidRPr="00570B61">
              <w:rPr>
                <w:rFonts w:ascii="Times New Roman" w:hAnsi="Times New Roman"/>
                <w:lang w:val="en-GB"/>
              </w:rPr>
              <w:t xml:space="preserve"> </w:t>
            </w:r>
            <w:r w:rsidRPr="00570B61">
              <w:rPr>
                <w:rFonts w:ascii="Times New Roman" w:hAnsi="Times New Roman"/>
                <w:lang w:val="en-GB"/>
              </w:rPr>
              <w:t xml:space="preserve">Parties </w:t>
            </w:r>
            <w:r w:rsidR="00F07B6B">
              <w:rPr>
                <w:rFonts w:ascii="Times New Roman" w:hAnsi="Times New Roman"/>
                <w:lang w:val="en-GB"/>
              </w:rPr>
              <w:t>opposes</w:t>
            </w:r>
            <w:r w:rsidR="00F07B6B" w:rsidRPr="00570B61">
              <w:rPr>
                <w:rFonts w:ascii="Times New Roman" w:hAnsi="Times New Roman"/>
                <w:lang w:val="en-GB"/>
              </w:rPr>
              <w:t xml:space="preserve"> </w:t>
            </w:r>
            <w:r w:rsidRPr="00570B61">
              <w:rPr>
                <w:rFonts w:ascii="Times New Roman" w:hAnsi="Times New Roman"/>
                <w:lang w:val="en-GB"/>
              </w:rPr>
              <w:t xml:space="preserve">that the Buyer has become eligible for a Bonus for the relevant Reference Period, </w:t>
            </w:r>
            <w:r w:rsidR="00C3443D">
              <w:rPr>
                <w:rFonts w:ascii="Times New Roman" w:hAnsi="Times New Roman"/>
                <w:lang w:val="en-GB"/>
              </w:rPr>
              <w:t>including</w:t>
            </w:r>
            <w:r w:rsidRPr="00570B61">
              <w:rPr>
                <w:rFonts w:ascii="Times New Roman" w:hAnsi="Times New Roman"/>
                <w:lang w:val="en-GB"/>
              </w:rPr>
              <w:t xml:space="preserve"> the </w:t>
            </w:r>
            <w:r w:rsidR="00C3443D">
              <w:rPr>
                <w:rFonts w:ascii="Times New Roman" w:hAnsi="Times New Roman"/>
                <w:lang w:val="en-GB"/>
              </w:rPr>
              <w:t xml:space="preserve">proposed </w:t>
            </w:r>
            <w:r w:rsidRPr="00570B61">
              <w:rPr>
                <w:rFonts w:ascii="Times New Roman" w:hAnsi="Times New Roman"/>
                <w:lang w:val="en-GB"/>
              </w:rPr>
              <w:t xml:space="preserve">amount of such Bonus, Gilead will </w:t>
            </w:r>
            <w:r w:rsidRPr="00E6566A">
              <w:rPr>
                <w:rFonts w:ascii="Times New Roman" w:hAnsi="Times New Roman"/>
                <w:lang w:val="en-GB"/>
              </w:rPr>
              <w:t xml:space="preserve">issue a </w:t>
            </w:r>
            <w:r w:rsidR="00173EB2">
              <w:rPr>
                <w:rFonts w:ascii="Times New Roman" w:hAnsi="Times New Roman"/>
                <w:lang w:val="en-GB"/>
              </w:rPr>
              <w:t>”Confirmation of turnover bonus” for</w:t>
            </w:r>
            <w:r w:rsidRPr="00E6566A">
              <w:rPr>
                <w:rFonts w:ascii="Times New Roman" w:hAnsi="Times New Roman"/>
                <w:lang w:val="en-GB"/>
              </w:rPr>
              <w:t xml:space="preserve"> the benefit of the Buyer, due and </w:t>
            </w:r>
            <w:r w:rsidRPr="00253605">
              <w:rPr>
                <w:rFonts w:ascii="Times New Roman" w:hAnsi="Times New Roman"/>
                <w:lang w:val="en-GB"/>
              </w:rPr>
              <w:t xml:space="preserve">payable </w:t>
            </w:r>
            <w:r w:rsidRPr="00253605">
              <w:rPr>
                <w:rFonts w:ascii="Times New Roman" w:hAnsi="Times New Roman"/>
                <w:color w:val="000000" w:themeColor="text1"/>
                <w:lang w:val="en-GB"/>
              </w:rPr>
              <w:t>60</w:t>
            </w:r>
            <w:r w:rsidRPr="00E6566A">
              <w:rPr>
                <w:rFonts w:ascii="Times New Roman" w:hAnsi="Times New Roman"/>
                <w:color w:val="000000" w:themeColor="text1"/>
                <w:lang w:val="en-GB"/>
              </w:rPr>
              <w:t xml:space="preserve"> days of the issue date, which will relate to the total quantity of Products purchased by the Buyer in the course of that Reference Period</w:t>
            </w:r>
            <w:r w:rsidRPr="00570B61">
              <w:rPr>
                <w:rFonts w:ascii="Times New Roman" w:hAnsi="Times New Roman"/>
                <w:lang w:val="en-GB"/>
              </w:rPr>
              <w:t>.</w:t>
            </w:r>
          </w:p>
        </w:tc>
      </w:tr>
      <w:tr w:rsidR="00196FFD" w:rsidRPr="00C86BA8" w14:paraId="219F8B1F" w14:textId="77777777" w:rsidTr="002573E6">
        <w:tc>
          <w:tcPr>
            <w:tcW w:w="2500" w:type="pct"/>
          </w:tcPr>
          <w:p w14:paraId="13ACEBC2" w14:textId="77777777" w:rsidR="00196FFD" w:rsidRPr="00570B61" w:rsidRDefault="00196FFD" w:rsidP="001D11D5">
            <w:pPr>
              <w:pStyle w:val="Clanek11"/>
              <w:numPr>
                <w:ilvl w:val="1"/>
                <w:numId w:val="19"/>
              </w:numPr>
              <w:tabs>
                <w:tab w:val="left" w:pos="426"/>
              </w:tabs>
              <w:ind w:left="0" w:firstLine="0"/>
            </w:pPr>
            <w:r w:rsidRPr="00BB7A49">
              <w:rPr>
                <w:rFonts w:ascii="Times New Roman" w:hAnsi="Times New Roman" w:cs="Times New Roman"/>
                <w:bCs w:val="0"/>
                <w:iCs w:val="0"/>
              </w:rPr>
              <w:t>Společnost Gilead je oprávněna zaslat Kupujícímu výše zmíněný jednotný doklad také e</w:t>
            </w:r>
            <w:r w:rsidRPr="00BB7A49">
              <w:rPr>
                <w:rFonts w:ascii="Times New Roman" w:hAnsi="Times New Roman" w:cs="Times New Roman"/>
                <w:bCs w:val="0"/>
                <w:iCs w:val="0"/>
              </w:rPr>
              <w:noBreakHyphen/>
              <w:t xml:space="preserve">mailem na e-mailovou adresu, která jí bude Kupujícím pro tento účel sdělena, a to ve formátu PDF nebo v jiném obdobném formátu zaručujícím neporušitelnost obsahu. Zašle-li společnost Gilead tento doklad Kupujícímu e-mailem dle předchozí věty, pak se tento doklad považuje za doručený v den jeho odeslání společností Gilead. </w:t>
            </w:r>
          </w:p>
        </w:tc>
        <w:tc>
          <w:tcPr>
            <w:tcW w:w="2500" w:type="pct"/>
          </w:tcPr>
          <w:p w14:paraId="6BDD3DFA" w14:textId="77777777" w:rsidR="00196FFD" w:rsidRPr="00BB7A49" w:rsidRDefault="00FD71DF" w:rsidP="00BB7A49">
            <w:pPr>
              <w:pStyle w:val="CMSHeadL3"/>
              <w:numPr>
                <w:ilvl w:val="0"/>
                <w:numId w:val="0"/>
              </w:numPr>
              <w:tabs>
                <w:tab w:val="left" w:pos="460"/>
              </w:tabs>
              <w:spacing w:before="120" w:after="120"/>
              <w:jc w:val="both"/>
            </w:pPr>
            <w:r w:rsidRPr="00570B61">
              <w:rPr>
                <w:szCs w:val="28"/>
              </w:rPr>
              <w:t>3.2</w:t>
            </w:r>
            <w:r w:rsidRPr="00570B61">
              <w:rPr>
                <w:szCs w:val="28"/>
              </w:rPr>
              <w:tab/>
            </w:r>
            <w:r w:rsidR="00196FFD" w:rsidRPr="00BB7A49">
              <w:rPr>
                <w:szCs w:val="28"/>
              </w:rPr>
              <w:t xml:space="preserve">Gilead </w:t>
            </w:r>
            <w:r w:rsidRPr="00570B61">
              <w:rPr>
                <w:szCs w:val="28"/>
              </w:rPr>
              <w:t xml:space="preserve">may also send the aforesaid uniform instrument to the Buyer via e-mail to the e-mail address that will be indicated to Gilead by the Buyer for that purpose, in PDF format or in any other similar format guaranteeing integrity of its content. If Gilead sends the instrument to the Buyer via e-mail in accordance with the preceding sentence, the instrument will be deemed delivered on the day it was sent by </w:t>
            </w:r>
            <w:r w:rsidR="00196FFD" w:rsidRPr="00BB7A49">
              <w:rPr>
                <w:szCs w:val="28"/>
              </w:rPr>
              <w:t xml:space="preserve">Gilead. </w:t>
            </w:r>
          </w:p>
        </w:tc>
      </w:tr>
      <w:tr w:rsidR="00196FFD" w:rsidRPr="00C86BA8" w14:paraId="4816A326" w14:textId="77777777" w:rsidTr="002573E6">
        <w:tc>
          <w:tcPr>
            <w:tcW w:w="2500" w:type="pct"/>
          </w:tcPr>
          <w:p w14:paraId="00A8DBF0" w14:textId="77777777" w:rsidR="00196FFD" w:rsidRPr="00570B61" w:rsidRDefault="00196FFD" w:rsidP="001D11D5">
            <w:pPr>
              <w:pStyle w:val="Clanek11"/>
              <w:numPr>
                <w:ilvl w:val="1"/>
                <w:numId w:val="19"/>
              </w:numPr>
              <w:tabs>
                <w:tab w:val="left" w:pos="392"/>
              </w:tabs>
              <w:ind w:left="0" w:firstLine="0"/>
            </w:pPr>
            <w:r w:rsidRPr="00BB7A49">
              <w:rPr>
                <w:rFonts w:ascii="Times New Roman" w:hAnsi="Times New Roman" w:cs="Times New Roman"/>
                <w:bCs w:val="0"/>
                <w:iCs w:val="0"/>
              </w:rPr>
              <w:t>Každá Strana je povinna e-mailem či jiným průkazným způsobem oznámit bez zbytečného odkladu druhé Straně jakoukoli změnu své e</w:t>
            </w:r>
            <w:r w:rsidRPr="00BB7A49">
              <w:rPr>
                <w:rFonts w:ascii="Times New Roman" w:hAnsi="Times New Roman" w:cs="Times New Roman"/>
                <w:bCs w:val="0"/>
                <w:iCs w:val="0"/>
              </w:rPr>
              <w:noBreakHyphen/>
              <w:t xml:space="preserve">mailové adresy pro odesílání či příjem daňových </w:t>
            </w:r>
            <w:r w:rsidRPr="00BB7A49">
              <w:rPr>
                <w:rFonts w:ascii="Times New Roman" w:hAnsi="Times New Roman" w:cs="Times New Roman"/>
                <w:bCs w:val="0"/>
                <w:iCs w:val="0"/>
              </w:rPr>
              <w:lastRenderedPageBreak/>
              <w:t xml:space="preserve">dokladů; doručením tohoto oznámení druhé Straně dojde ke změně takové e-mailové adresy bez nutnosti uzavření písemného dodatku k této </w:t>
            </w:r>
            <w:r w:rsidR="00C404DC" w:rsidRPr="00BB7A49">
              <w:rPr>
                <w:rFonts w:ascii="Times New Roman" w:hAnsi="Times New Roman" w:cs="Times New Roman"/>
                <w:bCs w:val="0"/>
                <w:iCs w:val="0"/>
              </w:rPr>
              <w:t>Dohodě</w:t>
            </w:r>
            <w:r w:rsidRPr="00BB7A49">
              <w:rPr>
                <w:rFonts w:ascii="Times New Roman" w:hAnsi="Times New Roman" w:cs="Times New Roman"/>
                <w:bCs w:val="0"/>
                <w:iCs w:val="0"/>
              </w:rPr>
              <w:t xml:space="preserve">. Každá Strana je povinna po dobu trvání této </w:t>
            </w:r>
            <w:r w:rsidR="00C404DC" w:rsidRPr="00BB7A49">
              <w:rPr>
                <w:rFonts w:ascii="Times New Roman" w:hAnsi="Times New Roman" w:cs="Times New Roman"/>
                <w:bCs w:val="0"/>
                <w:iCs w:val="0"/>
              </w:rPr>
              <w:t>Dohody</w:t>
            </w:r>
            <w:r w:rsidRPr="00BB7A49">
              <w:rPr>
                <w:rFonts w:ascii="Times New Roman" w:hAnsi="Times New Roman" w:cs="Times New Roman"/>
                <w:bCs w:val="0"/>
                <w:iCs w:val="0"/>
              </w:rPr>
              <w:t xml:space="preserve"> zajistit řádnou funkčnost své e</w:t>
            </w:r>
            <w:r w:rsidRPr="00BB7A49">
              <w:rPr>
                <w:rFonts w:ascii="Times New Roman" w:hAnsi="Times New Roman" w:cs="Times New Roman"/>
                <w:bCs w:val="0"/>
                <w:iCs w:val="0"/>
              </w:rPr>
              <w:noBreakHyphen/>
              <w:t>mailové adresy pro odesílání či příjem daňových dokladů.</w:t>
            </w:r>
          </w:p>
        </w:tc>
        <w:tc>
          <w:tcPr>
            <w:tcW w:w="2500" w:type="pct"/>
          </w:tcPr>
          <w:p w14:paraId="690A3816" w14:textId="77777777" w:rsidR="00196FFD" w:rsidRPr="00BB7A49" w:rsidRDefault="00FD71DF" w:rsidP="00BB7A49">
            <w:pPr>
              <w:pStyle w:val="CMSHeadL3"/>
              <w:numPr>
                <w:ilvl w:val="0"/>
                <w:numId w:val="0"/>
              </w:numPr>
              <w:tabs>
                <w:tab w:val="left" w:pos="460"/>
              </w:tabs>
              <w:spacing w:before="120" w:after="120"/>
              <w:jc w:val="both"/>
            </w:pPr>
            <w:r w:rsidRPr="00570B61">
              <w:rPr>
                <w:szCs w:val="28"/>
              </w:rPr>
              <w:lastRenderedPageBreak/>
              <w:t>3.3</w:t>
            </w:r>
            <w:r w:rsidRPr="00570B61">
              <w:rPr>
                <w:szCs w:val="28"/>
              </w:rPr>
              <w:tab/>
            </w:r>
            <w:r w:rsidR="002D3649" w:rsidRPr="00570B61">
              <w:rPr>
                <w:szCs w:val="28"/>
              </w:rPr>
              <w:t xml:space="preserve">Either Party is obliged to notify the other Party by e-mail or in any other demonstrable manner and without undue delay of any change of its e-mail address for sending or receiving invoices; </w:t>
            </w:r>
            <w:r w:rsidR="002D3649" w:rsidRPr="00570B61">
              <w:rPr>
                <w:szCs w:val="28"/>
              </w:rPr>
              <w:lastRenderedPageBreak/>
              <w:t>upon delivery of that notice to the other Party, such e-mail address is deemed changed without the necessity to enter into a written amendment to this Agreement. Each Party is obliged to ensure that its e-mail address for sending or receiving invoices</w:t>
            </w:r>
            <w:r w:rsidR="002D3649" w:rsidRPr="00570B61">
              <w:rPr>
                <w:szCs w:val="22"/>
              </w:rPr>
              <w:t xml:space="preserve"> is properly functional for the term of this</w:t>
            </w:r>
            <w:r w:rsidR="002D3649" w:rsidRPr="00570B61">
              <w:rPr>
                <w:szCs w:val="28"/>
              </w:rPr>
              <w:t xml:space="preserve"> Agreement</w:t>
            </w:r>
            <w:r w:rsidR="00196FFD" w:rsidRPr="00BB7A49">
              <w:rPr>
                <w:szCs w:val="28"/>
              </w:rPr>
              <w:t>.</w:t>
            </w:r>
          </w:p>
        </w:tc>
      </w:tr>
      <w:tr w:rsidR="00196FFD" w:rsidRPr="00C86BA8" w14:paraId="56046702" w14:textId="77777777" w:rsidTr="002573E6">
        <w:tc>
          <w:tcPr>
            <w:tcW w:w="2500" w:type="pct"/>
          </w:tcPr>
          <w:p w14:paraId="277DB11D" w14:textId="77777777" w:rsidR="00196FFD" w:rsidRPr="00570B61" w:rsidRDefault="00196FFD" w:rsidP="001D11D5">
            <w:pPr>
              <w:pStyle w:val="Clanek11"/>
              <w:numPr>
                <w:ilvl w:val="1"/>
                <w:numId w:val="19"/>
              </w:numPr>
              <w:tabs>
                <w:tab w:val="left" w:pos="428"/>
              </w:tabs>
              <w:ind w:left="0" w:firstLine="0"/>
            </w:pPr>
            <w:r w:rsidRPr="00BB7A49">
              <w:rPr>
                <w:rFonts w:ascii="Times New Roman" w:hAnsi="Times New Roman" w:cs="Times New Roman"/>
                <w:bCs w:val="0"/>
                <w:iCs w:val="0"/>
              </w:rPr>
              <w:lastRenderedPageBreak/>
              <w:t xml:space="preserve">Strany berou na vědomí, že jsou povinny dostát povinnostem, které jim v souvislosti s poskytnutím Bonusu ukládají právní předpisy, zejména zákon č. 235/2004 Sb., o dani z přidané hodnoty, ve znění pozdějších předpisů, mimo jiné též povinnosti vykázat poskytnutý Bonus v příslušné části kontrolního hlášení. </w:t>
            </w:r>
          </w:p>
        </w:tc>
        <w:tc>
          <w:tcPr>
            <w:tcW w:w="2500" w:type="pct"/>
          </w:tcPr>
          <w:p w14:paraId="1C0063E1" w14:textId="77777777" w:rsidR="00196FFD" w:rsidRPr="00BB7A49" w:rsidRDefault="00FD71DF" w:rsidP="00BB7A49">
            <w:pPr>
              <w:pStyle w:val="CMSHeadL3"/>
              <w:numPr>
                <w:ilvl w:val="0"/>
                <w:numId w:val="0"/>
              </w:numPr>
              <w:tabs>
                <w:tab w:val="left" w:pos="460"/>
              </w:tabs>
              <w:spacing w:before="120" w:after="120"/>
              <w:jc w:val="both"/>
            </w:pPr>
            <w:r w:rsidRPr="00570B61">
              <w:rPr>
                <w:szCs w:val="28"/>
              </w:rPr>
              <w:t>3.4</w:t>
            </w:r>
            <w:r w:rsidRPr="00570B61">
              <w:rPr>
                <w:szCs w:val="28"/>
              </w:rPr>
              <w:tab/>
            </w:r>
            <w:r w:rsidR="00E17651" w:rsidRPr="00570B61">
              <w:rPr>
                <w:szCs w:val="28"/>
              </w:rPr>
              <w:t>The Parties acknowledge that they are duty bound to comply with their obligations imposed on them in respect of the Bonus by applicable laws, in particular Act no</w:t>
            </w:r>
            <w:r w:rsidR="00196FFD" w:rsidRPr="00BB7A49">
              <w:rPr>
                <w:szCs w:val="28"/>
              </w:rPr>
              <w:t xml:space="preserve">. 235/2004 </w:t>
            </w:r>
            <w:r w:rsidR="000C2C88">
              <w:rPr>
                <w:szCs w:val="28"/>
              </w:rPr>
              <w:t>Coll</w:t>
            </w:r>
            <w:r w:rsidR="00196FFD" w:rsidRPr="00BB7A49">
              <w:rPr>
                <w:szCs w:val="28"/>
              </w:rPr>
              <w:t>. o</w:t>
            </w:r>
            <w:r w:rsidR="00E17651" w:rsidRPr="00570B61">
              <w:rPr>
                <w:szCs w:val="28"/>
              </w:rPr>
              <w:t>n Value Added Tax, as amended, including inter alia the obligation to record the provided bonus in the relevant section of the control statement</w:t>
            </w:r>
            <w:r w:rsidR="00196FFD" w:rsidRPr="00BB7A49">
              <w:rPr>
                <w:szCs w:val="28"/>
              </w:rPr>
              <w:t xml:space="preserve">. </w:t>
            </w:r>
          </w:p>
        </w:tc>
      </w:tr>
      <w:tr w:rsidR="00196FFD" w:rsidRPr="00C86BA8" w14:paraId="4B672BA7" w14:textId="21784482" w:rsidTr="002573E6">
        <w:tc>
          <w:tcPr>
            <w:tcW w:w="2500" w:type="pct"/>
          </w:tcPr>
          <w:p w14:paraId="01F0A161" w14:textId="79B1F73B" w:rsidR="00196FFD" w:rsidRPr="00570B61" w:rsidRDefault="00196FFD" w:rsidP="001D11D5">
            <w:pPr>
              <w:pStyle w:val="Clanek11"/>
              <w:numPr>
                <w:ilvl w:val="1"/>
                <w:numId w:val="19"/>
              </w:numPr>
              <w:tabs>
                <w:tab w:val="left" w:pos="460"/>
              </w:tabs>
              <w:ind w:left="0" w:firstLine="0"/>
            </w:pPr>
            <w:r w:rsidRPr="00BB7A49">
              <w:rPr>
                <w:rFonts w:ascii="Times New Roman" w:hAnsi="Times New Roman" w:cs="Times New Roman"/>
                <w:bCs w:val="0"/>
                <w:iCs w:val="0"/>
              </w:rPr>
              <w:t xml:space="preserve">Žádné ustanovení této Dohody společnosti Gilead nebrání v tom, aby svou povinnost poskytnout Kupujícímu Bonus splnila započtením pohledávek. Společnost Gilead je oprávněna proti jakékoli pohledávce Kupujícího za společností Gilead z titulu nároku na Bonus, a to i proti pohledávce ještě nesplatné, započítat jakoukoli svou pohledávku za Kupujícím, a to i pohledávku ještě nesplatnou. </w:t>
            </w:r>
          </w:p>
        </w:tc>
        <w:tc>
          <w:tcPr>
            <w:tcW w:w="2500" w:type="pct"/>
          </w:tcPr>
          <w:p w14:paraId="076BBE10" w14:textId="65B30FF6" w:rsidR="00196FFD" w:rsidRPr="00BB7A49" w:rsidRDefault="00FD71DF" w:rsidP="00BB7A49">
            <w:pPr>
              <w:pStyle w:val="CMSHeadL3"/>
              <w:numPr>
                <w:ilvl w:val="0"/>
                <w:numId w:val="0"/>
              </w:numPr>
              <w:tabs>
                <w:tab w:val="left" w:pos="460"/>
              </w:tabs>
              <w:spacing w:before="120" w:after="120"/>
              <w:jc w:val="both"/>
            </w:pPr>
            <w:r w:rsidRPr="00570B61">
              <w:rPr>
                <w:szCs w:val="28"/>
              </w:rPr>
              <w:t>3.5</w:t>
            </w:r>
            <w:r w:rsidRPr="00570B61">
              <w:rPr>
                <w:szCs w:val="28"/>
              </w:rPr>
              <w:tab/>
            </w:r>
            <w:r w:rsidR="00693E4D" w:rsidRPr="00570B61">
              <w:rPr>
                <w:szCs w:val="28"/>
              </w:rPr>
              <w:t>Nothing in this Agreement prevents Gilead from fulfilling its obligation to provide Bonus to the Buyer by setting off receivables. Gilead may set off any of its receivables vis-à-vis the Buyer, whether such receivable has matured or not, against any receivable of the Buyer vis-à-vis Gilead based on a claim for the Bonus, whether such receivable has matured or not</w:t>
            </w:r>
            <w:r w:rsidR="00196FFD" w:rsidRPr="00BB7A49">
              <w:rPr>
                <w:szCs w:val="28"/>
              </w:rPr>
              <w:t>.</w:t>
            </w:r>
          </w:p>
        </w:tc>
      </w:tr>
      <w:tr w:rsidR="00196FFD" w:rsidRPr="00C86BA8" w14:paraId="727774BF" w14:textId="77777777" w:rsidTr="002573E6">
        <w:tc>
          <w:tcPr>
            <w:tcW w:w="2500" w:type="pct"/>
          </w:tcPr>
          <w:p w14:paraId="72A43E64" w14:textId="77777777" w:rsidR="00196FFD" w:rsidRPr="00D32FAB" w:rsidRDefault="00196FFD" w:rsidP="001D11D5">
            <w:pPr>
              <w:pStyle w:val="Clanek11"/>
              <w:numPr>
                <w:ilvl w:val="1"/>
                <w:numId w:val="19"/>
              </w:numPr>
              <w:tabs>
                <w:tab w:val="left" w:pos="426"/>
              </w:tabs>
              <w:ind w:left="0" w:firstLine="0"/>
            </w:pPr>
            <w:r w:rsidRPr="00BB7A49">
              <w:rPr>
                <w:rFonts w:ascii="Times New Roman" w:hAnsi="Times New Roman" w:cs="Times New Roman"/>
                <w:bCs w:val="0"/>
                <w:iCs w:val="0"/>
              </w:rPr>
              <w:t>Jestliže společnost Gilead poskytne Kupujícímu Bonus bankovním převodem, pak tak učiní na bankovní účet Kupujícího, který jí Kupující pro tento účel sdělí. Kupující prohlašuje, že tento účet je řádně veden u správce daně a odpovídá za újmu, která může společnosti Gilead vzniknout v souvislosti s tím, že se toto prohlášení ukáže jako nepravdivé.</w:t>
            </w:r>
          </w:p>
          <w:p w14:paraId="50028D35" w14:textId="7DD2507F" w:rsidR="006256FA" w:rsidRPr="00C35011" w:rsidRDefault="006256FA" w:rsidP="008313AB">
            <w:pPr>
              <w:pStyle w:val="Odstavecseseznamem"/>
              <w:numPr>
                <w:ilvl w:val="1"/>
                <w:numId w:val="19"/>
              </w:numPr>
              <w:ind w:left="0" w:firstLine="0"/>
              <w:jc w:val="both"/>
              <w:rPr>
                <w:lang w:val="cs-CZ"/>
              </w:rPr>
            </w:pPr>
            <w:r w:rsidRPr="006256FA">
              <w:rPr>
                <w:rFonts w:ascii="Imago" w:hAnsi="Imago" w:cs="Arial"/>
                <w:bCs/>
                <w:iCs/>
                <w:szCs w:val="28"/>
                <w:lang w:val="cs-CZ"/>
              </w:rPr>
              <w:t xml:space="preserve">Postoupení peněžitých pohledávek </w:t>
            </w:r>
            <w:r w:rsidR="00D32FAB">
              <w:rPr>
                <w:rFonts w:ascii="Imago" w:hAnsi="Imago" w:cs="Arial"/>
                <w:bCs/>
                <w:iCs/>
                <w:szCs w:val="28"/>
                <w:lang w:val="cs-CZ"/>
              </w:rPr>
              <w:t xml:space="preserve">společnosti </w:t>
            </w:r>
            <w:r>
              <w:rPr>
                <w:rFonts w:ascii="Imago" w:hAnsi="Imago" w:cs="Arial"/>
                <w:bCs/>
                <w:iCs/>
                <w:szCs w:val="28"/>
                <w:lang w:val="cs-CZ"/>
              </w:rPr>
              <w:t>Gilead za K</w:t>
            </w:r>
            <w:r w:rsidRPr="006256FA">
              <w:rPr>
                <w:rFonts w:ascii="Imago" w:hAnsi="Imago" w:cs="Arial"/>
                <w:bCs/>
                <w:iCs/>
                <w:szCs w:val="28"/>
                <w:lang w:val="cs-CZ"/>
              </w:rPr>
              <w:t xml:space="preserve">upujícím, vzniklých v souvislosti s touto </w:t>
            </w:r>
            <w:r>
              <w:rPr>
                <w:rFonts w:ascii="Imago" w:hAnsi="Imago" w:cs="Arial"/>
                <w:bCs/>
                <w:iCs/>
                <w:szCs w:val="28"/>
                <w:lang w:val="cs-CZ"/>
              </w:rPr>
              <w:t>Dohodou</w:t>
            </w:r>
            <w:r w:rsidRPr="006256FA">
              <w:rPr>
                <w:rFonts w:ascii="Imago" w:hAnsi="Imago" w:cs="Arial"/>
                <w:bCs/>
                <w:iCs/>
                <w:szCs w:val="28"/>
                <w:lang w:val="cs-CZ"/>
              </w:rPr>
              <w:t xml:space="preserve">, třetí osobě je nepřípustné bez </w:t>
            </w:r>
            <w:r>
              <w:rPr>
                <w:rFonts w:ascii="Imago" w:hAnsi="Imago" w:cs="Arial"/>
                <w:bCs/>
                <w:iCs/>
                <w:szCs w:val="28"/>
                <w:lang w:val="cs-CZ"/>
              </w:rPr>
              <w:t xml:space="preserve">předchozího písemného souhlasu </w:t>
            </w:r>
            <w:r w:rsidR="00040209">
              <w:rPr>
                <w:rFonts w:ascii="Imago" w:hAnsi="Imago" w:cs="Arial"/>
                <w:bCs/>
                <w:iCs/>
                <w:szCs w:val="28"/>
                <w:lang w:val="cs-CZ"/>
              </w:rPr>
              <w:t>K</w:t>
            </w:r>
            <w:r w:rsidRPr="006256FA">
              <w:rPr>
                <w:rFonts w:ascii="Imago" w:hAnsi="Imago" w:cs="Arial"/>
                <w:bCs/>
                <w:iCs/>
                <w:szCs w:val="28"/>
                <w:lang w:val="cs-CZ"/>
              </w:rPr>
              <w:t>upujícího.</w:t>
            </w:r>
          </w:p>
        </w:tc>
        <w:tc>
          <w:tcPr>
            <w:tcW w:w="2500" w:type="pct"/>
          </w:tcPr>
          <w:p w14:paraId="174CEF2B" w14:textId="086708FC" w:rsidR="00196FFD" w:rsidRDefault="00FD71DF" w:rsidP="00BB7A49">
            <w:pPr>
              <w:pStyle w:val="CMSHeadL3"/>
              <w:numPr>
                <w:ilvl w:val="0"/>
                <w:numId w:val="0"/>
              </w:numPr>
              <w:tabs>
                <w:tab w:val="left" w:pos="460"/>
              </w:tabs>
              <w:spacing w:before="120" w:after="120"/>
              <w:jc w:val="both"/>
              <w:rPr>
                <w:szCs w:val="28"/>
              </w:rPr>
            </w:pPr>
            <w:r w:rsidRPr="00570B61">
              <w:rPr>
                <w:szCs w:val="28"/>
              </w:rPr>
              <w:t>3.</w:t>
            </w:r>
            <w:r w:rsidR="00D32FAB">
              <w:rPr>
                <w:szCs w:val="28"/>
              </w:rPr>
              <w:t>5</w:t>
            </w:r>
            <w:r w:rsidRPr="00570B61">
              <w:rPr>
                <w:szCs w:val="28"/>
              </w:rPr>
              <w:tab/>
            </w:r>
            <w:r w:rsidR="00693E4D" w:rsidRPr="00570B61">
              <w:rPr>
                <w:szCs w:val="28"/>
              </w:rPr>
              <w:t xml:space="preserve">If </w:t>
            </w:r>
            <w:r w:rsidR="00196FFD" w:rsidRPr="00BB7A49">
              <w:rPr>
                <w:szCs w:val="28"/>
              </w:rPr>
              <w:t xml:space="preserve">Gilead </w:t>
            </w:r>
            <w:r w:rsidR="00693E4D" w:rsidRPr="00570B61">
              <w:rPr>
                <w:szCs w:val="28"/>
              </w:rPr>
              <w:t xml:space="preserve">provides the Bonus to the Buyer by bank transfer, the Bonus will be transferred to the Buyer’s bank account to be indicated by the Buyer to Gilead for that purpose. The Buyer declares that such account is properly recorded with the tax </w:t>
            </w:r>
            <w:proofErr w:type="gramStart"/>
            <w:r w:rsidR="00693E4D" w:rsidRPr="00570B61">
              <w:rPr>
                <w:szCs w:val="28"/>
              </w:rPr>
              <w:t>authority, and</w:t>
            </w:r>
            <w:proofErr w:type="gramEnd"/>
            <w:r w:rsidR="00693E4D" w:rsidRPr="00570B61">
              <w:rPr>
                <w:szCs w:val="28"/>
              </w:rPr>
              <w:t xml:space="preserve"> will be held liable for any loss that may be caused to Gilead if this declaration </w:t>
            </w:r>
            <w:r w:rsidR="00570B61">
              <w:rPr>
                <w:szCs w:val="28"/>
              </w:rPr>
              <w:t>i</w:t>
            </w:r>
            <w:r w:rsidR="00693E4D" w:rsidRPr="00570B61">
              <w:rPr>
                <w:szCs w:val="28"/>
              </w:rPr>
              <w:t>s found to be false</w:t>
            </w:r>
            <w:r w:rsidR="00196FFD" w:rsidRPr="00BB7A49">
              <w:rPr>
                <w:szCs w:val="28"/>
              </w:rPr>
              <w:t>.</w:t>
            </w:r>
          </w:p>
          <w:p w14:paraId="0CF01C39" w14:textId="0EE0F332" w:rsidR="00D32FAB" w:rsidRPr="00BB7A49" w:rsidRDefault="00D32FAB" w:rsidP="00BB7A49">
            <w:pPr>
              <w:pStyle w:val="CMSHeadL3"/>
              <w:numPr>
                <w:ilvl w:val="0"/>
                <w:numId w:val="0"/>
              </w:numPr>
              <w:tabs>
                <w:tab w:val="left" w:pos="460"/>
              </w:tabs>
              <w:spacing w:before="120" w:after="120"/>
              <w:jc w:val="both"/>
            </w:pPr>
            <w:r>
              <w:t xml:space="preserve">3.6 </w:t>
            </w:r>
            <w:r w:rsidRPr="00D32FAB">
              <w:t xml:space="preserve">The assignment of </w:t>
            </w:r>
            <w:r>
              <w:t xml:space="preserve">Gilead’s </w:t>
            </w:r>
            <w:r w:rsidRPr="00D32FAB">
              <w:t>monetary receivables from the Buyer, arising in connection with this Agreement, to a third party is inadmissible without the prior written consent of the Buyer.</w:t>
            </w:r>
          </w:p>
        </w:tc>
      </w:tr>
      <w:tr w:rsidR="00D57569" w:rsidRPr="00B21502" w14:paraId="673F130D" w14:textId="77777777" w:rsidTr="002573E6">
        <w:tc>
          <w:tcPr>
            <w:tcW w:w="2500" w:type="pct"/>
          </w:tcPr>
          <w:p w14:paraId="6BC6AC82" w14:textId="77777777" w:rsidR="00D57569" w:rsidRPr="00BB7A49" w:rsidRDefault="00D57569" w:rsidP="001D11D5">
            <w:pPr>
              <w:pStyle w:val="CMSHeadL3"/>
              <w:numPr>
                <w:ilvl w:val="0"/>
                <w:numId w:val="19"/>
              </w:numPr>
              <w:tabs>
                <w:tab w:val="left" w:pos="284"/>
              </w:tabs>
              <w:spacing w:before="240"/>
              <w:ind w:left="284" w:hanging="284"/>
              <w:jc w:val="both"/>
              <w:rPr>
                <w:b/>
                <w:lang w:val="cs-CZ"/>
              </w:rPr>
            </w:pPr>
            <w:r w:rsidRPr="00BB7A49">
              <w:rPr>
                <w:b/>
                <w:lang w:val="cs-CZ"/>
              </w:rPr>
              <w:t>Soulad s právními předpisy</w:t>
            </w:r>
          </w:p>
        </w:tc>
        <w:tc>
          <w:tcPr>
            <w:tcW w:w="2500" w:type="pct"/>
          </w:tcPr>
          <w:p w14:paraId="3FD4F16F" w14:textId="77777777" w:rsidR="00D57569" w:rsidRPr="00BB7A49" w:rsidRDefault="00C404DC" w:rsidP="00BB7A49">
            <w:pPr>
              <w:pStyle w:val="CMSHeadL3"/>
              <w:numPr>
                <w:ilvl w:val="0"/>
                <w:numId w:val="0"/>
              </w:numPr>
              <w:tabs>
                <w:tab w:val="left" w:pos="318"/>
              </w:tabs>
              <w:spacing w:before="240"/>
              <w:jc w:val="both"/>
              <w:rPr>
                <w:b/>
              </w:rPr>
            </w:pPr>
            <w:r w:rsidRPr="00BB7A49">
              <w:rPr>
                <w:b/>
              </w:rPr>
              <w:t>4.</w:t>
            </w:r>
            <w:r w:rsidRPr="00BB7A49">
              <w:rPr>
                <w:b/>
              </w:rPr>
              <w:tab/>
              <w:t>Compliance with Laws</w:t>
            </w:r>
          </w:p>
        </w:tc>
      </w:tr>
      <w:tr w:rsidR="00F16B55" w:rsidRPr="00C86BA8" w14:paraId="52889442" w14:textId="77777777" w:rsidTr="002573E6">
        <w:tc>
          <w:tcPr>
            <w:tcW w:w="2500" w:type="pct"/>
          </w:tcPr>
          <w:p w14:paraId="79CAD0DB" w14:textId="29F0960B" w:rsidR="00F16B55" w:rsidRPr="00BB7A49" w:rsidRDefault="00F16B55" w:rsidP="00BB7A49">
            <w:pPr>
              <w:pStyle w:val="Clanek11"/>
              <w:tabs>
                <w:tab w:val="clear" w:pos="567"/>
              </w:tabs>
              <w:ind w:left="0" w:firstLine="0"/>
            </w:pPr>
            <w:r w:rsidRPr="00BB7A49">
              <w:rPr>
                <w:rFonts w:ascii="Times New Roman" w:hAnsi="Times New Roman" w:cs="Times New Roman"/>
              </w:rPr>
              <w:t>4.1</w:t>
            </w:r>
            <w:r w:rsidRPr="00BB7A49">
              <w:t xml:space="preserve"> </w:t>
            </w:r>
            <w:bookmarkStart w:id="9" w:name="_Ref490037975"/>
            <w:r w:rsidR="00C86BA8" w:rsidRPr="00BB7A49">
              <w:rPr>
                <w:rFonts w:ascii="Times New Roman" w:hAnsi="Times New Roman" w:cs="Times New Roman"/>
              </w:rPr>
              <w:t>Strany se zavazují při plnění této Dohody a v jakékoli souvislosti s ním postupovat vždy v souladu s právními předpisy, zejména (vždy ve znění pozdějších předpisů) se zákonem č. 40/1995 Sb., o regulaci reklamy</w:t>
            </w:r>
            <w:r w:rsidR="002D63C2">
              <w:rPr>
                <w:rFonts w:ascii="Times New Roman" w:hAnsi="Times New Roman" w:cs="Times New Roman"/>
              </w:rPr>
              <w:t>, v platném znění</w:t>
            </w:r>
            <w:r w:rsidR="00C86BA8" w:rsidRPr="00BB7A49">
              <w:rPr>
                <w:rFonts w:ascii="Times New Roman" w:hAnsi="Times New Roman" w:cs="Times New Roman"/>
              </w:rPr>
              <w:t>; zákonem č. 143/2001 Sb., o ochraně hospodářské soutěže</w:t>
            </w:r>
            <w:r w:rsidR="00701139">
              <w:rPr>
                <w:rFonts w:ascii="Times New Roman" w:hAnsi="Times New Roman" w:cs="Times New Roman"/>
              </w:rPr>
              <w:t>, v platném znění</w:t>
            </w:r>
            <w:r w:rsidR="00C86BA8" w:rsidRPr="00BB7A49">
              <w:rPr>
                <w:rFonts w:ascii="Times New Roman" w:hAnsi="Times New Roman" w:cs="Times New Roman"/>
              </w:rPr>
              <w:t>; Smlouvou o fungování Evropské Unie, zejména s jejími články 101 a 102; zákonem č. 378/2007 Sb., o léčivech</w:t>
            </w:r>
            <w:r w:rsidR="00286FE8">
              <w:rPr>
                <w:rFonts w:ascii="Times New Roman" w:hAnsi="Times New Roman" w:cs="Times New Roman"/>
              </w:rPr>
              <w:t>, v platném znění</w:t>
            </w:r>
            <w:r w:rsidR="00C86BA8" w:rsidRPr="00BB7A49">
              <w:rPr>
                <w:rFonts w:ascii="Times New Roman" w:hAnsi="Times New Roman" w:cs="Times New Roman"/>
              </w:rPr>
              <w:t>; zákonem č. 48/1997 Sb., o veřejném zdravotním pojištění</w:t>
            </w:r>
            <w:r w:rsidR="00286FE8">
              <w:rPr>
                <w:rFonts w:ascii="Times New Roman" w:hAnsi="Times New Roman" w:cs="Times New Roman"/>
              </w:rPr>
              <w:t>, v platném znění</w:t>
            </w:r>
            <w:r w:rsidR="00C86BA8" w:rsidRPr="00BB7A49">
              <w:rPr>
                <w:rFonts w:ascii="Times New Roman" w:hAnsi="Times New Roman" w:cs="Times New Roman"/>
              </w:rPr>
              <w:t>; zákonem č. 372/2011 Sb., o  zdravotních službách</w:t>
            </w:r>
            <w:r w:rsidR="00286FE8">
              <w:rPr>
                <w:rFonts w:ascii="Times New Roman" w:hAnsi="Times New Roman" w:cs="Times New Roman"/>
              </w:rPr>
              <w:t>, v platném znění</w:t>
            </w:r>
            <w:r w:rsidR="00C86BA8" w:rsidRPr="00BB7A49">
              <w:rPr>
                <w:rFonts w:ascii="Times New Roman" w:hAnsi="Times New Roman" w:cs="Times New Roman"/>
              </w:rPr>
              <w:t>; zákonem č. 235/2004 Sb., o dani z přidané hodnoty</w:t>
            </w:r>
            <w:r w:rsidR="00286FE8">
              <w:rPr>
                <w:rFonts w:ascii="Times New Roman" w:hAnsi="Times New Roman" w:cs="Times New Roman"/>
              </w:rPr>
              <w:t>, v platném znění</w:t>
            </w:r>
            <w:r w:rsidR="00C86BA8" w:rsidRPr="00BB7A49">
              <w:rPr>
                <w:rFonts w:ascii="Times New Roman" w:hAnsi="Times New Roman" w:cs="Times New Roman"/>
              </w:rPr>
              <w:t xml:space="preserve">; zákonem č. 526/1990 </w:t>
            </w:r>
            <w:r w:rsidR="00C86BA8" w:rsidRPr="00BB7A49">
              <w:rPr>
                <w:rFonts w:ascii="Times New Roman" w:hAnsi="Times New Roman" w:cs="Times New Roman"/>
              </w:rPr>
              <w:lastRenderedPageBreak/>
              <w:t>Sb., o cenách</w:t>
            </w:r>
            <w:r w:rsidR="00286FE8">
              <w:rPr>
                <w:rFonts w:ascii="Times New Roman" w:hAnsi="Times New Roman" w:cs="Times New Roman"/>
              </w:rPr>
              <w:t xml:space="preserve">, v platném znění </w:t>
            </w:r>
            <w:r w:rsidR="00C86BA8" w:rsidRPr="00BB7A49">
              <w:rPr>
                <w:rFonts w:ascii="Times New Roman" w:hAnsi="Times New Roman" w:cs="Times New Roman"/>
              </w:rPr>
              <w:t xml:space="preserve"> a v souladu s příslušnými cenovými předpisy.</w:t>
            </w:r>
            <w:bookmarkEnd w:id="9"/>
            <w:r w:rsidR="00C86BA8" w:rsidRPr="00BB7A49">
              <w:rPr>
                <w:rFonts w:ascii="Times New Roman" w:hAnsi="Times New Roman" w:cs="Times New Roman"/>
              </w:rPr>
              <w:t xml:space="preserve"> Strany s ohledem na vzájemný obchodní vztah činí nesporným, že Bonus poskytovaný na základě této Dohody je bonusem neadresným ve smyslu příkazu ministra zdravotnictví pro přímo řízené organizace č. 13/2018.</w:t>
            </w:r>
          </w:p>
        </w:tc>
        <w:tc>
          <w:tcPr>
            <w:tcW w:w="2500" w:type="pct"/>
          </w:tcPr>
          <w:p w14:paraId="74BB5A6A" w14:textId="200EEC56" w:rsidR="00F16B55" w:rsidRPr="00BB7A49" w:rsidRDefault="00C404DC" w:rsidP="00BB7A49">
            <w:pPr>
              <w:pStyle w:val="CMSHeadL3"/>
              <w:numPr>
                <w:ilvl w:val="0"/>
                <w:numId w:val="0"/>
              </w:numPr>
              <w:tabs>
                <w:tab w:val="left" w:pos="460"/>
              </w:tabs>
              <w:spacing w:before="120" w:after="120"/>
              <w:jc w:val="both"/>
            </w:pPr>
            <w:r w:rsidRPr="00BB7A49">
              <w:rPr>
                <w:szCs w:val="28"/>
              </w:rPr>
              <w:lastRenderedPageBreak/>
              <w:t>4.1</w:t>
            </w:r>
            <w:r w:rsidRPr="00BB7A49">
              <w:rPr>
                <w:szCs w:val="28"/>
              </w:rPr>
              <w:tab/>
            </w:r>
            <w:r w:rsidRPr="00570B61">
              <w:rPr>
                <w:szCs w:val="28"/>
              </w:rPr>
              <w:t>The Parties agree, while performing this Agreement and in connection with such performance, to always proceed in compliance with applicable laws, in particular with (as amended from time to time) Act no</w:t>
            </w:r>
            <w:r w:rsidRPr="00BB7A49">
              <w:rPr>
                <w:szCs w:val="28"/>
              </w:rPr>
              <w:t xml:space="preserve">. 40/1995 </w:t>
            </w:r>
            <w:r w:rsidR="000C2C88">
              <w:rPr>
                <w:szCs w:val="28"/>
              </w:rPr>
              <w:t>Coll</w:t>
            </w:r>
            <w:r w:rsidRPr="00BB7A49">
              <w:rPr>
                <w:szCs w:val="28"/>
              </w:rPr>
              <w:t>.</w:t>
            </w:r>
            <w:r w:rsidRPr="00570B61">
              <w:rPr>
                <w:szCs w:val="28"/>
              </w:rPr>
              <w:t xml:space="preserve"> on regulation of advertising</w:t>
            </w:r>
            <w:r w:rsidR="00F269EC">
              <w:rPr>
                <w:szCs w:val="28"/>
              </w:rPr>
              <w:t>, as amended</w:t>
            </w:r>
            <w:r w:rsidRPr="00570B61">
              <w:rPr>
                <w:szCs w:val="28"/>
              </w:rPr>
              <w:t>; Act no</w:t>
            </w:r>
            <w:r w:rsidRPr="00BB7A49">
              <w:rPr>
                <w:szCs w:val="28"/>
              </w:rPr>
              <w:t xml:space="preserve">. 143/2001 </w:t>
            </w:r>
            <w:r w:rsidR="000C2C88">
              <w:rPr>
                <w:szCs w:val="28"/>
              </w:rPr>
              <w:t>Coll</w:t>
            </w:r>
            <w:r w:rsidRPr="00BB7A49">
              <w:rPr>
                <w:szCs w:val="28"/>
              </w:rPr>
              <w:t>.</w:t>
            </w:r>
            <w:r w:rsidRPr="00570B61">
              <w:rPr>
                <w:szCs w:val="28"/>
              </w:rPr>
              <w:t xml:space="preserve"> on the protection of competition</w:t>
            </w:r>
            <w:r w:rsidR="00F269EC">
              <w:rPr>
                <w:szCs w:val="28"/>
              </w:rPr>
              <w:t>, as amended</w:t>
            </w:r>
            <w:r w:rsidRPr="00570B61">
              <w:rPr>
                <w:szCs w:val="28"/>
              </w:rPr>
              <w:t xml:space="preserve">; the Treaty on the Functioning of the </w:t>
            </w:r>
            <w:r w:rsidRPr="00BB7A49">
              <w:rPr>
                <w:szCs w:val="28"/>
              </w:rPr>
              <w:t>E</w:t>
            </w:r>
            <w:r w:rsidRPr="00570B61">
              <w:rPr>
                <w:szCs w:val="28"/>
              </w:rPr>
              <w:t>u</w:t>
            </w:r>
            <w:r w:rsidRPr="00BB7A49">
              <w:rPr>
                <w:szCs w:val="28"/>
              </w:rPr>
              <w:t>rop</w:t>
            </w:r>
            <w:r w:rsidRPr="00570B61">
              <w:rPr>
                <w:szCs w:val="28"/>
              </w:rPr>
              <w:t xml:space="preserve">ean </w:t>
            </w:r>
            <w:r w:rsidRPr="00BB7A49">
              <w:rPr>
                <w:szCs w:val="28"/>
              </w:rPr>
              <w:t>Uni</w:t>
            </w:r>
            <w:r w:rsidRPr="00570B61">
              <w:rPr>
                <w:szCs w:val="28"/>
              </w:rPr>
              <w:t>on</w:t>
            </w:r>
            <w:r w:rsidRPr="00BB7A49">
              <w:rPr>
                <w:szCs w:val="28"/>
              </w:rPr>
              <w:t xml:space="preserve">, </w:t>
            </w:r>
            <w:r w:rsidRPr="00570B61">
              <w:rPr>
                <w:szCs w:val="28"/>
              </w:rPr>
              <w:t xml:space="preserve">in particular its Articles </w:t>
            </w:r>
            <w:r w:rsidRPr="00BB7A49">
              <w:rPr>
                <w:szCs w:val="28"/>
              </w:rPr>
              <w:t>101 a</w:t>
            </w:r>
            <w:r w:rsidRPr="00570B61">
              <w:rPr>
                <w:szCs w:val="28"/>
              </w:rPr>
              <w:t>nd</w:t>
            </w:r>
            <w:r w:rsidRPr="00BB7A49">
              <w:rPr>
                <w:szCs w:val="28"/>
              </w:rPr>
              <w:t xml:space="preserve"> 102; </w:t>
            </w:r>
            <w:r w:rsidRPr="00570B61">
              <w:rPr>
                <w:szCs w:val="28"/>
              </w:rPr>
              <w:t>Act no</w:t>
            </w:r>
            <w:r w:rsidRPr="00BB7A49">
              <w:rPr>
                <w:szCs w:val="28"/>
              </w:rPr>
              <w:t xml:space="preserve">. 378/2007 </w:t>
            </w:r>
            <w:r w:rsidR="000C2C88">
              <w:rPr>
                <w:szCs w:val="28"/>
              </w:rPr>
              <w:t>Coll</w:t>
            </w:r>
            <w:r w:rsidRPr="00BB7A49">
              <w:rPr>
                <w:szCs w:val="28"/>
              </w:rPr>
              <w:t>. o</w:t>
            </w:r>
            <w:r w:rsidRPr="00570B61">
              <w:rPr>
                <w:szCs w:val="28"/>
              </w:rPr>
              <w:t>n medicinal products</w:t>
            </w:r>
            <w:r w:rsidR="00F269EC">
              <w:rPr>
                <w:szCs w:val="28"/>
              </w:rPr>
              <w:t>, as amended</w:t>
            </w:r>
            <w:r w:rsidRPr="00BB7A49">
              <w:rPr>
                <w:szCs w:val="28"/>
              </w:rPr>
              <w:t xml:space="preserve">; </w:t>
            </w:r>
            <w:r w:rsidRPr="00570B61">
              <w:rPr>
                <w:szCs w:val="28"/>
              </w:rPr>
              <w:t>Act no</w:t>
            </w:r>
            <w:r w:rsidRPr="00BB7A49">
              <w:rPr>
                <w:szCs w:val="28"/>
              </w:rPr>
              <w:t xml:space="preserve">. 48/1997 </w:t>
            </w:r>
            <w:r w:rsidR="000C2C88">
              <w:rPr>
                <w:szCs w:val="28"/>
              </w:rPr>
              <w:t>Coll</w:t>
            </w:r>
            <w:r w:rsidRPr="00BB7A49">
              <w:rPr>
                <w:szCs w:val="28"/>
              </w:rPr>
              <w:t>. o</w:t>
            </w:r>
            <w:r w:rsidRPr="00570B61">
              <w:rPr>
                <w:szCs w:val="28"/>
              </w:rPr>
              <w:t>n public health insurance</w:t>
            </w:r>
            <w:r w:rsidR="00F269EC">
              <w:rPr>
                <w:szCs w:val="28"/>
              </w:rPr>
              <w:t>, as amended</w:t>
            </w:r>
            <w:r w:rsidRPr="00BB7A49">
              <w:rPr>
                <w:szCs w:val="28"/>
              </w:rPr>
              <w:t xml:space="preserve">; </w:t>
            </w:r>
            <w:r w:rsidRPr="00570B61">
              <w:rPr>
                <w:szCs w:val="28"/>
              </w:rPr>
              <w:t>Act no</w:t>
            </w:r>
            <w:r w:rsidRPr="00BB7A49">
              <w:rPr>
                <w:szCs w:val="28"/>
              </w:rPr>
              <w:t xml:space="preserve">. 372/2011 </w:t>
            </w:r>
            <w:r w:rsidR="000C2C88">
              <w:rPr>
                <w:szCs w:val="28"/>
              </w:rPr>
              <w:t>Coll</w:t>
            </w:r>
            <w:r w:rsidRPr="00BB7A49">
              <w:rPr>
                <w:szCs w:val="28"/>
              </w:rPr>
              <w:t>. o</w:t>
            </w:r>
            <w:r w:rsidRPr="00570B61">
              <w:rPr>
                <w:szCs w:val="28"/>
              </w:rPr>
              <w:t>n healthcare services</w:t>
            </w:r>
            <w:r w:rsidR="00F269EC">
              <w:rPr>
                <w:szCs w:val="28"/>
              </w:rPr>
              <w:t>, as amended</w:t>
            </w:r>
            <w:r w:rsidRPr="00570B61">
              <w:rPr>
                <w:szCs w:val="28"/>
              </w:rPr>
              <w:t>; Act no</w:t>
            </w:r>
            <w:r w:rsidRPr="00BB7A49">
              <w:rPr>
                <w:szCs w:val="28"/>
              </w:rPr>
              <w:t xml:space="preserve">. 235/2004 </w:t>
            </w:r>
            <w:r w:rsidR="000C2C88">
              <w:rPr>
                <w:szCs w:val="28"/>
              </w:rPr>
              <w:t>Coll</w:t>
            </w:r>
            <w:r w:rsidRPr="00BB7A49">
              <w:rPr>
                <w:szCs w:val="28"/>
              </w:rPr>
              <w:t>.</w:t>
            </w:r>
            <w:r w:rsidRPr="00570B61">
              <w:rPr>
                <w:szCs w:val="28"/>
              </w:rPr>
              <w:t xml:space="preserve"> on Value Added Tax</w:t>
            </w:r>
            <w:r w:rsidR="00F269EC">
              <w:rPr>
                <w:szCs w:val="28"/>
              </w:rPr>
              <w:t>, as amended</w:t>
            </w:r>
            <w:r w:rsidRPr="00BB7A49">
              <w:rPr>
                <w:szCs w:val="28"/>
              </w:rPr>
              <w:t xml:space="preserve">; </w:t>
            </w:r>
            <w:r w:rsidRPr="00570B61">
              <w:rPr>
                <w:szCs w:val="28"/>
              </w:rPr>
              <w:t xml:space="preserve">Act </w:t>
            </w:r>
            <w:r w:rsidRPr="00570B61">
              <w:rPr>
                <w:szCs w:val="28"/>
              </w:rPr>
              <w:lastRenderedPageBreak/>
              <w:t>no</w:t>
            </w:r>
            <w:r w:rsidRPr="00BB7A49">
              <w:rPr>
                <w:szCs w:val="28"/>
              </w:rPr>
              <w:t xml:space="preserve">. 526/1990 </w:t>
            </w:r>
            <w:r w:rsidR="000C2C88">
              <w:rPr>
                <w:szCs w:val="28"/>
              </w:rPr>
              <w:t>Coll</w:t>
            </w:r>
            <w:r w:rsidRPr="00BB7A49">
              <w:rPr>
                <w:szCs w:val="28"/>
              </w:rPr>
              <w:t>. o</w:t>
            </w:r>
            <w:r w:rsidRPr="00570B61">
              <w:rPr>
                <w:szCs w:val="28"/>
              </w:rPr>
              <w:t>n prices</w:t>
            </w:r>
            <w:r w:rsidR="00F269EC">
              <w:rPr>
                <w:szCs w:val="28"/>
              </w:rPr>
              <w:t>, as amended</w:t>
            </w:r>
            <w:r w:rsidRPr="00570B61">
              <w:rPr>
                <w:szCs w:val="28"/>
              </w:rPr>
              <w:t>; and in compliance with applicable pricing regulations</w:t>
            </w:r>
            <w:r w:rsidRPr="00BB7A49">
              <w:rPr>
                <w:szCs w:val="28"/>
              </w:rPr>
              <w:t xml:space="preserve">. </w:t>
            </w:r>
            <w:proofErr w:type="gramStart"/>
            <w:r w:rsidRPr="00570B61">
              <w:rPr>
                <w:szCs w:val="28"/>
              </w:rPr>
              <w:t>With regard to</w:t>
            </w:r>
            <w:proofErr w:type="gramEnd"/>
            <w:r w:rsidRPr="00570B61">
              <w:rPr>
                <w:szCs w:val="28"/>
              </w:rPr>
              <w:t xml:space="preserve"> their mutual business relationship, the Parties unambiguously acknowledge that the </w:t>
            </w:r>
            <w:r w:rsidRPr="00BB7A49">
              <w:rPr>
                <w:szCs w:val="28"/>
              </w:rPr>
              <w:t xml:space="preserve">Bonus </w:t>
            </w:r>
            <w:r w:rsidRPr="00570B61">
              <w:rPr>
                <w:szCs w:val="28"/>
              </w:rPr>
              <w:t>provided under this Agreement is an unaddressed bonus within the meaning of Order no. 13/2018 of the Minister of Health for directly managed organisations</w:t>
            </w:r>
            <w:r w:rsidRPr="00BB7A49">
              <w:rPr>
                <w:szCs w:val="28"/>
              </w:rPr>
              <w:t>.</w:t>
            </w:r>
          </w:p>
        </w:tc>
      </w:tr>
      <w:tr w:rsidR="007E4669" w:rsidRPr="00B71B0D" w14:paraId="1B84DBD5" w14:textId="77777777" w:rsidTr="002573E6">
        <w:tc>
          <w:tcPr>
            <w:tcW w:w="2500" w:type="pct"/>
          </w:tcPr>
          <w:p w14:paraId="5CAC9CA3" w14:textId="77777777" w:rsidR="007E4669" w:rsidRPr="00570B61" w:rsidRDefault="00D57569" w:rsidP="00BB7A49">
            <w:pPr>
              <w:pStyle w:val="CMSHeadL3"/>
              <w:numPr>
                <w:ilvl w:val="0"/>
                <w:numId w:val="0"/>
              </w:numPr>
              <w:tabs>
                <w:tab w:val="left" w:pos="426"/>
              </w:tabs>
              <w:spacing w:before="120" w:after="120"/>
              <w:jc w:val="both"/>
              <w:rPr>
                <w:lang w:val="cs-CZ"/>
              </w:rPr>
            </w:pPr>
            <w:r w:rsidRPr="00570B61">
              <w:rPr>
                <w:lang w:val="cs-CZ"/>
              </w:rPr>
              <w:lastRenderedPageBreak/>
              <w:t>4.</w:t>
            </w:r>
            <w:r w:rsidR="002E0B11" w:rsidRPr="00570B61">
              <w:rPr>
                <w:lang w:val="cs-CZ"/>
              </w:rPr>
              <w:t>2</w:t>
            </w:r>
            <w:r w:rsidRPr="00570B61">
              <w:rPr>
                <w:lang w:val="cs-CZ"/>
              </w:rPr>
              <w:t xml:space="preserve"> </w:t>
            </w:r>
            <w:r w:rsidR="007E4669" w:rsidRPr="00570B61">
              <w:rPr>
                <w:lang w:val="cs-CZ"/>
              </w:rPr>
              <w:t xml:space="preserve">Kupující se zavazuje řádně splnit veškeré své povinnosti, které je v souvislosti s poskytnutím Bonusu povinen splnit, ať už jsou </w:t>
            </w:r>
            <w:r w:rsidR="007B7A4D" w:rsidRPr="00570B61">
              <w:rPr>
                <w:lang w:val="cs-CZ"/>
              </w:rPr>
              <w:t>mu</w:t>
            </w:r>
            <w:r w:rsidR="007E4669" w:rsidRPr="00570B61">
              <w:rPr>
                <w:lang w:val="cs-CZ"/>
              </w:rPr>
              <w:t xml:space="preserve"> tyto povinnosti uloženy právním předpisem, jiným předpisem, nařízením, příkazem, pravidlem či pokynem, jimiž je Kupující povinen se řídit, nebo </w:t>
            </w:r>
            <w:r w:rsidR="009E7DBC">
              <w:rPr>
                <w:lang w:val="cs-CZ"/>
              </w:rPr>
              <w:t>smlouvou</w:t>
            </w:r>
            <w:r w:rsidR="007E4669" w:rsidRPr="00570B61">
              <w:rPr>
                <w:lang w:val="cs-CZ"/>
              </w:rPr>
              <w:t>.</w:t>
            </w:r>
          </w:p>
        </w:tc>
        <w:tc>
          <w:tcPr>
            <w:tcW w:w="2500" w:type="pct"/>
          </w:tcPr>
          <w:p w14:paraId="6502124C" w14:textId="77777777" w:rsidR="007E4669" w:rsidRPr="00BB7A49" w:rsidRDefault="007B7A4D" w:rsidP="00BB7A49">
            <w:pPr>
              <w:pStyle w:val="CMSHeadL3"/>
              <w:numPr>
                <w:ilvl w:val="0"/>
                <w:numId w:val="0"/>
              </w:numPr>
              <w:tabs>
                <w:tab w:val="left" w:pos="460"/>
              </w:tabs>
              <w:spacing w:before="120" w:after="120"/>
              <w:jc w:val="both"/>
            </w:pPr>
            <w:r w:rsidRPr="00BB7A49">
              <w:t>4.2</w:t>
            </w:r>
            <w:r w:rsidRPr="00BB7A49">
              <w:tab/>
              <w:t xml:space="preserve">The Buyer agrees to dully </w:t>
            </w:r>
            <w:r w:rsidRPr="00570B61">
              <w:t>fulfil</w:t>
            </w:r>
            <w:r w:rsidRPr="00BB7A49">
              <w:t xml:space="preserve"> all </w:t>
            </w:r>
            <w:r w:rsidRPr="00570B61">
              <w:t xml:space="preserve">its obligations it is required to fulfil in connection with the provision of the Bonus, whether such obligations are imposed on the Buyer by law, any other regulation, order, decree, rule or instruction binding on the Buyer, or by </w:t>
            </w:r>
            <w:r w:rsidR="009E7DBC">
              <w:t>a contract</w:t>
            </w:r>
            <w:r w:rsidRPr="00570B61">
              <w:t>.</w:t>
            </w:r>
          </w:p>
        </w:tc>
      </w:tr>
      <w:tr w:rsidR="00EC5A94" w:rsidRPr="00B21502" w14:paraId="64752FFF" w14:textId="77777777" w:rsidTr="002573E6">
        <w:tc>
          <w:tcPr>
            <w:tcW w:w="2500" w:type="pct"/>
          </w:tcPr>
          <w:p w14:paraId="52F23546" w14:textId="77777777" w:rsidR="00EC5A94" w:rsidRPr="00570B61" w:rsidRDefault="00D57569" w:rsidP="00EB6111">
            <w:pPr>
              <w:pStyle w:val="CMSHeadL3"/>
              <w:numPr>
                <w:ilvl w:val="0"/>
                <w:numId w:val="0"/>
              </w:numPr>
              <w:tabs>
                <w:tab w:val="left" w:pos="426"/>
              </w:tabs>
              <w:spacing w:before="120" w:after="120"/>
              <w:jc w:val="both"/>
              <w:rPr>
                <w:lang w:val="cs-CZ"/>
              </w:rPr>
            </w:pPr>
            <w:r w:rsidRPr="00BB7A49">
              <w:rPr>
                <w:szCs w:val="22"/>
                <w:lang w:val="cs-CZ"/>
              </w:rPr>
              <w:t>4.</w:t>
            </w:r>
            <w:r w:rsidR="002E0B11" w:rsidRPr="00BB7A49">
              <w:rPr>
                <w:szCs w:val="22"/>
                <w:lang w:val="cs-CZ"/>
              </w:rPr>
              <w:t>3</w:t>
            </w:r>
            <w:r w:rsidRPr="00BB7A49">
              <w:rPr>
                <w:szCs w:val="22"/>
                <w:lang w:val="cs-CZ"/>
              </w:rPr>
              <w:t xml:space="preserve"> </w:t>
            </w:r>
            <w:r w:rsidR="00EC5A94" w:rsidRPr="00BB7A49">
              <w:rPr>
                <w:szCs w:val="22"/>
                <w:lang w:val="cs-CZ"/>
              </w:rPr>
              <w:t xml:space="preserve">Strany prohlašují, každá samostatně, že účelem této </w:t>
            </w:r>
            <w:r w:rsidRPr="00570B61">
              <w:rPr>
                <w:szCs w:val="22"/>
                <w:lang w:val="cs-CZ"/>
              </w:rPr>
              <w:t>Dohody</w:t>
            </w:r>
            <w:r w:rsidR="00EC5A94" w:rsidRPr="00BB7A49">
              <w:rPr>
                <w:szCs w:val="22"/>
                <w:lang w:val="cs-CZ"/>
              </w:rPr>
              <w:t xml:space="preserve"> není reklama na </w:t>
            </w:r>
            <w:r w:rsidRPr="00570B61">
              <w:rPr>
                <w:szCs w:val="22"/>
                <w:lang w:val="cs-CZ"/>
              </w:rPr>
              <w:t>Produkty</w:t>
            </w:r>
            <w:r w:rsidR="00EC5A94" w:rsidRPr="00BB7A49">
              <w:rPr>
                <w:szCs w:val="22"/>
                <w:lang w:val="cs-CZ"/>
              </w:rPr>
              <w:t xml:space="preserve"> ani poskytnutí daru či sponzorského příspěvku </w:t>
            </w:r>
            <w:r w:rsidRPr="00570B61">
              <w:rPr>
                <w:szCs w:val="22"/>
                <w:lang w:val="cs-CZ"/>
              </w:rPr>
              <w:t>Kupujícímu</w:t>
            </w:r>
            <w:r w:rsidR="00EC5A94" w:rsidRPr="00BB7A49">
              <w:rPr>
                <w:szCs w:val="22"/>
                <w:lang w:val="cs-CZ"/>
              </w:rPr>
              <w:t>. Strany prohlašují, každá samostatně, že poskytnutí Bonusu není pobídkou či návodem na neoprávněné čerpání prostředků z veřejného zdravotního pojištění a zároveň prohlašují, že jim nejsou známé žádné skutečnosti, které by bránily poskytnutí tohoto Bonusu.</w:t>
            </w:r>
          </w:p>
        </w:tc>
        <w:tc>
          <w:tcPr>
            <w:tcW w:w="2500" w:type="pct"/>
          </w:tcPr>
          <w:p w14:paraId="30F28F6E" w14:textId="77777777" w:rsidR="00EC5A94" w:rsidRPr="00BB7A49" w:rsidRDefault="00E211CE" w:rsidP="00BB7A49">
            <w:pPr>
              <w:pStyle w:val="CMSHeadL3"/>
              <w:numPr>
                <w:ilvl w:val="0"/>
                <w:numId w:val="0"/>
              </w:numPr>
              <w:tabs>
                <w:tab w:val="left" w:pos="460"/>
              </w:tabs>
              <w:spacing w:before="120" w:after="120"/>
              <w:jc w:val="both"/>
            </w:pPr>
            <w:r w:rsidRPr="00570B61">
              <w:t>4.</w:t>
            </w:r>
            <w:r w:rsidR="00356ACF" w:rsidRPr="00570B61">
              <w:t>3</w:t>
            </w:r>
            <w:r w:rsidRPr="00570B61">
              <w:tab/>
              <w:t>Each of the Parties represents that the purpose of this Agreement is not to advertise Products or to provide a grant, gift or sponsorship contribution to the Buyer.</w:t>
            </w:r>
            <w:r w:rsidR="009360F5" w:rsidRPr="00570B61">
              <w:t xml:space="preserve"> Each of the Parties represents that the provision of the Bonus is not an incentive or instruction for unjustified withdrawal of funds from the public health insurance scheme. The Parties represent that they are not aware of any facts or circumstances preventing the provision of the Bonus.</w:t>
            </w:r>
          </w:p>
        </w:tc>
      </w:tr>
      <w:tr w:rsidR="00EC5A94" w:rsidRPr="00D57569" w14:paraId="46A31CA3" w14:textId="77777777" w:rsidTr="002573E6">
        <w:tc>
          <w:tcPr>
            <w:tcW w:w="2500" w:type="pct"/>
          </w:tcPr>
          <w:p w14:paraId="7EBF3CF3" w14:textId="77777777" w:rsidR="00EC5A94" w:rsidRPr="00570B61" w:rsidRDefault="00D57569" w:rsidP="00BB7A49">
            <w:pPr>
              <w:pStyle w:val="CMSHeadL3"/>
              <w:numPr>
                <w:ilvl w:val="0"/>
                <w:numId w:val="0"/>
              </w:numPr>
              <w:tabs>
                <w:tab w:val="left" w:pos="426"/>
              </w:tabs>
              <w:spacing w:before="120" w:after="120"/>
              <w:jc w:val="both"/>
              <w:rPr>
                <w:lang w:val="cs-CZ"/>
              </w:rPr>
            </w:pPr>
            <w:r w:rsidRPr="00BB7A49">
              <w:rPr>
                <w:szCs w:val="22"/>
                <w:lang w:val="cs-CZ"/>
              </w:rPr>
              <w:t>4.</w:t>
            </w:r>
            <w:r w:rsidR="002E0B11" w:rsidRPr="00BB7A49">
              <w:rPr>
                <w:szCs w:val="22"/>
                <w:lang w:val="cs-CZ"/>
              </w:rPr>
              <w:t>4</w:t>
            </w:r>
            <w:r w:rsidRPr="00BB7A49">
              <w:rPr>
                <w:szCs w:val="22"/>
                <w:lang w:val="cs-CZ"/>
              </w:rPr>
              <w:t xml:space="preserve"> </w:t>
            </w:r>
            <w:r w:rsidR="00EC5A94" w:rsidRPr="00BB7A49">
              <w:rPr>
                <w:szCs w:val="22"/>
                <w:lang w:val="cs-CZ"/>
              </w:rPr>
              <w:t xml:space="preserve">Strany dále prohlašují, každá samostatně, že účelem této </w:t>
            </w:r>
            <w:r w:rsidRPr="00570B61">
              <w:rPr>
                <w:szCs w:val="22"/>
                <w:lang w:val="cs-CZ"/>
              </w:rPr>
              <w:t>Dohody</w:t>
            </w:r>
            <w:r w:rsidR="00EC5A94" w:rsidRPr="00BB7A49">
              <w:rPr>
                <w:szCs w:val="22"/>
                <w:lang w:val="cs-CZ"/>
              </w:rPr>
              <w:t xml:space="preserve"> není ani poskytnutí jakéhokoli přímého či nepřímého prospěchu či výhody osobě, která je členem statutárního nebo jiného orgánu </w:t>
            </w:r>
            <w:r w:rsidRPr="00570B61">
              <w:rPr>
                <w:szCs w:val="22"/>
                <w:lang w:val="cs-CZ"/>
              </w:rPr>
              <w:t>Kupujícího</w:t>
            </w:r>
            <w:r w:rsidR="00EC5A94" w:rsidRPr="00BB7A49">
              <w:rPr>
                <w:szCs w:val="22"/>
                <w:lang w:val="cs-CZ"/>
              </w:rPr>
              <w:t xml:space="preserve"> nebo která je v pracovním či jiném obdobném poměru k</w:t>
            </w:r>
            <w:r w:rsidRPr="00570B61">
              <w:rPr>
                <w:szCs w:val="22"/>
                <w:lang w:val="cs-CZ"/>
              </w:rPr>
              <w:t>e</w:t>
            </w:r>
            <w:r w:rsidR="00EC5A94" w:rsidRPr="00BB7A49">
              <w:rPr>
                <w:szCs w:val="22"/>
                <w:lang w:val="cs-CZ"/>
              </w:rPr>
              <w:t xml:space="preserve"> </w:t>
            </w:r>
            <w:r w:rsidRPr="00570B61">
              <w:rPr>
                <w:szCs w:val="22"/>
                <w:lang w:val="cs-CZ"/>
              </w:rPr>
              <w:t>Kupujícímu</w:t>
            </w:r>
            <w:r w:rsidR="00EC5A94" w:rsidRPr="00BB7A49">
              <w:rPr>
                <w:szCs w:val="22"/>
                <w:lang w:val="cs-CZ"/>
              </w:rPr>
              <w:t xml:space="preserve">, zejména lékařům, farmaceutům, střednímu zdravotnickému personálu nebo administrativnímu personálu, ani žádné jiné osobě, která může v rámci své pracovní činnosti předepisovat, vydávat, podávat či nakupovat jakékoli léčivé přípravky. </w:t>
            </w:r>
            <w:r w:rsidRPr="00570B61">
              <w:rPr>
                <w:szCs w:val="22"/>
                <w:lang w:val="cs-CZ"/>
              </w:rPr>
              <w:t>Kupující</w:t>
            </w:r>
            <w:r w:rsidR="00EC5A94" w:rsidRPr="00BB7A49">
              <w:rPr>
                <w:szCs w:val="22"/>
                <w:lang w:val="cs-CZ"/>
              </w:rPr>
              <w:t xml:space="preserve"> se zavazuje, že Bonus nepoužije k vyplácení odměn nebo k poskytování jakéhokoli jiného prospěchu osobám uvedeným v tomto článku </w:t>
            </w:r>
            <w:r w:rsidRPr="00570B61">
              <w:rPr>
                <w:szCs w:val="22"/>
                <w:lang w:val="cs-CZ"/>
              </w:rPr>
              <w:t>4.</w:t>
            </w:r>
            <w:r w:rsidR="00356ACF" w:rsidRPr="00570B61">
              <w:rPr>
                <w:szCs w:val="22"/>
                <w:lang w:val="cs-CZ"/>
              </w:rPr>
              <w:t>4</w:t>
            </w:r>
            <w:r w:rsidR="00EC5A94" w:rsidRPr="00BB7A49">
              <w:rPr>
                <w:szCs w:val="22"/>
                <w:lang w:val="cs-CZ"/>
              </w:rPr>
              <w:t>.</w:t>
            </w:r>
          </w:p>
        </w:tc>
        <w:tc>
          <w:tcPr>
            <w:tcW w:w="2500" w:type="pct"/>
          </w:tcPr>
          <w:p w14:paraId="09922506" w14:textId="77777777" w:rsidR="00EC5A94" w:rsidRPr="00BB7A49" w:rsidRDefault="00356ACF" w:rsidP="00BB7A49">
            <w:pPr>
              <w:pStyle w:val="CMSHeadL3"/>
              <w:numPr>
                <w:ilvl w:val="0"/>
                <w:numId w:val="0"/>
              </w:numPr>
              <w:tabs>
                <w:tab w:val="left" w:pos="460"/>
              </w:tabs>
              <w:spacing w:before="120" w:after="120"/>
              <w:jc w:val="both"/>
            </w:pPr>
            <w:r w:rsidRPr="00570B61">
              <w:t>4.4</w:t>
            </w:r>
            <w:r w:rsidRPr="00570B61">
              <w:tab/>
              <w:t>Each of the Parties further represents that the purpose of this Agreement is not to provide any direct or indirect benefit or advantage to any director or officer of the Buyer or to any person who has an employment or a similar relationship with the Buyer, in particular physicians, pharmaceutical professionals, care personnel, and</w:t>
            </w:r>
            <w:r w:rsidR="00020E4A" w:rsidRPr="00570B61">
              <w:t>/or</w:t>
            </w:r>
            <w:r w:rsidRPr="00570B61">
              <w:t xml:space="preserve"> administrative staff, nor to any other person who can, as part of their work duties, prescribe, dispense, administer or purchase any medicinal products. The Buyer agrees not to use the Bonus for payment of remuneration or any other benefits to any of the persons mentioned in this clause 4.4.</w:t>
            </w:r>
          </w:p>
        </w:tc>
      </w:tr>
      <w:tr w:rsidR="007E4669" w:rsidRPr="00D57569" w14:paraId="57B2E19E" w14:textId="77777777" w:rsidTr="002573E6">
        <w:tc>
          <w:tcPr>
            <w:tcW w:w="2500" w:type="pct"/>
          </w:tcPr>
          <w:p w14:paraId="7A8E81A9" w14:textId="4967880F" w:rsidR="007E4669" w:rsidRPr="00570B61" w:rsidRDefault="00D57569" w:rsidP="00BB7A49">
            <w:pPr>
              <w:pStyle w:val="CMSHeadL3"/>
              <w:numPr>
                <w:ilvl w:val="0"/>
                <w:numId w:val="0"/>
              </w:numPr>
              <w:tabs>
                <w:tab w:val="left" w:pos="426"/>
              </w:tabs>
              <w:spacing w:before="120" w:after="120"/>
              <w:jc w:val="both"/>
              <w:rPr>
                <w:lang w:val="cs-CZ"/>
              </w:rPr>
            </w:pPr>
            <w:r w:rsidRPr="00570B61">
              <w:rPr>
                <w:lang w:val="cs-CZ"/>
              </w:rPr>
              <w:t>4.</w:t>
            </w:r>
            <w:r w:rsidR="002E0B11" w:rsidRPr="00570B61">
              <w:rPr>
                <w:lang w:val="cs-CZ"/>
              </w:rPr>
              <w:t>5</w:t>
            </w:r>
            <w:r w:rsidRPr="00570B61">
              <w:rPr>
                <w:lang w:val="cs-CZ"/>
              </w:rPr>
              <w:t xml:space="preserve"> Strany ujednávají, že vznikne-li v průběhu doby trvání této Dohody důvodné podezření, že poskytování Bonusu by mohlo být v rozporu se zákonem č. 143/2001 Sb., o ochraně hospodářské soutěže a o změně některých zákonů (zákon o ochraně hospodářské soutěže), v platném znění nebo s články 101 či 102 Dohody o fungování Evropské Unie, </w:t>
            </w:r>
            <w:r w:rsidR="0084522E">
              <w:rPr>
                <w:lang w:val="cs-CZ"/>
              </w:rPr>
              <w:t xml:space="preserve">zavazují se </w:t>
            </w:r>
            <w:r w:rsidR="0071588A">
              <w:rPr>
                <w:lang w:val="cs-CZ"/>
              </w:rPr>
              <w:t>S</w:t>
            </w:r>
            <w:r w:rsidR="0084522E">
              <w:rPr>
                <w:lang w:val="cs-CZ"/>
              </w:rPr>
              <w:t>trany obratem</w:t>
            </w:r>
            <w:r w:rsidRPr="00570B61">
              <w:rPr>
                <w:lang w:val="cs-CZ"/>
              </w:rPr>
              <w:t xml:space="preserve"> změnit ujednání této Dohody týkající se poskytování Bonusu v rozsahu nezbytně nutném k tomu, aby byl tento možný rozpor odstraněn. </w:t>
            </w:r>
          </w:p>
        </w:tc>
        <w:tc>
          <w:tcPr>
            <w:tcW w:w="2500" w:type="pct"/>
          </w:tcPr>
          <w:p w14:paraId="4811388A" w14:textId="0DCB4763" w:rsidR="007E4669" w:rsidRPr="00BB7A49" w:rsidRDefault="00D57569" w:rsidP="00BB7A49">
            <w:pPr>
              <w:pStyle w:val="CMSHeadL3"/>
              <w:numPr>
                <w:ilvl w:val="0"/>
                <w:numId w:val="0"/>
              </w:numPr>
              <w:tabs>
                <w:tab w:val="left" w:pos="460"/>
              </w:tabs>
              <w:spacing w:before="120" w:after="120"/>
              <w:jc w:val="both"/>
            </w:pPr>
            <w:r w:rsidRPr="00BB7A49">
              <w:t>4.</w:t>
            </w:r>
            <w:r w:rsidR="006A045B" w:rsidRPr="00BB7A49">
              <w:t>5</w:t>
            </w:r>
            <w:r w:rsidR="00020E4A" w:rsidRPr="00BB7A49">
              <w:tab/>
            </w:r>
            <w:r w:rsidRPr="00BB7A49">
              <w:rPr>
                <w:szCs w:val="22"/>
              </w:rPr>
              <w:t xml:space="preserve">If, during the term hereof, a </w:t>
            </w:r>
            <w:r w:rsidR="00020E4A" w:rsidRPr="00BB7A49">
              <w:rPr>
                <w:szCs w:val="22"/>
              </w:rPr>
              <w:t xml:space="preserve">reasonable </w:t>
            </w:r>
            <w:r w:rsidRPr="00BB7A49">
              <w:rPr>
                <w:szCs w:val="22"/>
              </w:rPr>
              <w:t xml:space="preserve">concern arises that the provision of the Bonus </w:t>
            </w:r>
            <w:r w:rsidR="00020E4A" w:rsidRPr="00BB7A49">
              <w:rPr>
                <w:szCs w:val="22"/>
              </w:rPr>
              <w:t xml:space="preserve">might potentially </w:t>
            </w:r>
            <w:r w:rsidRPr="00BB7A49">
              <w:rPr>
                <w:szCs w:val="22"/>
              </w:rPr>
              <w:t xml:space="preserve">contravene Act No. 143/2001 </w:t>
            </w:r>
            <w:r w:rsidR="000C2C88">
              <w:rPr>
                <w:szCs w:val="22"/>
              </w:rPr>
              <w:t>Coll</w:t>
            </w:r>
            <w:r w:rsidRPr="00BB7A49">
              <w:rPr>
                <w:szCs w:val="22"/>
              </w:rPr>
              <w:t xml:space="preserve">. on </w:t>
            </w:r>
            <w:r w:rsidR="00020E4A" w:rsidRPr="00BB7A49">
              <w:rPr>
                <w:szCs w:val="22"/>
              </w:rPr>
              <w:t>the p</w:t>
            </w:r>
            <w:r w:rsidRPr="00BB7A49">
              <w:rPr>
                <w:szCs w:val="22"/>
              </w:rPr>
              <w:t xml:space="preserve">rotection of </w:t>
            </w:r>
            <w:r w:rsidR="00020E4A" w:rsidRPr="00BB7A49">
              <w:rPr>
                <w:szCs w:val="22"/>
              </w:rPr>
              <w:t>c</w:t>
            </w:r>
            <w:r w:rsidRPr="00BB7A49">
              <w:rPr>
                <w:szCs w:val="22"/>
              </w:rPr>
              <w:t xml:space="preserve">ompetition and </w:t>
            </w:r>
            <w:r w:rsidR="00020E4A" w:rsidRPr="00BB7A49">
              <w:rPr>
                <w:szCs w:val="22"/>
              </w:rPr>
              <w:t>a</w:t>
            </w:r>
            <w:r w:rsidRPr="00BB7A49">
              <w:rPr>
                <w:szCs w:val="22"/>
              </w:rPr>
              <w:t>mend</w:t>
            </w:r>
            <w:r w:rsidR="00020E4A" w:rsidRPr="00BB7A49">
              <w:rPr>
                <w:szCs w:val="22"/>
              </w:rPr>
              <w:t>ing c</w:t>
            </w:r>
            <w:r w:rsidRPr="00BB7A49">
              <w:rPr>
                <w:szCs w:val="22"/>
              </w:rPr>
              <w:t xml:space="preserve">ertain </w:t>
            </w:r>
            <w:r w:rsidR="00020E4A" w:rsidRPr="00BB7A49">
              <w:rPr>
                <w:szCs w:val="22"/>
              </w:rPr>
              <w:t>a</w:t>
            </w:r>
            <w:r w:rsidRPr="00BB7A49">
              <w:rPr>
                <w:szCs w:val="22"/>
              </w:rPr>
              <w:t>cts (</w:t>
            </w:r>
            <w:r w:rsidR="00020E4A" w:rsidRPr="00BB7A49">
              <w:rPr>
                <w:szCs w:val="22"/>
              </w:rPr>
              <w:t xml:space="preserve">the Competition Protection </w:t>
            </w:r>
            <w:r w:rsidRPr="00BB7A49">
              <w:rPr>
                <w:szCs w:val="22"/>
              </w:rPr>
              <w:t>Act), as amended</w:t>
            </w:r>
            <w:r w:rsidR="00020E4A" w:rsidRPr="00BB7A49">
              <w:rPr>
                <w:szCs w:val="22"/>
              </w:rPr>
              <w:t>,</w:t>
            </w:r>
            <w:r w:rsidRPr="00BB7A49">
              <w:rPr>
                <w:szCs w:val="22"/>
              </w:rPr>
              <w:t xml:space="preserve"> or Articles 101 or 102 of the Treaty on the Functioning of the European Union, the Parties agree </w:t>
            </w:r>
            <w:r w:rsidR="0084522E">
              <w:rPr>
                <w:szCs w:val="22"/>
              </w:rPr>
              <w:t xml:space="preserve">to </w:t>
            </w:r>
            <w:r w:rsidRPr="00BB7A49">
              <w:rPr>
                <w:szCs w:val="22"/>
              </w:rPr>
              <w:t xml:space="preserve">amend </w:t>
            </w:r>
            <w:r w:rsidR="0084522E">
              <w:rPr>
                <w:szCs w:val="22"/>
              </w:rPr>
              <w:t xml:space="preserve">without delay </w:t>
            </w:r>
            <w:r w:rsidRPr="00BB7A49">
              <w:rPr>
                <w:szCs w:val="22"/>
              </w:rPr>
              <w:t xml:space="preserve">the relevant stipulations of this Agreement concerning the provision of the Bonus to the extent necessary to remove the </w:t>
            </w:r>
            <w:r w:rsidR="00020E4A" w:rsidRPr="00BB7A49">
              <w:rPr>
                <w:szCs w:val="22"/>
              </w:rPr>
              <w:t>potential contravention</w:t>
            </w:r>
          </w:p>
        </w:tc>
      </w:tr>
      <w:tr w:rsidR="002573E6" w:rsidRPr="00D57569" w14:paraId="5A7007EC" w14:textId="77777777" w:rsidTr="002573E6">
        <w:tc>
          <w:tcPr>
            <w:tcW w:w="2500" w:type="pct"/>
          </w:tcPr>
          <w:p w14:paraId="0486624A" w14:textId="77777777" w:rsidR="002573E6" w:rsidRPr="00570B61" w:rsidRDefault="00D57569" w:rsidP="00BB7A49">
            <w:pPr>
              <w:pStyle w:val="CMSHeadL3"/>
              <w:numPr>
                <w:ilvl w:val="0"/>
                <w:numId w:val="0"/>
              </w:numPr>
              <w:tabs>
                <w:tab w:val="left" w:pos="1134"/>
              </w:tabs>
              <w:spacing w:before="120" w:after="120"/>
              <w:jc w:val="both"/>
              <w:rPr>
                <w:lang w:val="cs-CZ"/>
              </w:rPr>
            </w:pPr>
            <w:r w:rsidRPr="00570B61">
              <w:rPr>
                <w:lang w:val="cs-CZ"/>
              </w:rPr>
              <w:t>4.</w:t>
            </w:r>
            <w:r w:rsidR="002E0B11" w:rsidRPr="00570B61">
              <w:rPr>
                <w:lang w:val="cs-CZ"/>
              </w:rPr>
              <w:t>6</w:t>
            </w:r>
            <w:r w:rsidRPr="00570B61">
              <w:rPr>
                <w:lang w:val="cs-CZ"/>
              </w:rPr>
              <w:t xml:space="preserve"> </w:t>
            </w:r>
            <w:r w:rsidRPr="00570B61">
              <w:rPr>
                <w:szCs w:val="22"/>
                <w:lang w:val="cs-CZ"/>
              </w:rPr>
              <w:t xml:space="preserve">Kupující </w:t>
            </w:r>
            <w:r w:rsidRPr="00570B61">
              <w:rPr>
                <w:szCs w:val="28"/>
                <w:lang w:val="cs-CZ"/>
              </w:rPr>
              <w:t xml:space="preserve">bere na vědomí, že pokud by se v průběhu doby trvání této </w:t>
            </w:r>
            <w:r w:rsidRPr="00BB7A49">
              <w:rPr>
                <w:lang w:val="cs-CZ"/>
              </w:rPr>
              <w:t>Dohody</w:t>
            </w:r>
            <w:r w:rsidRPr="00570B61">
              <w:rPr>
                <w:szCs w:val="28"/>
                <w:lang w:val="cs-CZ"/>
              </w:rPr>
              <w:t xml:space="preserve"> poskytování </w:t>
            </w:r>
            <w:r w:rsidRPr="00570B61">
              <w:rPr>
                <w:szCs w:val="28"/>
                <w:lang w:val="cs-CZ"/>
              </w:rPr>
              <w:lastRenderedPageBreak/>
              <w:t xml:space="preserve">Bonusu dostalo do rozporu s právním předpisem, ať už z důvodu změny právního předpisu nebo jeho výkladu, z důvodu možného narušení hospodářské soutěže či z jiného důvodu, </w:t>
            </w:r>
            <w:r w:rsidRPr="00BB7A49">
              <w:rPr>
                <w:lang w:val="cs-CZ"/>
              </w:rPr>
              <w:t>Gilead</w:t>
            </w:r>
            <w:r w:rsidRPr="00570B61">
              <w:rPr>
                <w:szCs w:val="28"/>
                <w:lang w:val="cs-CZ"/>
              </w:rPr>
              <w:t xml:space="preserve"> nebude povin</w:t>
            </w:r>
            <w:r w:rsidRPr="00BB7A49">
              <w:rPr>
                <w:lang w:val="cs-CZ"/>
              </w:rPr>
              <w:t>en Bonus poskytnout, a jeho</w:t>
            </w:r>
            <w:r w:rsidRPr="00570B61">
              <w:rPr>
                <w:szCs w:val="28"/>
                <w:lang w:val="cs-CZ"/>
              </w:rPr>
              <w:t xml:space="preserve"> povinnost Bonus poskytnout zanikne v důsledku následné nemožnosti plnění </w:t>
            </w:r>
            <w:r w:rsidRPr="00BB7A49">
              <w:rPr>
                <w:lang w:val="cs-CZ"/>
              </w:rPr>
              <w:t xml:space="preserve">této Dohody </w:t>
            </w:r>
            <w:r w:rsidRPr="00570B61">
              <w:rPr>
                <w:szCs w:val="28"/>
                <w:lang w:val="cs-CZ"/>
              </w:rPr>
              <w:t>v</w:t>
            </w:r>
            <w:r w:rsidRPr="00BB7A49">
              <w:rPr>
                <w:lang w:val="cs-CZ"/>
              </w:rPr>
              <w:t>e smyslu § 2006 zákona č. 89/2012 Sb., občanský zákoník, v platném znění</w:t>
            </w:r>
            <w:r w:rsidR="000972F3">
              <w:rPr>
                <w:lang w:val="cs-CZ"/>
              </w:rPr>
              <w:t xml:space="preserve"> </w:t>
            </w:r>
            <w:r w:rsidR="000972F3" w:rsidRPr="00570B61">
              <w:rPr>
                <w:szCs w:val="22"/>
                <w:lang w:val="cs-CZ"/>
              </w:rPr>
              <w:t>(„</w:t>
            </w:r>
            <w:r w:rsidR="000972F3" w:rsidRPr="00650960">
              <w:rPr>
                <w:b/>
                <w:szCs w:val="22"/>
                <w:lang w:val="cs-CZ"/>
              </w:rPr>
              <w:t>Občanský zákoník</w:t>
            </w:r>
            <w:r w:rsidR="000972F3" w:rsidRPr="00570B61">
              <w:rPr>
                <w:szCs w:val="22"/>
                <w:lang w:val="cs-CZ"/>
              </w:rPr>
              <w:t>“)</w:t>
            </w:r>
            <w:r w:rsidRPr="00570B61">
              <w:rPr>
                <w:szCs w:val="28"/>
                <w:lang w:val="cs-CZ"/>
              </w:rPr>
              <w:t>.</w:t>
            </w:r>
          </w:p>
        </w:tc>
        <w:tc>
          <w:tcPr>
            <w:tcW w:w="2500" w:type="pct"/>
          </w:tcPr>
          <w:p w14:paraId="327555F9" w14:textId="2561A3A3" w:rsidR="002573E6" w:rsidRPr="00570B61" w:rsidRDefault="00D57569" w:rsidP="00BB7A49">
            <w:pPr>
              <w:pStyle w:val="CMSHeadL3"/>
              <w:numPr>
                <w:ilvl w:val="0"/>
                <w:numId w:val="0"/>
              </w:numPr>
              <w:tabs>
                <w:tab w:val="left" w:pos="460"/>
              </w:tabs>
              <w:spacing w:before="120" w:after="120"/>
              <w:jc w:val="both"/>
            </w:pPr>
            <w:r w:rsidRPr="00BB7A49">
              <w:lastRenderedPageBreak/>
              <w:t>4.</w:t>
            </w:r>
            <w:r w:rsidR="006A045B" w:rsidRPr="00BB7A49">
              <w:t>6</w:t>
            </w:r>
            <w:r w:rsidR="00020E4A" w:rsidRPr="00BB7A49">
              <w:tab/>
            </w:r>
            <w:r w:rsidR="00181C22" w:rsidRPr="00BB7A49">
              <w:t>The Buyer acknowledges that i</w:t>
            </w:r>
            <w:r w:rsidRPr="00BB7A49">
              <w:rPr>
                <w:szCs w:val="22"/>
              </w:rPr>
              <w:t xml:space="preserve">f the provision of the Bonus during the term hereof becomes </w:t>
            </w:r>
            <w:r w:rsidRPr="00BB7A49">
              <w:rPr>
                <w:szCs w:val="22"/>
              </w:rPr>
              <w:lastRenderedPageBreak/>
              <w:t xml:space="preserve">incompatible with the applicable legal regulations, </w:t>
            </w:r>
            <w:r w:rsidR="003E5B59">
              <w:rPr>
                <w:szCs w:val="22"/>
              </w:rPr>
              <w:t xml:space="preserve"> </w:t>
            </w:r>
            <w:r w:rsidRPr="00BB7A49">
              <w:rPr>
                <w:szCs w:val="22"/>
              </w:rPr>
              <w:t xml:space="preserve">whether for reason of change of the applicable legal regulations or their interpretation, for reason of possible </w:t>
            </w:r>
            <w:r w:rsidR="00181C22" w:rsidRPr="00BB7A49">
              <w:rPr>
                <w:szCs w:val="22"/>
              </w:rPr>
              <w:t xml:space="preserve">distortion </w:t>
            </w:r>
            <w:r w:rsidRPr="00BB7A49">
              <w:rPr>
                <w:szCs w:val="22"/>
              </w:rPr>
              <w:t xml:space="preserve">of competition or for any other reason, Gilead </w:t>
            </w:r>
            <w:r w:rsidR="00181C22" w:rsidRPr="00BB7A49">
              <w:rPr>
                <w:szCs w:val="22"/>
              </w:rPr>
              <w:t xml:space="preserve">will </w:t>
            </w:r>
            <w:r w:rsidRPr="00BB7A49">
              <w:rPr>
                <w:szCs w:val="22"/>
              </w:rPr>
              <w:t xml:space="preserve">not be obliged to provide the Bonus and its duty to provide the Bonus shall terminate as a result of </w:t>
            </w:r>
            <w:r w:rsidR="00181C22" w:rsidRPr="00BB7A49">
              <w:rPr>
                <w:szCs w:val="22"/>
              </w:rPr>
              <w:t xml:space="preserve">the </w:t>
            </w:r>
            <w:r w:rsidRPr="00BB7A49">
              <w:rPr>
                <w:szCs w:val="22"/>
              </w:rPr>
              <w:t>subsequent impossibility to fulfil th</w:t>
            </w:r>
            <w:r w:rsidR="00181C22" w:rsidRPr="00BB7A49">
              <w:rPr>
                <w:szCs w:val="22"/>
              </w:rPr>
              <w:t>is</w:t>
            </w:r>
            <w:r w:rsidRPr="00BB7A49">
              <w:rPr>
                <w:szCs w:val="22"/>
              </w:rPr>
              <w:t xml:space="preserve"> Agreement within the meaning of Section 2006 of Act </w:t>
            </w:r>
            <w:r w:rsidR="00181C22" w:rsidRPr="00BB7A49">
              <w:rPr>
                <w:szCs w:val="22"/>
              </w:rPr>
              <w:t>n</w:t>
            </w:r>
            <w:r w:rsidRPr="00BB7A49">
              <w:rPr>
                <w:szCs w:val="22"/>
              </w:rPr>
              <w:t xml:space="preserve">o. 89/2012 </w:t>
            </w:r>
            <w:r w:rsidR="00DC4F7F">
              <w:rPr>
                <w:szCs w:val="28"/>
              </w:rPr>
              <w:t>Coll</w:t>
            </w:r>
            <w:r w:rsidR="00DC4F7F">
              <w:rPr>
                <w:szCs w:val="22"/>
              </w:rPr>
              <w:t>.</w:t>
            </w:r>
            <w:r w:rsidRPr="00BB7A49">
              <w:rPr>
                <w:szCs w:val="22"/>
              </w:rPr>
              <w:t>, Civil Code, as amended</w:t>
            </w:r>
            <w:r w:rsidR="000972F3">
              <w:rPr>
                <w:szCs w:val="22"/>
              </w:rPr>
              <w:t xml:space="preserve"> (“</w:t>
            </w:r>
            <w:r w:rsidR="000972F3" w:rsidRPr="00BB7A49">
              <w:rPr>
                <w:b/>
                <w:szCs w:val="22"/>
              </w:rPr>
              <w:t>Civil Code</w:t>
            </w:r>
            <w:r w:rsidR="000972F3">
              <w:rPr>
                <w:szCs w:val="22"/>
              </w:rPr>
              <w:t>”)</w:t>
            </w:r>
            <w:r w:rsidRPr="00BB7A49">
              <w:rPr>
                <w:szCs w:val="22"/>
              </w:rPr>
              <w:t>.</w:t>
            </w:r>
          </w:p>
        </w:tc>
      </w:tr>
      <w:tr w:rsidR="002573E6" w:rsidRPr="00B21502" w14:paraId="6E6ABAF5" w14:textId="77777777" w:rsidTr="002573E6">
        <w:tc>
          <w:tcPr>
            <w:tcW w:w="2500" w:type="pct"/>
          </w:tcPr>
          <w:p w14:paraId="16ECDA1B" w14:textId="77777777" w:rsidR="002573E6" w:rsidRPr="00570B61" w:rsidRDefault="00C654B6" w:rsidP="00BB7A49">
            <w:pPr>
              <w:pStyle w:val="CMSHeadL3"/>
              <w:numPr>
                <w:ilvl w:val="0"/>
                <w:numId w:val="0"/>
              </w:numPr>
              <w:tabs>
                <w:tab w:val="left" w:pos="426"/>
              </w:tabs>
              <w:spacing w:before="120" w:after="120"/>
              <w:jc w:val="both"/>
              <w:rPr>
                <w:lang w:val="cs-CZ"/>
              </w:rPr>
            </w:pPr>
            <w:r w:rsidRPr="00570B61">
              <w:rPr>
                <w:lang w:val="cs-CZ"/>
              </w:rPr>
              <w:lastRenderedPageBreak/>
              <w:t>4</w:t>
            </w:r>
            <w:r w:rsidR="002573E6" w:rsidRPr="00570B61">
              <w:rPr>
                <w:lang w:val="cs-CZ"/>
              </w:rPr>
              <w:t>.</w:t>
            </w:r>
            <w:r w:rsidRPr="00570B61">
              <w:rPr>
                <w:lang w:val="cs-CZ"/>
              </w:rPr>
              <w:t>7</w:t>
            </w:r>
            <w:r w:rsidR="002573E6" w:rsidRPr="00570B61">
              <w:rPr>
                <w:lang w:val="cs-CZ"/>
              </w:rPr>
              <w:tab/>
              <w:t xml:space="preserve">Kupující souhlasí s tím, že </w:t>
            </w:r>
            <w:r w:rsidR="002E0B11" w:rsidRPr="00570B61">
              <w:rPr>
                <w:lang w:val="cs-CZ"/>
              </w:rPr>
              <w:t xml:space="preserve">společnost </w:t>
            </w:r>
            <w:r w:rsidR="002573E6" w:rsidRPr="00570B61">
              <w:rPr>
                <w:lang w:val="cs-CZ"/>
              </w:rPr>
              <w:t>Gilead bude eventuelně nucen</w:t>
            </w:r>
            <w:r w:rsidR="002E0B11" w:rsidRPr="00570B61">
              <w:rPr>
                <w:lang w:val="cs-CZ"/>
              </w:rPr>
              <w:t>a</w:t>
            </w:r>
            <w:r w:rsidR="002573E6" w:rsidRPr="00570B61">
              <w:rPr>
                <w:lang w:val="cs-CZ"/>
              </w:rPr>
              <w:t xml:space="preserve"> zveřejnit všechny platby a jiné převody hodnot, které byly poukázány Kupujícímu, a souhlasí, že poskytne </w:t>
            </w:r>
            <w:r w:rsidR="002E0B11" w:rsidRPr="00570B61">
              <w:rPr>
                <w:lang w:val="cs-CZ"/>
              </w:rPr>
              <w:t xml:space="preserve">společnosti </w:t>
            </w:r>
            <w:r w:rsidR="002573E6" w:rsidRPr="00570B61">
              <w:rPr>
                <w:lang w:val="cs-CZ"/>
              </w:rPr>
              <w:t>Gilead veškerou nezbytnou součinnost a předloží veškeré požadované dokumenty.</w:t>
            </w:r>
          </w:p>
        </w:tc>
        <w:tc>
          <w:tcPr>
            <w:tcW w:w="2500" w:type="pct"/>
          </w:tcPr>
          <w:p w14:paraId="1777EA78" w14:textId="77777777" w:rsidR="002573E6" w:rsidRPr="00570B61" w:rsidRDefault="00020E4A" w:rsidP="00BB7A49">
            <w:pPr>
              <w:pStyle w:val="CMSHeadL3"/>
              <w:numPr>
                <w:ilvl w:val="0"/>
                <w:numId w:val="0"/>
              </w:numPr>
              <w:tabs>
                <w:tab w:val="left" w:pos="460"/>
              </w:tabs>
              <w:spacing w:before="120" w:after="120"/>
              <w:jc w:val="both"/>
            </w:pPr>
            <w:r w:rsidRPr="00BB7A49">
              <w:t>4.7</w:t>
            </w:r>
            <w:r w:rsidR="002573E6" w:rsidRPr="00BB7A49">
              <w:tab/>
              <w:t>The Buyer agrees that</w:t>
            </w:r>
            <w:r w:rsidR="00370F94" w:rsidRPr="00BB7A49">
              <w:t xml:space="preserve"> </w:t>
            </w:r>
            <w:r w:rsidR="002573E6" w:rsidRPr="00BB7A49">
              <w:t xml:space="preserve">Gilead will </w:t>
            </w:r>
            <w:r w:rsidR="00370F94" w:rsidRPr="00BB7A49">
              <w:t xml:space="preserve">eventually </w:t>
            </w:r>
            <w:r w:rsidR="002573E6" w:rsidRPr="00BB7A49">
              <w:t>have to publish all payments and other transfers of values remitted to the Buyer</w:t>
            </w:r>
            <w:r w:rsidR="00370F94" w:rsidRPr="00BB7A49">
              <w:t>,</w:t>
            </w:r>
            <w:r w:rsidR="002573E6" w:rsidRPr="00BB7A49">
              <w:t xml:space="preserve"> </w:t>
            </w:r>
            <w:proofErr w:type="gramStart"/>
            <w:r w:rsidR="002573E6" w:rsidRPr="00BB7A49">
              <w:t>and also</w:t>
            </w:r>
            <w:proofErr w:type="gramEnd"/>
            <w:r w:rsidR="002573E6" w:rsidRPr="00BB7A49">
              <w:t xml:space="preserve"> agrees to provide Gilead with all necessary assistance and all requested documents.</w:t>
            </w:r>
          </w:p>
        </w:tc>
      </w:tr>
      <w:tr w:rsidR="002573E6" w:rsidRPr="00B21502" w14:paraId="55CDDB75" w14:textId="77777777" w:rsidTr="002573E6">
        <w:tc>
          <w:tcPr>
            <w:tcW w:w="2500" w:type="pct"/>
          </w:tcPr>
          <w:p w14:paraId="0F934025" w14:textId="77777777" w:rsidR="002573E6" w:rsidRPr="00570B61" w:rsidRDefault="00C654B6" w:rsidP="00BB7A49">
            <w:pPr>
              <w:pStyle w:val="Clanek11"/>
              <w:tabs>
                <w:tab w:val="clear" w:pos="567"/>
                <w:tab w:val="left" w:pos="410"/>
              </w:tabs>
              <w:ind w:left="0" w:firstLine="0"/>
            </w:pPr>
            <w:proofErr w:type="gramStart"/>
            <w:r w:rsidRPr="00BB7A49">
              <w:rPr>
                <w:rFonts w:ascii="Times New Roman" w:hAnsi="Times New Roman" w:cs="Times New Roman"/>
              </w:rPr>
              <w:t xml:space="preserve">4.8  </w:t>
            </w:r>
            <w:r w:rsidR="007E4669" w:rsidRPr="00BB7A49">
              <w:rPr>
                <w:rFonts w:ascii="Times New Roman" w:hAnsi="Times New Roman" w:cs="Times New Roman"/>
              </w:rPr>
              <w:t>Kupující</w:t>
            </w:r>
            <w:proofErr w:type="gramEnd"/>
            <w:r w:rsidR="007E4669" w:rsidRPr="00BB7A49">
              <w:rPr>
                <w:rFonts w:ascii="Times New Roman" w:hAnsi="Times New Roman" w:cs="Times New Roman"/>
              </w:rPr>
              <w:t xml:space="preserve"> není v současnosti ani po uzavření této </w:t>
            </w:r>
            <w:r w:rsidR="00D57569" w:rsidRPr="00BB7A49">
              <w:rPr>
                <w:rFonts w:ascii="Times New Roman" w:hAnsi="Times New Roman" w:cs="Times New Roman"/>
              </w:rPr>
              <w:t>Dohody</w:t>
            </w:r>
            <w:r w:rsidR="007E4669" w:rsidRPr="00BB7A49">
              <w:rPr>
                <w:rFonts w:ascii="Times New Roman" w:hAnsi="Times New Roman" w:cs="Times New Roman"/>
              </w:rPr>
              <w:t xml:space="preserve"> jakkoliv zavázán odebírat léčivé přípravky společností ze skupiny Gilead (včetně Produktů) v jakémkoli množství a nadále disponuje absolutní smluvní volností co do výběru léčivých přípravků, a to bez ohledu na to, zda jsou vyráběny či dodávány společnostmi ze skupiny Gilead nebo zda jsou léčivými přípravky konkurenčními ve vztahu k léčivým přípravkům společností ze skupiny Gilead.</w:t>
            </w:r>
          </w:p>
        </w:tc>
        <w:tc>
          <w:tcPr>
            <w:tcW w:w="2500" w:type="pct"/>
          </w:tcPr>
          <w:p w14:paraId="1F1077BA" w14:textId="77777777" w:rsidR="002573E6" w:rsidRPr="00570B61" w:rsidRDefault="00020E4A" w:rsidP="00BB7A49">
            <w:pPr>
              <w:pStyle w:val="CMSHeadL3"/>
              <w:numPr>
                <w:ilvl w:val="0"/>
                <w:numId w:val="0"/>
              </w:numPr>
              <w:tabs>
                <w:tab w:val="left" w:pos="460"/>
              </w:tabs>
              <w:spacing w:before="120" w:after="120"/>
              <w:jc w:val="both"/>
            </w:pPr>
            <w:r w:rsidRPr="00BB7A49">
              <w:t>4.8</w:t>
            </w:r>
            <w:r w:rsidR="002573E6" w:rsidRPr="00BB7A49">
              <w:tab/>
              <w:t xml:space="preserve">The Buyer </w:t>
            </w:r>
            <w:r w:rsidR="002B35CE" w:rsidRPr="00BB7A49">
              <w:t>currently is not, and will not be after the execution of this Agreement, obliged in any manner whatsoever to purchase medicinal products from Gilead Group companies (including the Products) in any quantities, and continues to have absolute contractual freedom as to the choice of medicinal products, regardless of whether they are produced or supplied by Gilead Group companies or whether such medicinal products compete with medicinal products of Gilead Group companies</w:t>
            </w:r>
            <w:r w:rsidR="002573E6" w:rsidRPr="00BB7A49">
              <w:t>.</w:t>
            </w:r>
          </w:p>
        </w:tc>
      </w:tr>
      <w:tr w:rsidR="002E0B11" w:rsidRPr="00B21502" w14:paraId="7E6BB620" w14:textId="77777777" w:rsidTr="002573E6">
        <w:tc>
          <w:tcPr>
            <w:tcW w:w="2500" w:type="pct"/>
          </w:tcPr>
          <w:p w14:paraId="5568FCE2" w14:textId="77777777" w:rsidR="002E0B11" w:rsidRPr="00BB7A49" w:rsidDel="007E4669" w:rsidRDefault="00C654B6" w:rsidP="001D11D5">
            <w:pPr>
              <w:pStyle w:val="Clanek11"/>
              <w:numPr>
                <w:ilvl w:val="0"/>
                <w:numId w:val="19"/>
              </w:numPr>
              <w:spacing w:before="240" w:after="240"/>
              <w:ind w:left="284" w:hanging="284"/>
              <w:rPr>
                <w:rFonts w:ascii="Times New Roman" w:hAnsi="Times New Roman" w:cs="Times New Roman"/>
                <w:b/>
              </w:rPr>
            </w:pPr>
            <w:r w:rsidRPr="00BB7A49">
              <w:rPr>
                <w:rFonts w:ascii="Times New Roman" w:hAnsi="Times New Roman" w:cs="Times New Roman"/>
                <w:b/>
              </w:rPr>
              <w:t>Důvěrné informace</w:t>
            </w:r>
          </w:p>
        </w:tc>
        <w:tc>
          <w:tcPr>
            <w:tcW w:w="2500" w:type="pct"/>
          </w:tcPr>
          <w:p w14:paraId="37BA3ABA" w14:textId="77777777" w:rsidR="002E0B11" w:rsidRPr="00BB7A49" w:rsidRDefault="00081E58" w:rsidP="00BB7A49">
            <w:pPr>
              <w:pStyle w:val="CMSHeadL3"/>
              <w:numPr>
                <w:ilvl w:val="0"/>
                <w:numId w:val="0"/>
              </w:numPr>
              <w:tabs>
                <w:tab w:val="left" w:pos="318"/>
              </w:tabs>
              <w:spacing w:before="240"/>
              <w:jc w:val="both"/>
              <w:rPr>
                <w:b/>
              </w:rPr>
            </w:pPr>
            <w:r w:rsidRPr="00BB7A49">
              <w:rPr>
                <w:b/>
              </w:rPr>
              <w:t>5.</w:t>
            </w:r>
            <w:r w:rsidRPr="00BB7A49">
              <w:rPr>
                <w:b/>
              </w:rPr>
              <w:tab/>
              <w:t>Confidential Information</w:t>
            </w:r>
          </w:p>
        </w:tc>
      </w:tr>
      <w:tr w:rsidR="002573E6" w:rsidRPr="00B21502" w14:paraId="701A02CE" w14:textId="77777777" w:rsidTr="002573E6">
        <w:tc>
          <w:tcPr>
            <w:tcW w:w="2500" w:type="pct"/>
          </w:tcPr>
          <w:p w14:paraId="0536F18D" w14:textId="1B7C463D" w:rsidR="002573E6" w:rsidRPr="00570B61" w:rsidRDefault="00B16CE1" w:rsidP="001D11D5">
            <w:pPr>
              <w:pStyle w:val="CMSHeadL3"/>
              <w:numPr>
                <w:ilvl w:val="1"/>
                <w:numId w:val="19"/>
              </w:numPr>
              <w:tabs>
                <w:tab w:val="left" w:pos="0"/>
                <w:tab w:val="left" w:pos="426"/>
              </w:tabs>
              <w:spacing w:before="120" w:after="120"/>
              <w:ind w:left="0" w:firstLine="0"/>
              <w:jc w:val="both"/>
              <w:rPr>
                <w:szCs w:val="22"/>
                <w:lang w:val="cs-CZ"/>
              </w:rPr>
            </w:pPr>
            <w:r w:rsidRPr="00570B61">
              <w:rPr>
                <w:szCs w:val="22"/>
                <w:lang w:val="cs-CZ"/>
              </w:rPr>
              <w:t xml:space="preserve"> </w:t>
            </w:r>
            <w:r w:rsidRPr="00BB7A49">
              <w:rPr>
                <w:lang w:val="cs-CZ"/>
              </w:rPr>
              <w:t xml:space="preserve">Strany jsou povinny utajit veškeré informace, které se dozvěděly v rámci uzavírání a plnění této Dohody, včetně jejího obsahu, zejména podmínky spolupráce, ujednání této </w:t>
            </w:r>
            <w:r w:rsidR="00C404DC" w:rsidRPr="00570B61">
              <w:rPr>
                <w:lang w:val="cs-CZ"/>
              </w:rPr>
              <w:t>Dohody</w:t>
            </w:r>
            <w:r w:rsidRPr="00BB7A49">
              <w:rPr>
                <w:lang w:val="cs-CZ"/>
              </w:rPr>
              <w:t xml:space="preserve"> týkající se Bonusu a jeho skutečně poskytnutou výši a jiné informace o vzájemných obchodních vztazích</w:t>
            </w:r>
            <w:r w:rsidR="00F22426">
              <w:rPr>
                <w:lang w:val="cs-CZ"/>
              </w:rPr>
              <w:t>, ledaže jejich uveřejnění požaduje zákon</w:t>
            </w:r>
            <w:r w:rsidRPr="00BB7A49">
              <w:rPr>
                <w:lang w:val="cs-CZ"/>
              </w:rPr>
              <w:t xml:space="preserve"> („</w:t>
            </w:r>
            <w:r w:rsidRPr="00BB7A49">
              <w:rPr>
                <w:b/>
                <w:lang w:val="cs-CZ"/>
              </w:rPr>
              <w:t>Důvěrné informace</w:t>
            </w:r>
            <w:r w:rsidRPr="00BB7A49">
              <w:rPr>
                <w:lang w:val="cs-CZ"/>
              </w:rPr>
              <w:t xml:space="preserve">“). </w:t>
            </w:r>
          </w:p>
        </w:tc>
        <w:tc>
          <w:tcPr>
            <w:tcW w:w="2500" w:type="pct"/>
          </w:tcPr>
          <w:p w14:paraId="27DD4E85" w14:textId="7F48C73F" w:rsidR="002573E6" w:rsidRPr="00570B61" w:rsidRDefault="00B16CE1" w:rsidP="00BB7A49">
            <w:pPr>
              <w:pStyle w:val="CMSHeadL3"/>
              <w:numPr>
                <w:ilvl w:val="0"/>
                <w:numId w:val="0"/>
              </w:numPr>
              <w:tabs>
                <w:tab w:val="left" w:pos="460"/>
              </w:tabs>
              <w:spacing w:before="120" w:after="120"/>
              <w:jc w:val="both"/>
              <w:rPr>
                <w:szCs w:val="22"/>
              </w:rPr>
            </w:pPr>
            <w:r w:rsidRPr="00BB7A49">
              <w:rPr>
                <w:szCs w:val="22"/>
              </w:rPr>
              <w:t>5</w:t>
            </w:r>
            <w:r w:rsidR="002573E6" w:rsidRPr="00BB7A49">
              <w:rPr>
                <w:szCs w:val="22"/>
              </w:rPr>
              <w:t>.1</w:t>
            </w:r>
            <w:r w:rsidR="002573E6" w:rsidRPr="00BB7A49">
              <w:rPr>
                <w:szCs w:val="22"/>
              </w:rPr>
              <w:tab/>
            </w:r>
            <w:r w:rsidR="00081E58" w:rsidRPr="00BB7A49">
              <w:rPr>
                <w:szCs w:val="22"/>
              </w:rPr>
              <w:t>The</w:t>
            </w:r>
            <w:r w:rsidR="002573E6" w:rsidRPr="00BB7A49">
              <w:rPr>
                <w:szCs w:val="22"/>
              </w:rPr>
              <w:t xml:space="preserve"> </w:t>
            </w:r>
            <w:r w:rsidR="00081E58" w:rsidRPr="00BB7A49">
              <w:rPr>
                <w:szCs w:val="22"/>
              </w:rPr>
              <w:t>Parties are obliged to keep in confidence any and all information they have learned while entering into and performing this Agreement, including its content, in particular the terms and conditions of cooperation, provisions herein concerning the Bonus and the Bonus amount actually provided, as well as other information regarding mutual business relations between the Parties</w:t>
            </w:r>
            <w:r w:rsidR="00F22426">
              <w:rPr>
                <w:szCs w:val="22"/>
              </w:rPr>
              <w:t>, unless their publication is required by law</w:t>
            </w:r>
            <w:r w:rsidR="00081E58" w:rsidRPr="00BB7A49">
              <w:rPr>
                <w:szCs w:val="22"/>
              </w:rPr>
              <w:t xml:space="preserve"> (“</w:t>
            </w:r>
            <w:r w:rsidR="00081E58" w:rsidRPr="00BB7A49">
              <w:rPr>
                <w:b/>
                <w:szCs w:val="22"/>
              </w:rPr>
              <w:t>Confidential Information</w:t>
            </w:r>
            <w:r w:rsidR="00081E58" w:rsidRPr="00BB7A49">
              <w:rPr>
                <w:szCs w:val="22"/>
              </w:rPr>
              <w:t>”).</w:t>
            </w:r>
          </w:p>
        </w:tc>
      </w:tr>
      <w:tr w:rsidR="002573E6" w:rsidRPr="00B21502" w14:paraId="756B983D" w14:textId="77777777" w:rsidTr="002573E6">
        <w:tc>
          <w:tcPr>
            <w:tcW w:w="2500" w:type="pct"/>
          </w:tcPr>
          <w:p w14:paraId="30EA8569" w14:textId="77777777" w:rsidR="002573E6" w:rsidRPr="00570B61" w:rsidRDefault="00E06B0F" w:rsidP="00BB7A49">
            <w:pPr>
              <w:pStyle w:val="CMSHeadL3"/>
              <w:numPr>
                <w:ilvl w:val="0"/>
                <w:numId w:val="0"/>
              </w:numPr>
              <w:tabs>
                <w:tab w:val="left" w:pos="426"/>
              </w:tabs>
              <w:spacing w:before="120" w:after="120"/>
              <w:jc w:val="both"/>
              <w:rPr>
                <w:szCs w:val="22"/>
                <w:lang w:val="cs-CZ"/>
              </w:rPr>
            </w:pPr>
            <w:bookmarkStart w:id="10" w:name="_Ref451791460"/>
            <w:r w:rsidRPr="00570B61">
              <w:rPr>
                <w:szCs w:val="22"/>
                <w:lang w:val="cs-CZ"/>
              </w:rPr>
              <w:t>5</w:t>
            </w:r>
            <w:r w:rsidR="002573E6" w:rsidRPr="00570B61">
              <w:rPr>
                <w:szCs w:val="22"/>
                <w:lang w:val="cs-CZ"/>
              </w:rPr>
              <w:t>.</w:t>
            </w:r>
            <w:r w:rsidRPr="00570B61">
              <w:rPr>
                <w:szCs w:val="22"/>
                <w:lang w:val="cs-CZ"/>
              </w:rPr>
              <w:t>2</w:t>
            </w:r>
            <w:r w:rsidR="002573E6" w:rsidRPr="00570B61">
              <w:rPr>
                <w:szCs w:val="22"/>
                <w:lang w:val="cs-CZ"/>
              </w:rPr>
              <w:tab/>
              <w:t xml:space="preserve">Strany se dohodly, že </w:t>
            </w:r>
            <w:r w:rsidR="00B16CE1" w:rsidRPr="00570B61">
              <w:rPr>
                <w:szCs w:val="22"/>
                <w:lang w:val="cs-CZ"/>
              </w:rPr>
              <w:t xml:space="preserve">Důvěrné informace nezveřejní či jiným způsobem nezpřístupní třetím osobám </w:t>
            </w:r>
            <w:r w:rsidR="002573E6" w:rsidRPr="00570B61">
              <w:rPr>
                <w:szCs w:val="22"/>
                <w:lang w:val="cs-CZ"/>
              </w:rPr>
              <w:t xml:space="preserve">bez předchozího písemného souhlasu druhé strany, a to </w:t>
            </w:r>
            <w:r w:rsidR="00B16CE1" w:rsidRPr="00570B61">
              <w:rPr>
                <w:szCs w:val="22"/>
                <w:lang w:val="cs-CZ"/>
              </w:rPr>
              <w:t>an</w:t>
            </w:r>
            <w:r w:rsidR="002573E6" w:rsidRPr="00570B61">
              <w:rPr>
                <w:szCs w:val="22"/>
                <w:lang w:val="cs-CZ"/>
              </w:rPr>
              <w:t>i po skončení či zániku této spolupráce.</w:t>
            </w:r>
            <w:bookmarkEnd w:id="10"/>
          </w:p>
        </w:tc>
        <w:tc>
          <w:tcPr>
            <w:tcW w:w="2500" w:type="pct"/>
          </w:tcPr>
          <w:p w14:paraId="300CC844" w14:textId="77777777" w:rsidR="002573E6" w:rsidRPr="00570B61" w:rsidRDefault="00081E58" w:rsidP="00BB7A49">
            <w:pPr>
              <w:pStyle w:val="CMSHeadL3"/>
              <w:numPr>
                <w:ilvl w:val="0"/>
                <w:numId w:val="0"/>
              </w:numPr>
              <w:tabs>
                <w:tab w:val="left" w:pos="460"/>
              </w:tabs>
              <w:spacing w:before="120" w:after="120"/>
              <w:jc w:val="both"/>
              <w:rPr>
                <w:szCs w:val="22"/>
              </w:rPr>
            </w:pPr>
            <w:r w:rsidRPr="00BB7A49">
              <w:rPr>
                <w:szCs w:val="22"/>
              </w:rPr>
              <w:t>5.</w:t>
            </w:r>
            <w:r w:rsidR="002573E6" w:rsidRPr="00BB7A49">
              <w:rPr>
                <w:szCs w:val="22"/>
              </w:rPr>
              <w:t>2</w:t>
            </w:r>
            <w:r w:rsidR="002573E6" w:rsidRPr="00BB7A49">
              <w:rPr>
                <w:szCs w:val="22"/>
              </w:rPr>
              <w:tab/>
              <w:t xml:space="preserve">The Parties agree not to publish or otherwise disclose </w:t>
            </w:r>
            <w:r w:rsidR="001C237B" w:rsidRPr="00BB7A49">
              <w:rPr>
                <w:szCs w:val="22"/>
              </w:rPr>
              <w:t xml:space="preserve">Confidential Information </w:t>
            </w:r>
            <w:r w:rsidR="002573E6" w:rsidRPr="00BB7A49">
              <w:rPr>
                <w:szCs w:val="22"/>
              </w:rPr>
              <w:t xml:space="preserve">to third parties without the prior written consent of the other Party, even after the termination </w:t>
            </w:r>
            <w:r w:rsidR="001C237B" w:rsidRPr="00BB7A49">
              <w:rPr>
                <w:szCs w:val="22"/>
              </w:rPr>
              <w:t xml:space="preserve">or discontinuation </w:t>
            </w:r>
            <w:r w:rsidR="002573E6" w:rsidRPr="00BB7A49">
              <w:rPr>
                <w:szCs w:val="22"/>
              </w:rPr>
              <w:t>of this cooperation.</w:t>
            </w:r>
          </w:p>
        </w:tc>
      </w:tr>
      <w:tr w:rsidR="00E06B0F" w:rsidRPr="00B21502" w14:paraId="6BB63903" w14:textId="77777777" w:rsidTr="002573E6">
        <w:tc>
          <w:tcPr>
            <w:tcW w:w="2500" w:type="pct"/>
          </w:tcPr>
          <w:p w14:paraId="3BBC5D90" w14:textId="77777777" w:rsidR="00E06B0F" w:rsidRPr="00570B61" w:rsidRDefault="00F1128D" w:rsidP="00BB7A49">
            <w:pPr>
              <w:pStyle w:val="Clanek11"/>
              <w:tabs>
                <w:tab w:val="clear" w:pos="567"/>
                <w:tab w:val="left" w:pos="390"/>
              </w:tabs>
              <w:ind w:left="0" w:firstLine="0"/>
            </w:pPr>
            <w:r w:rsidRPr="00BB7A49">
              <w:rPr>
                <w:rFonts w:ascii="Times New Roman" w:hAnsi="Times New Roman" w:cs="Times New Roman"/>
                <w:szCs w:val="22"/>
              </w:rPr>
              <w:t>5.3</w:t>
            </w:r>
            <w:r w:rsidRPr="00570B61">
              <w:rPr>
                <w:szCs w:val="22"/>
              </w:rPr>
              <w:t xml:space="preserve"> </w:t>
            </w:r>
            <w:r w:rsidRPr="00BB7A49">
              <w:rPr>
                <w:rFonts w:ascii="Times New Roman" w:hAnsi="Times New Roman" w:cs="Times New Roman"/>
              </w:rPr>
              <w:t>Kupující bere na vědomí a souhlasí s tím, že společnost Gilead je oprávněna poskytnout jiným společnostem ze skupiny Gilead tuto Dohodu a jakékoli údaje či dokumenty, které jí Kupující v souvislosti s plněním této Dohody sdělí či poskytne.</w:t>
            </w:r>
          </w:p>
        </w:tc>
        <w:tc>
          <w:tcPr>
            <w:tcW w:w="2500" w:type="pct"/>
          </w:tcPr>
          <w:p w14:paraId="445E2B76" w14:textId="77777777" w:rsidR="00E06B0F" w:rsidRPr="00BB7A49" w:rsidRDefault="00081E58" w:rsidP="00BB7A49">
            <w:pPr>
              <w:pStyle w:val="CMSHeadL3"/>
              <w:numPr>
                <w:ilvl w:val="0"/>
                <w:numId w:val="0"/>
              </w:numPr>
              <w:tabs>
                <w:tab w:val="left" w:pos="318"/>
              </w:tabs>
              <w:spacing w:before="120" w:after="120"/>
              <w:jc w:val="both"/>
              <w:rPr>
                <w:szCs w:val="22"/>
              </w:rPr>
            </w:pPr>
            <w:r w:rsidRPr="00BB7A49">
              <w:rPr>
                <w:szCs w:val="22"/>
              </w:rPr>
              <w:t>5.3</w:t>
            </w:r>
            <w:r w:rsidR="00B833FC">
              <w:rPr>
                <w:szCs w:val="22"/>
              </w:rPr>
              <w:t xml:space="preserve"> </w:t>
            </w:r>
            <w:r w:rsidR="001C237B" w:rsidRPr="00BB7A49">
              <w:rPr>
                <w:szCs w:val="22"/>
              </w:rPr>
              <w:t xml:space="preserve">The Buyer acknowledges and agrees </w:t>
            </w:r>
            <w:r w:rsidR="001C237B" w:rsidRPr="00570B61">
              <w:rPr>
                <w:szCs w:val="22"/>
              </w:rPr>
              <w:t>that Gilead may disclose to other Gilead Group companies this Agreement and any information and/or documents disclosed or provided to Gilead by the Buyer in connection with the performance of this Agreement.</w:t>
            </w:r>
          </w:p>
        </w:tc>
      </w:tr>
      <w:tr w:rsidR="002573E6" w:rsidRPr="00B21502" w14:paraId="6FCFA8D8" w14:textId="77777777" w:rsidTr="002573E6">
        <w:tc>
          <w:tcPr>
            <w:tcW w:w="2500" w:type="pct"/>
          </w:tcPr>
          <w:p w14:paraId="48B61E8D" w14:textId="77777777" w:rsidR="002573E6" w:rsidRPr="00BB7A49" w:rsidRDefault="003B488B" w:rsidP="001D11D5">
            <w:pPr>
              <w:pStyle w:val="CMSHeadL3"/>
              <w:numPr>
                <w:ilvl w:val="0"/>
                <w:numId w:val="19"/>
              </w:numPr>
              <w:tabs>
                <w:tab w:val="left" w:pos="284"/>
              </w:tabs>
              <w:spacing w:before="240"/>
              <w:ind w:left="284" w:hanging="284"/>
              <w:jc w:val="both"/>
              <w:rPr>
                <w:b/>
                <w:szCs w:val="22"/>
                <w:lang w:val="cs-CZ"/>
              </w:rPr>
            </w:pPr>
            <w:r w:rsidRPr="00BB7A49">
              <w:rPr>
                <w:b/>
                <w:szCs w:val="22"/>
                <w:lang w:val="cs-CZ"/>
              </w:rPr>
              <w:lastRenderedPageBreak/>
              <w:t>Uveřejnění v </w:t>
            </w:r>
            <w:r w:rsidR="00C10483" w:rsidRPr="00570B61">
              <w:rPr>
                <w:b/>
                <w:szCs w:val="22"/>
                <w:lang w:val="cs-CZ"/>
              </w:rPr>
              <w:t>r</w:t>
            </w:r>
            <w:r w:rsidRPr="00BB7A49">
              <w:rPr>
                <w:b/>
                <w:szCs w:val="22"/>
                <w:lang w:val="cs-CZ"/>
              </w:rPr>
              <w:t>egistru smluv</w:t>
            </w:r>
          </w:p>
        </w:tc>
        <w:tc>
          <w:tcPr>
            <w:tcW w:w="2500" w:type="pct"/>
          </w:tcPr>
          <w:p w14:paraId="0DBEE7CF" w14:textId="77777777" w:rsidR="002573E6" w:rsidRPr="00BB7A49" w:rsidRDefault="00081E58" w:rsidP="00BB7A49">
            <w:pPr>
              <w:pStyle w:val="CMSHeadL3"/>
              <w:numPr>
                <w:ilvl w:val="0"/>
                <w:numId w:val="0"/>
              </w:numPr>
              <w:tabs>
                <w:tab w:val="left" w:pos="318"/>
              </w:tabs>
              <w:spacing w:before="240"/>
              <w:jc w:val="both"/>
              <w:rPr>
                <w:b/>
              </w:rPr>
            </w:pPr>
            <w:r w:rsidRPr="00BB7A49">
              <w:rPr>
                <w:b/>
              </w:rPr>
              <w:t>6.</w:t>
            </w:r>
            <w:r w:rsidRPr="00BB7A49">
              <w:rPr>
                <w:b/>
              </w:rPr>
              <w:tab/>
              <w:t>Publication in the Register of Contracts</w:t>
            </w:r>
          </w:p>
        </w:tc>
      </w:tr>
      <w:tr w:rsidR="002573E6" w:rsidRPr="00B21502" w14:paraId="244613D8" w14:textId="77777777" w:rsidTr="002573E6">
        <w:tc>
          <w:tcPr>
            <w:tcW w:w="2500" w:type="pct"/>
          </w:tcPr>
          <w:p w14:paraId="0C8D4C99" w14:textId="6AC823BE" w:rsidR="002573E6" w:rsidRPr="00570B61" w:rsidRDefault="00B04B68" w:rsidP="007D29A6">
            <w:pPr>
              <w:pStyle w:val="Clanek11"/>
              <w:numPr>
                <w:ilvl w:val="1"/>
                <w:numId w:val="19"/>
              </w:numPr>
              <w:tabs>
                <w:tab w:val="left" w:pos="440"/>
              </w:tabs>
              <w:rPr>
                <w:rFonts w:ascii="Times New Roman" w:hAnsi="Times New Roman" w:cs="Times New Roman"/>
              </w:rPr>
            </w:pPr>
            <w:r w:rsidRPr="00570B61">
              <w:rPr>
                <w:rFonts w:ascii="Times New Roman" w:hAnsi="Times New Roman" w:cs="Times New Roman"/>
              </w:rPr>
              <w:t xml:space="preserve">Pro případ, že </w:t>
            </w:r>
            <w:r w:rsidR="00DE6953">
              <w:rPr>
                <w:rFonts w:ascii="Times New Roman" w:hAnsi="Times New Roman" w:cs="Times New Roman"/>
              </w:rPr>
              <w:t>z</w:t>
            </w:r>
            <w:r w:rsidRPr="00570B61">
              <w:rPr>
                <w:rFonts w:ascii="Times New Roman" w:hAnsi="Times New Roman" w:cs="Times New Roman"/>
              </w:rPr>
              <w:t xml:space="preserve">ákon </w:t>
            </w:r>
            <w:r w:rsidR="00DE6953" w:rsidRPr="00570B61">
              <w:rPr>
                <w:rFonts w:ascii="Times New Roman" w:hAnsi="Times New Roman" w:cs="Times New Roman"/>
              </w:rPr>
              <w:t>č. 340/2015 Sb., o zvláštních podmínkách účinnosti některých smluv, uveřejňování těchto smluv a o registru smluv (zákon o registru smluv), ve znění pozdějších předpisů („</w:t>
            </w:r>
            <w:r w:rsidR="00DE6953" w:rsidRPr="00570B61">
              <w:rPr>
                <w:rFonts w:ascii="Times New Roman" w:hAnsi="Times New Roman" w:cs="Times New Roman"/>
                <w:b/>
              </w:rPr>
              <w:t>Zákon o registru smluv</w:t>
            </w:r>
            <w:r w:rsidR="00DE6953" w:rsidRPr="00570B61">
              <w:rPr>
                <w:rFonts w:ascii="Times New Roman" w:hAnsi="Times New Roman" w:cs="Times New Roman"/>
              </w:rPr>
              <w:t>“)</w:t>
            </w:r>
            <w:r w:rsidR="00DE6953">
              <w:rPr>
                <w:rFonts w:ascii="Times New Roman" w:hAnsi="Times New Roman" w:cs="Times New Roman"/>
              </w:rPr>
              <w:t xml:space="preserve"> </w:t>
            </w:r>
            <w:r w:rsidRPr="00570B61">
              <w:rPr>
                <w:rFonts w:ascii="Times New Roman" w:hAnsi="Times New Roman" w:cs="Times New Roman"/>
              </w:rPr>
              <w:t xml:space="preserve">vyžaduje, aby tato </w:t>
            </w:r>
            <w:r w:rsidR="00C10483" w:rsidRPr="00570B61">
              <w:rPr>
                <w:rFonts w:ascii="Times New Roman" w:hAnsi="Times New Roman" w:cs="Times New Roman"/>
              </w:rPr>
              <w:t>Dohoda</w:t>
            </w:r>
            <w:r w:rsidRPr="00570B61">
              <w:rPr>
                <w:rFonts w:ascii="Times New Roman" w:hAnsi="Times New Roman" w:cs="Times New Roman"/>
              </w:rPr>
              <w:t xml:space="preserve"> byla uveřejněna v registru smluv, se Strany dohodly, že její uveřejnění zajistí společnost </w:t>
            </w:r>
            <w:r w:rsidR="00C10483" w:rsidRPr="00570B61">
              <w:rPr>
                <w:rFonts w:ascii="Times New Roman" w:hAnsi="Times New Roman" w:cs="Times New Roman"/>
              </w:rPr>
              <w:t>Gilead</w:t>
            </w:r>
            <w:r w:rsidRPr="00570B61">
              <w:rPr>
                <w:rFonts w:ascii="Times New Roman" w:hAnsi="Times New Roman" w:cs="Times New Roman"/>
              </w:rPr>
              <w:t xml:space="preserve">, a to plně v souladu se </w:t>
            </w:r>
            <w:r w:rsidR="00DE6953">
              <w:rPr>
                <w:rFonts w:ascii="Times New Roman" w:hAnsi="Times New Roman" w:cs="Times New Roman"/>
              </w:rPr>
              <w:t>Z</w:t>
            </w:r>
            <w:r w:rsidRPr="00570B61">
              <w:rPr>
                <w:rFonts w:ascii="Times New Roman" w:hAnsi="Times New Roman" w:cs="Times New Roman"/>
              </w:rPr>
              <w:t>ákonem</w:t>
            </w:r>
            <w:r w:rsidR="00DE6953">
              <w:rPr>
                <w:rFonts w:ascii="Times New Roman" w:hAnsi="Times New Roman" w:cs="Times New Roman"/>
              </w:rPr>
              <w:t xml:space="preserve"> o registru smluv</w:t>
            </w:r>
            <w:r w:rsidR="00F269EC">
              <w:rPr>
                <w:rFonts w:ascii="Times New Roman" w:hAnsi="Times New Roman" w:cs="Times New Roman"/>
              </w:rPr>
              <w:t>,</w:t>
            </w:r>
            <w:r w:rsidR="007D29A6">
              <w:rPr>
                <w:rFonts w:ascii="Times New Roman" w:hAnsi="Times New Roman" w:cs="Times New Roman"/>
              </w:rPr>
              <w:t xml:space="preserve"> a následně potvr</w:t>
            </w:r>
            <w:r w:rsidR="00F269EC">
              <w:rPr>
                <w:rFonts w:ascii="Times New Roman" w:hAnsi="Times New Roman" w:cs="Times New Roman"/>
              </w:rPr>
              <w:t>dí</w:t>
            </w:r>
            <w:r w:rsidR="007D29A6">
              <w:rPr>
                <w:rFonts w:ascii="Times New Roman" w:hAnsi="Times New Roman" w:cs="Times New Roman"/>
              </w:rPr>
              <w:t xml:space="preserve"> zveřejnění na e-mail: pravni</w:t>
            </w:r>
            <w:r w:rsidR="007D29A6" w:rsidRPr="007D29A6">
              <w:rPr>
                <w:rFonts w:ascii="Times New Roman" w:hAnsi="Times New Roman" w:cs="Times New Roman"/>
              </w:rPr>
              <w:t>@</w:t>
            </w:r>
            <w:r w:rsidR="007D29A6">
              <w:rPr>
                <w:rFonts w:ascii="Times New Roman" w:hAnsi="Times New Roman" w:cs="Times New Roman"/>
              </w:rPr>
              <w:t>ikem.cz</w:t>
            </w:r>
            <w:r w:rsidRPr="00570B61">
              <w:rPr>
                <w:rFonts w:ascii="Times New Roman" w:hAnsi="Times New Roman" w:cs="Times New Roman"/>
              </w:rPr>
              <w:t>.</w:t>
            </w:r>
          </w:p>
        </w:tc>
        <w:tc>
          <w:tcPr>
            <w:tcW w:w="2500" w:type="pct"/>
          </w:tcPr>
          <w:p w14:paraId="23C0533D" w14:textId="3FB698E7" w:rsidR="002573E6" w:rsidRPr="00570B61" w:rsidRDefault="00E77469" w:rsidP="00BB7A49">
            <w:pPr>
              <w:pStyle w:val="CMSHeadL3"/>
              <w:numPr>
                <w:ilvl w:val="0"/>
                <w:numId w:val="0"/>
              </w:numPr>
              <w:tabs>
                <w:tab w:val="left" w:pos="460"/>
              </w:tabs>
              <w:spacing w:before="120" w:after="120"/>
              <w:jc w:val="both"/>
              <w:rPr>
                <w:szCs w:val="22"/>
              </w:rPr>
            </w:pPr>
            <w:r w:rsidRPr="00570B61">
              <w:rPr>
                <w:szCs w:val="22"/>
              </w:rPr>
              <w:t>6.1</w:t>
            </w:r>
            <w:r w:rsidRPr="00570B61">
              <w:rPr>
                <w:szCs w:val="22"/>
              </w:rPr>
              <w:tab/>
            </w:r>
            <w:r w:rsidRPr="00570B61">
              <w:t xml:space="preserve">In case this Agreement must, pursuant to </w:t>
            </w:r>
            <w:r w:rsidR="00E46EC6">
              <w:t>Act no. 340/2015 Coll.,</w:t>
            </w:r>
            <w:r w:rsidR="00E46EC6" w:rsidRPr="00570B61">
              <w:t xml:space="preserve"> on special conditions governing the effect of certain contracts, publication of those contracts, and on the register of contracts (the Contracts Register Act), as amended (the “</w:t>
            </w:r>
            <w:r w:rsidR="00E46EC6" w:rsidRPr="00570B61">
              <w:rPr>
                <w:b/>
              </w:rPr>
              <w:t>Contract</w:t>
            </w:r>
            <w:r w:rsidR="00E46EC6">
              <w:rPr>
                <w:b/>
              </w:rPr>
              <w:t>s</w:t>
            </w:r>
            <w:r w:rsidR="00E46EC6" w:rsidRPr="00570B61">
              <w:rPr>
                <w:b/>
              </w:rPr>
              <w:t xml:space="preserve"> Register Act</w:t>
            </w:r>
            <w:r w:rsidR="00E46EC6" w:rsidRPr="00570B61">
              <w:t>”)</w:t>
            </w:r>
            <w:r w:rsidRPr="00570B61">
              <w:t>, be published in the register of contracts, the Parties have agreed that Gilead will ensure its publication, fully in compliance with</w:t>
            </w:r>
            <w:r w:rsidR="00E46EC6">
              <w:t xml:space="preserve"> the Contract</w:t>
            </w:r>
            <w:r w:rsidR="00DC4F7F">
              <w:t>s</w:t>
            </w:r>
            <w:r w:rsidR="00E46EC6">
              <w:t xml:space="preserve"> Register Act</w:t>
            </w:r>
            <w:r w:rsidR="00F269EC">
              <w:t>, and will confirm the publication on e-mail: pravni@ikem.cz</w:t>
            </w:r>
            <w:r w:rsidRPr="00570B61">
              <w:t>.</w:t>
            </w:r>
          </w:p>
        </w:tc>
      </w:tr>
      <w:tr w:rsidR="003B488B" w:rsidRPr="003B488B" w14:paraId="4DB87CCE" w14:textId="77777777" w:rsidTr="002573E6">
        <w:tc>
          <w:tcPr>
            <w:tcW w:w="2500" w:type="pct"/>
          </w:tcPr>
          <w:p w14:paraId="2F74004A" w14:textId="77777777" w:rsidR="00B04B68" w:rsidRPr="00570B61" w:rsidRDefault="00B04B68" w:rsidP="00BB7A49">
            <w:pPr>
              <w:pStyle w:val="Clanek11"/>
              <w:tabs>
                <w:tab w:val="clear" w:pos="567"/>
                <w:tab w:val="left" w:pos="426"/>
              </w:tabs>
              <w:ind w:left="0" w:firstLine="0"/>
              <w:rPr>
                <w:rFonts w:ascii="Times New Roman" w:hAnsi="Times New Roman" w:cs="Times New Roman"/>
              </w:rPr>
            </w:pPr>
            <w:r w:rsidRPr="00570B61">
              <w:rPr>
                <w:rFonts w:ascii="Times New Roman" w:hAnsi="Times New Roman" w:cs="Times New Roman"/>
                <w:szCs w:val="22"/>
              </w:rPr>
              <w:t xml:space="preserve">6.2 </w:t>
            </w:r>
            <w:bookmarkStart w:id="11" w:name="_Ref485832963"/>
            <w:r w:rsidRPr="00570B61">
              <w:rPr>
                <w:rFonts w:ascii="Times New Roman" w:hAnsi="Times New Roman" w:cs="Times New Roman"/>
              </w:rPr>
              <w:t xml:space="preserve">Společnost </w:t>
            </w:r>
            <w:r w:rsidR="00C10483" w:rsidRPr="00570B61">
              <w:rPr>
                <w:rFonts w:ascii="Times New Roman" w:hAnsi="Times New Roman" w:cs="Times New Roman"/>
              </w:rPr>
              <w:t>Gilead</w:t>
            </w:r>
            <w:r w:rsidRPr="00570B61">
              <w:rPr>
                <w:rFonts w:ascii="Times New Roman" w:hAnsi="Times New Roman" w:cs="Times New Roman"/>
              </w:rPr>
              <w:t xml:space="preserve"> v souladu s § 5 Zákona o registru smluv zašle správci registru smluv</w:t>
            </w:r>
            <w:bookmarkEnd w:id="11"/>
            <w:r w:rsidRPr="00570B61">
              <w:rPr>
                <w:rFonts w:ascii="Times New Roman" w:hAnsi="Times New Roman" w:cs="Times New Roman"/>
              </w:rPr>
              <w:t xml:space="preserve">: </w:t>
            </w:r>
          </w:p>
          <w:p w14:paraId="103BE0EA" w14:textId="77777777" w:rsidR="00B04B68" w:rsidRPr="00570B61" w:rsidRDefault="00B04B68" w:rsidP="00BB7A49">
            <w:pPr>
              <w:pStyle w:val="Claneka"/>
              <w:tabs>
                <w:tab w:val="clear" w:pos="992"/>
              </w:tabs>
              <w:ind w:left="426" w:hanging="426"/>
              <w:rPr>
                <w:rFonts w:ascii="Times New Roman" w:hAnsi="Times New Roman"/>
              </w:rPr>
            </w:pPr>
            <w:r w:rsidRPr="00570B61">
              <w:rPr>
                <w:rFonts w:ascii="Times New Roman" w:hAnsi="Times New Roman"/>
              </w:rPr>
              <w:t xml:space="preserve">(a) elektronický obraz textového obsahu této </w:t>
            </w:r>
            <w:r w:rsidR="00C10483" w:rsidRPr="00570B61">
              <w:rPr>
                <w:rFonts w:ascii="Times New Roman" w:hAnsi="Times New Roman"/>
              </w:rPr>
              <w:t>Dohody</w:t>
            </w:r>
            <w:r w:rsidRPr="00570B61">
              <w:rPr>
                <w:rFonts w:ascii="Times New Roman" w:hAnsi="Times New Roman"/>
              </w:rPr>
              <w:t xml:space="preserve"> v otevřeném a strojově čitelném formátu; a</w:t>
            </w:r>
          </w:p>
          <w:p w14:paraId="6430362A" w14:textId="77777777" w:rsidR="00B04B68" w:rsidRPr="00570B61" w:rsidRDefault="00B04B68" w:rsidP="00BB7A49">
            <w:pPr>
              <w:pStyle w:val="Claneka"/>
              <w:tabs>
                <w:tab w:val="clear" w:pos="992"/>
              </w:tabs>
              <w:ind w:left="426" w:hanging="426"/>
              <w:rPr>
                <w:rFonts w:ascii="Times New Roman" w:hAnsi="Times New Roman"/>
              </w:rPr>
            </w:pPr>
            <w:r w:rsidRPr="00570B61">
              <w:rPr>
                <w:rFonts w:ascii="Times New Roman" w:hAnsi="Times New Roman"/>
              </w:rPr>
              <w:t>(b) metadata vyžadovaná Zákonem o registru smluv,</w:t>
            </w:r>
          </w:p>
          <w:p w14:paraId="289ADC33" w14:textId="77777777" w:rsidR="003B488B" w:rsidRPr="00570B61" w:rsidRDefault="00B04B68" w:rsidP="00EB6111">
            <w:pPr>
              <w:pStyle w:val="Clanek11"/>
              <w:tabs>
                <w:tab w:val="clear" w:pos="567"/>
              </w:tabs>
              <w:ind w:left="0" w:firstLine="0"/>
              <w:rPr>
                <w:rFonts w:ascii="Times New Roman" w:hAnsi="Times New Roman" w:cs="Times New Roman"/>
              </w:rPr>
            </w:pPr>
            <w:r w:rsidRPr="00570B61">
              <w:rPr>
                <w:rFonts w:ascii="Times New Roman" w:hAnsi="Times New Roman" w:cs="Times New Roman"/>
              </w:rPr>
              <w:t>a to do příslušné datové schránky Ministerstva vnitra určené pro uveřejňování záznamů v registru smluv prostřednictvím elektronického formuláře zveřejněného na portálu veřejné správy.</w:t>
            </w:r>
          </w:p>
        </w:tc>
        <w:tc>
          <w:tcPr>
            <w:tcW w:w="2500" w:type="pct"/>
          </w:tcPr>
          <w:p w14:paraId="57FE5C6E" w14:textId="77777777" w:rsidR="00E77469" w:rsidRPr="00570B61" w:rsidRDefault="00E77469" w:rsidP="00BB7A49">
            <w:pPr>
              <w:pStyle w:val="Clanek11"/>
              <w:tabs>
                <w:tab w:val="clear" w:pos="567"/>
                <w:tab w:val="left" w:pos="460"/>
              </w:tabs>
              <w:ind w:left="0" w:firstLine="0"/>
              <w:rPr>
                <w:rFonts w:ascii="Times New Roman" w:hAnsi="Times New Roman" w:cs="Times New Roman"/>
                <w:szCs w:val="22"/>
                <w:lang w:val="en-GB"/>
              </w:rPr>
            </w:pPr>
            <w:r w:rsidRPr="00BB7A49">
              <w:rPr>
                <w:rFonts w:ascii="Times New Roman" w:hAnsi="Times New Roman" w:cs="Times New Roman"/>
                <w:szCs w:val="22"/>
                <w:lang w:val="en-GB"/>
              </w:rPr>
              <w:t>6.2</w:t>
            </w:r>
            <w:r w:rsidRPr="00BB7A49">
              <w:rPr>
                <w:rFonts w:ascii="Times New Roman" w:hAnsi="Times New Roman" w:cs="Times New Roman"/>
                <w:szCs w:val="22"/>
                <w:lang w:val="en-GB"/>
              </w:rPr>
              <w:tab/>
            </w:r>
            <w:r w:rsidRPr="00570B61">
              <w:rPr>
                <w:rFonts w:ascii="Times New Roman" w:hAnsi="Times New Roman" w:cs="Times New Roman"/>
                <w:szCs w:val="22"/>
                <w:lang w:val="en-GB"/>
              </w:rPr>
              <w:t>In compliance with Section 5 of the Contracts Register Act, Gilead will send</w:t>
            </w:r>
            <w:r w:rsidRPr="00BB7A49">
              <w:rPr>
                <w:rFonts w:ascii="Times New Roman" w:hAnsi="Times New Roman" w:cs="Times New Roman"/>
                <w:szCs w:val="22"/>
                <w:lang w:val="en-GB"/>
              </w:rPr>
              <w:t xml:space="preserve"> to the contract register administrator</w:t>
            </w:r>
            <w:r w:rsidRPr="00570B61">
              <w:rPr>
                <w:rFonts w:ascii="Times New Roman" w:hAnsi="Times New Roman" w:cs="Times New Roman"/>
                <w:szCs w:val="22"/>
                <w:lang w:val="en-GB"/>
              </w:rPr>
              <w:t xml:space="preserve">: </w:t>
            </w:r>
          </w:p>
          <w:p w14:paraId="542CC1E0" w14:textId="77777777" w:rsidR="00E77469" w:rsidRPr="00B833FC" w:rsidRDefault="00E77469" w:rsidP="00BB7A49">
            <w:pPr>
              <w:pStyle w:val="Claneka"/>
              <w:tabs>
                <w:tab w:val="clear" w:pos="992"/>
              </w:tabs>
              <w:ind w:left="460" w:hanging="460"/>
              <w:rPr>
                <w:rFonts w:ascii="Times New Roman" w:hAnsi="Times New Roman"/>
                <w:szCs w:val="22"/>
                <w:lang w:val="en-GB"/>
              </w:rPr>
            </w:pPr>
            <w:r w:rsidRPr="00570B61">
              <w:rPr>
                <w:rFonts w:ascii="Times New Roman" w:hAnsi="Times New Roman"/>
                <w:szCs w:val="22"/>
                <w:lang w:val="en-GB"/>
              </w:rPr>
              <w:t>(a)</w:t>
            </w:r>
            <w:r w:rsidRPr="00570B61">
              <w:rPr>
                <w:rFonts w:ascii="Times New Roman" w:hAnsi="Times New Roman"/>
                <w:szCs w:val="22"/>
                <w:lang w:val="en-GB"/>
              </w:rPr>
              <w:tab/>
              <w:t>an electronic image of the text of this</w:t>
            </w:r>
            <w:r w:rsidRPr="000E25FB">
              <w:rPr>
                <w:rFonts w:ascii="Times New Roman" w:hAnsi="Times New Roman"/>
                <w:szCs w:val="22"/>
                <w:lang w:val="en-GB"/>
              </w:rPr>
              <w:t xml:space="preserve"> Agreement in an open and machine-readable format; and</w:t>
            </w:r>
          </w:p>
          <w:p w14:paraId="54168704" w14:textId="77777777" w:rsidR="00E77469" w:rsidRPr="00B833FC" w:rsidRDefault="00E77469" w:rsidP="00BB7A49">
            <w:pPr>
              <w:pStyle w:val="Claneka"/>
              <w:tabs>
                <w:tab w:val="clear" w:pos="992"/>
              </w:tabs>
              <w:ind w:left="460" w:hanging="460"/>
              <w:rPr>
                <w:rFonts w:ascii="Times New Roman" w:hAnsi="Times New Roman"/>
                <w:szCs w:val="22"/>
                <w:lang w:val="en-GB"/>
              </w:rPr>
            </w:pPr>
            <w:r w:rsidRPr="00134BE0">
              <w:rPr>
                <w:rFonts w:ascii="Times New Roman" w:hAnsi="Times New Roman"/>
                <w:szCs w:val="22"/>
                <w:lang w:val="en-GB"/>
              </w:rPr>
              <w:t>(b)</w:t>
            </w:r>
            <w:r w:rsidRPr="00570B61">
              <w:rPr>
                <w:rFonts w:ascii="Times New Roman" w:hAnsi="Times New Roman"/>
                <w:szCs w:val="22"/>
                <w:lang w:val="en-GB"/>
              </w:rPr>
              <w:tab/>
            </w:r>
            <w:r w:rsidRPr="000E25FB">
              <w:rPr>
                <w:rFonts w:ascii="Times New Roman" w:hAnsi="Times New Roman"/>
                <w:szCs w:val="22"/>
                <w:lang w:val="en-GB"/>
              </w:rPr>
              <w:t>metadata as required by the Contract</w:t>
            </w:r>
            <w:r w:rsidRPr="00570B61">
              <w:rPr>
                <w:rFonts w:ascii="Times New Roman" w:hAnsi="Times New Roman"/>
                <w:szCs w:val="22"/>
                <w:lang w:val="en-GB"/>
              </w:rPr>
              <w:t>s</w:t>
            </w:r>
            <w:r w:rsidRPr="000E25FB">
              <w:rPr>
                <w:rFonts w:ascii="Times New Roman" w:hAnsi="Times New Roman"/>
                <w:szCs w:val="22"/>
                <w:lang w:val="en-GB"/>
              </w:rPr>
              <w:t xml:space="preserve"> Register Act,</w:t>
            </w:r>
          </w:p>
          <w:p w14:paraId="7F4679B8" w14:textId="77777777" w:rsidR="003B488B" w:rsidRPr="00BB7A49" w:rsidRDefault="00E77469" w:rsidP="00BB7A49">
            <w:pPr>
              <w:pStyle w:val="CMSHeadL3"/>
              <w:numPr>
                <w:ilvl w:val="0"/>
                <w:numId w:val="0"/>
              </w:numPr>
              <w:tabs>
                <w:tab w:val="left" w:pos="602"/>
              </w:tabs>
              <w:spacing w:before="120" w:after="120"/>
              <w:jc w:val="both"/>
              <w:rPr>
                <w:szCs w:val="22"/>
              </w:rPr>
            </w:pPr>
            <w:r w:rsidRPr="00134BE0">
              <w:rPr>
                <w:szCs w:val="22"/>
              </w:rPr>
              <w:t>to the relevant data box of the Ministry of Interior used for the purpose of publication of entries in the register</w:t>
            </w:r>
            <w:r w:rsidRPr="00570B61">
              <w:rPr>
                <w:szCs w:val="22"/>
              </w:rPr>
              <w:t xml:space="preserve"> of contracts, using an e-form available on the public administration portal.</w:t>
            </w:r>
          </w:p>
        </w:tc>
      </w:tr>
      <w:tr w:rsidR="003B488B" w:rsidRPr="003B488B" w14:paraId="3684AF50" w14:textId="77777777" w:rsidTr="002573E6">
        <w:tc>
          <w:tcPr>
            <w:tcW w:w="2500" w:type="pct"/>
          </w:tcPr>
          <w:p w14:paraId="3998D981" w14:textId="77777777" w:rsidR="003B488B" w:rsidRPr="00570B61" w:rsidRDefault="00B04B68" w:rsidP="00EB6111">
            <w:pPr>
              <w:pStyle w:val="Clanek11"/>
              <w:tabs>
                <w:tab w:val="clear" w:pos="567"/>
              </w:tabs>
              <w:ind w:left="0" w:firstLine="0"/>
              <w:rPr>
                <w:rFonts w:ascii="Times New Roman" w:hAnsi="Times New Roman" w:cs="Times New Roman"/>
              </w:rPr>
            </w:pPr>
            <w:r w:rsidRPr="00570B61">
              <w:rPr>
                <w:rFonts w:ascii="Times New Roman" w:hAnsi="Times New Roman" w:cs="Times New Roman"/>
                <w:szCs w:val="22"/>
              </w:rPr>
              <w:t xml:space="preserve">6.3 </w:t>
            </w:r>
            <w:r w:rsidRPr="00570B61">
              <w:rPr>
                <w:rFonts w:ascii="Times New Roman" w:hAnsi="Times New Roman" w:cs="Times New Roman"/>
              </w:rPr>
              <w:t xml:space="preserve">Společnost </w:t>
            </w:r>
            <w:r w:rsidR="00C10483" w:rsidRPr="00570B61">
              <w:rPr>
                <w:rFonts w:ascii="Times New Roman" w:hAnsi="Times New Roman" w:cs="Times New Roman"/>
              </w:rPr>
              <w:t>Gilead</w:t>
            </w:r>
            <w:r w:rsidRPr="00570B61">
              <w:rPr>
                <w:rFonts w:ascii="Times New Roman" w:hAnsi="Times New Roman" w:cs="Times New Roman"/>
              </w:rPr>
              <w:t xml:space="preserve"> se zavazuje vyplnit ve formuláři pro uveřejnění smlouvy v registru smluv adresu datové schránky nebo e-mailu </w:t>
            </w:r>
            <w:r w:rsidR="00C10483" w:rsidRPr="00570B61">
              <w:rPr>
                <w:rFonts w:ascii="Times New Roman" w:hAnsi="Times New Roman" w:cs="Times New Roman"/>
              </w:rPr>
              <w:t>Kupujícího</w:t>
            </w:r>
            <w:r w:rsidRPr="00570B61">
              <w:rPr>
                <w:rFonts w:ascii="Times New Roman" w:hAnsi="Times New Roman" w:cs="Times New Roman"/>
              </w:rPr>
              <w:t xml:space="preserve">, aby správce registru smluv mohl </w:t>
            </w:r>
            <w:r w:rsidR="00C10483" w:rsidRPr="00570B61">
              <w:rPr>
                <w:rFonts w:ascii="Times New Roman" w:hAnsi="Times New Roman" w:cs="Times New Roman"/>
              </w:rPr>
              <w:t>Kupujícímu</w:t>
            </w:r>
            <w:r w:rsidRPr="00570B61">
              <w:rPr>
                <w:rFonts w:ascii="Times New Roman" w:hAnsi="Times New Roman" w:cs="Times New Roman"/>
              </w:rPr>
              <w:t xml:space="preserve"> zaslat potvrzení o uveřejnění podle § 5 odst. 4 Zákona o registru smluv.</w:t>
            </w:r>
          </w:p>
        </w:tc>
        <w:tc>
          <w:tcPr>
            <w:tcW w:w="2500" w:type="pct"/>
          </w:tcPr>
          <w:p w14:paraId="37DD0E91" w14:textId="77777777" w:rsidR="003B488B" w:rsidRPr="00BB7A49" w:rsidRDefault="002E2859" w:rsidP="00BB7A49">
            <w:pPr>
              <w:pStyle w:val="CMSHeadL3"/>
              <w:numPr>
                <w:ilvl w:val="0"/>
                <w:numId w:val="0"/>
              </w:numPr>
              <w:tabs>
                <w:tab w:val="left" w:pos="460"/>
              </w:tabs>
              <w:spacing w:before="120" w:after="120"/>
              <w:jc w:val="both"/>
              <w:rPr>
                <w:szCs w:val="22"/>
              </w:rPr>
            </w:pPr>
            <w:r w:rsidRPr="00570B61">
              <w:rPr>
                <w:szCs w:val="22"/>
              </w:rPr>
              <w:t>6.3</w:t>
            </w:r>
            <w:r w:rsidRPr="00570B61">
              <w:rPr>
                <w:szCs w:val="22"/>
              </w:rPr>
              <w:tab/>
            </w:r>
            <w:r w:rsidRPr="00570B61">
              <w:t>Gilead undertakes to enter the Buyer’s data box or e-mail address in the form for publication of a contract in the register of contracts to enable the contract register administrator to send a confirmation of publication to the Buyer pursuant to Section 5(4) of the Contracts Register Act.</w:t>
            </w:r>
          </w:p>
        </w:tc>
      </w:tr>
      <w:tr w:rsidR="003B488B" w:rsidRPr="003B488B" w14:paraId="19DBBD28" w14:textId="77777777" w:rsidTr="002573E6">
        <w:tc>
          <w:tcPr>
            <w:tcW w:w="2500" w:type="pct"/>
          </w:tcPr>
          <w:p w14:paraId="1B46535A" w14:textId="77777777" w:rsidR="003B488B" w:rsidRPr="00570B61" w:rsidRDefault="00B04B68" w:rsidP="001D11D5">
            <w:pPr>
              <w:pStyle w:val="Clanek11"/>
              <w:numPr>
                <w:ilvl w:val="1"/>
                <w:numId w:val="20"/>
              </w:numPr>
              <w:tabs>
                <w:tab w:val="left" w:pos="450"/>
              </w:tabs>
              <w:ind w:left="0" w:firstLine="0"/>
              <w:rPr>
                <w:rFonts w:ascii="Times New Roman" w:hAnsi="Times New Roman" w:cs="Times New Roman"/>
                <w:szCs w:val="22"/>
              </w:rPr>
            </w:pPr>
            <w:bookmarkStart w:id="12" w:name="_Ref485833607"/>
            <w:r w:rsidRPr="00570B61">
              <w:rPr>
                <w:rFonts w:ascii="Times New Roman" w:hAnsi="Times New Roman" w:cs="Times New Roman"/>
              </w:rPr>
              <w:t xml:space="preserve">Společnost </w:t>
            </w:r>
            <w:r w:rsidR="00C10483" w:rsidRPr="00570B61">
              <w:rPr>
                <w:rFonts w:ascii="Times New Roman" w:hAnsi="Times New Roman" w:cs="Times New Roman"/>
              </w:rPr>
              <w:t>Gilead</w:t>
            </w:r>
            <w:r w:rsidRPr="00570B61">
              <w:rPr>
                <w:rFonts w:ascii="Times New Roman" w:hAnsi="Times New Roman" w:cs="Times New Roman"/>
              </w:rPr>
              <w:t xml:space="preserve"> splní povinnost stanovenou v článku </w:t>
            </w:r>
            <w:r w:rsidR="003A6959">
              <w:rPr>
                <w:bCs w:val="0"/>
                <w:iCs w:val="0"/>
              </w:rPr>
              <w:t>6.2.</w:t>
            </w:r>
            <w:r w:rsidRPr="00570B61">
              <w:rPr>
                <w:rFonts w:ascii="Times New Roman" w:hAnsi="Times New Roman" w:cs="Times New Roman"/>
              </w:rPr>
              <w:t xml:space="preserve"> neprodleně po uzavření této </w:t>
            </w:r>
            <w:r w:rsidR="00C10483" w:rsidRPr="00570B61">
              <w:rPr>
                <w:rFonts w:ascii="Times New Roman" w:hAnsi="Times New Roman" w:cs="Times New Roman"/>
              </w:rPr>
              <w:t>Dohody</w:t>
            </w:r>
            <w:r w:rsidRPr="00570B61">
              <w:rPr>
                <w:rFonts w:ascii="Times New Roman" w:hAnsi="Times New Roman" w:cs="Times New Roman"/>
              </w:rPr>
              <w:t>, nejpozději však do 25 dnů od jejího uzavření.</w:t>
            </w:r>
            <w:bookmarkEnd w:id="12"/>
          </w:p>
        </w:tc>
        <w:tc>
          <w:tcPr>
            <w:tcW w:w="2500" w:type="pct"/>
          </w:tcPr>
          <w:p w14:paraId="73F85B84" w14:textId="77777777" w:rsidR="003B488B" w:rsidRPr="00BB7A49" w:rsidRDefault="00285768" w:rsidP="00BB7A49">
            <w:pPr>
              <w:pStyle w:val="CMSHeadL3"/>
              <w:numPr>
                <w:ilvl w:val="0"/>
                <w:numId w:val="0"/>
              </w:numPr>
              <w:tabs>
                <w:tab w:val="left" w:pos="460"/>
              </w:tabs>
              <w:spacing w:before="120" w:after="120"/>
              <w:jc w:val="both"/>
              <w:rPr>
                <w:szCs w:val="22"/>
              </w:rPr>
            </w:pPr>
            <w:r w:rsidRPr="00570B61">
              <w:t>6.4</w:t>
            </w:r>
            <w:r w:rsidRPr="00570B61">
              <w:tab/>
              <w:t>Gilead will fulfil its duty laid down in clause 6.2 without delay upon execution of this Agreement, but not later than 25 days of its execution.</w:t>
            </w:r>
          </w:p>
        </w:tc>
      </w:tr>
      <w:tr w:rsidR="003B488B" w:rsidRPr="003B488B" w14:paraId="5516F905" w14:textId="77777777" w:rsidTr="002573E6">
        <w:tc>
          <w:tcPr>
            <w:tcW w:w="2500" w:type="pct"/>
          </w:tcPr>
          <w:p w14:paraId="1DF47815" w14:textId="77777777" w:rsidR="003B488B" w:rsidRPr="00BB7A49" w:rsidRDefault="00B04B68" w:rsidP="00EB6111">
            <w:pPr>
              <w:pStyle w:val="Clanek11"/>
              <w:tabs>
                <w:tab w:val="clear" w:pos="567"/>
              </w:tabs>
              <w:ind w:left="0" w:firstLine="0"/>
              <w:rPr>
                <w:rFonts w:ascii="Times New Roman" w:hAnsi="Times New Roman" w:cs="Times New Roman"/>
              </w:rPr>
            </w:pPr>
            <w:r w:rsidRPr="00570B61">
              <w:rPr>
                <w:rFonts w:ascii="Times New Roman" w:hAnsi="Times New Roman" w:cs="Times New Roman"/>
                <w:szCs w:val="22"/>
              </w:rPr>
              <w:t xml:space="preserve">6.5 </w:t>
            </w:r>
            <w:r w:rsidR="00C10483" w:rsidRPr="00570B61">
              <w:rPr>
                <w:rFonts w:ascii="Times New Roman" w:hAnsi="Times New Roman" w:cs="Times New Roman"/>
              </w:rPr>
              <w:t>Kupující</w:t>
            </w:r>
            <w:r w:rsidRPr="00570B61">
              <w:rPr>
                <w:rFonts w:ascii="Times New Roman" w:hAnsi="Times New Roman" w:cs="Times New Roman"/>
              </w:rPr>
              <w:t xml:space="preserve"> bere na vědomí a souhlasí, že společnost </w:t>
            </w:r>
            <w:r w:rsidR="00C10483" w:rsidRPr="00570B61">
              <w:rPr>
                <w:rFonts w:ascii="Times New Roman" w:hAnsi="Times New Roman" w:cs="Times New Roman"/>
              </w:rPr>
              <w:t>Gilead</w:t>
            </w:r>
            <w:r w:rsidRPr="00570B61">
              <w:rPr>
                <w:rFonts w:ascii="Times New Roman" w:hAnsi="Times New Roman" w:cs="Times New Roman"/>
              </w:rPr>
              <w:t xml:space="preserve"> je oprávněna znečitelnit v</w:t>
            </w:r>
            <w:r w:rsidR="00300A08" w:rsidRPr="00570B61">
              <w:rPr>
                <w:rFonts w:ascii="Times New Roman" w:hAnsi="Times New Roman" w:cs="Times New Roman"/>
              </w:rPr>
              <w:t> </w:t>
            </w:r>
            <w:r w:rsidR="00C10483" w:rsidRPr="00570B61">
              <w:rPr>
                <w:rFonts w:ascii="Times New Roman" w:hAnsi="Times New Roman" w:cs="Times New Roman"/>
              </w:rPr>
              <w:t>Dohodě</w:t>
            </w:r>
            <w:r w:rsidRPr="00570B61">
              <w:rPr>
                <w:rFonts w:ascii="Times New Roman" w:hAnsi="Times New Roman" w:cs="Times New Roman"/>
              </w:rPr>
              <w:t xml:space="preserve"> před jejím odesláním správci registru smluv ty její části, které jsou dle Zákona o registru smluv vyloučeny z uveřejnění, a to zejména ty její části, které obsahují obchodní tajemství společnosti </w:t>
            </w:r>
            <w:r w:rsidR="00C10483" w:rsidRPr="00570B61">
              <w:rPr>
                <w:rFonts w:ascii="Times New Roman" w:hAnsi="Times New Roman" w:cs="Times New Roman"/>
              </w:rPr>
              <w:t>Gilead</w:t>
            </w:r>
            <w:r w:rsidRPr="00570B61">
              <w:rPr>
                <w:rFonts w:ascii="Times New Roman" w:hAnsi="Times New Roman" w:cs="Times New Roman"/>
              </w:rPr>
              <w:t xml:space="preserve"> nebo osobní údaje jejích zaměstnanců či jiných pracovníků.</w:t>
            </w:r>
          </w:p>
        </w:tc>
        <w:tc>
          <w:tcPr>
            <w:tcW w:w="2500" w:type="pct"/>
          </w:tcPr>
          <w:p w14:paraId="46AF7B38" w14:textId="77777777" w:rsidR="003B488B" w:rsidRPr="00BB7A49" w:rsidRDefault="00300A08" w:rsidP="00BB7A49">
            <w:pPr>
              <w:pStyle w:val="CMSHeadL3"/>
              <w:numPr>
                <w:ilvl w:val="0"/>
                <w:numId w:val="0"/>
              </w:numPr>
              <w:tabs>
                <w:tab w:val="left" w:pos="460"/>
              </w:tabs>
              <w:spacing w:before="120" w:after="120"/>
              <w:jc w:val="both"/>
              <w:rPr>
                <w:szCs w:val="22"/>
              </w:rPr>
            </w:pPr>
            <w:r w:rsidRPr="00570B61">
              <w:rPr>
                <w:szCs w:val="22"/>
              </w:rPr>
              <w:t>6.5</w:t>
            </w:r>
            <w:r w:rsidRPr="00570B61">
              <w:rPr>
                <w:szCs w:val="22"/>
              </w:rPr>
              <w:tab/>
            </w:r>
            <w:r w:rsidRPr="00570B61">
              <w:t>The Buyer acknowledges and agrees that Gilead is entitled, prior to sending this Agreement to the contract register administrator, to redact those parts of this Agreement that are exempted from publication under the Contracts Register Act, and especially those parts that contain Gilead’s trade secret or personal data of its employees or other workers.</w:t>
            </w:r>
          </w:p>
        </w:tc>
      </w:tr>
      <w:tr w:rsidR="003B488B" w:rsidRPr="003B488B" w14:paraId="383FAD90" w14:textId="77777777" w:rsidTr="002573E6">
        <w:tc>
          <w:tcPr>
            <w:tcW w:w="2500" w:type="pct"/>
          </w:tcPr>
          <w:p w14:paraId="6D5C214F" w14:textId="77777777" w:rsidR="00C10483" w:rsidRPr="00570B61" w:rsidRDefault="00B04B68" w:rsidP="00EB6111">
            <w:pPr>
              <w:pStyle w:val="Clanek11"/>
              <w:tabs>
                <w:tab w:val="clear" w:pos="567"/>
              </w:tabs>
              <w:ind w:left="0" w:firstLine="0"/>
              <w:rPr>
                <w:rFonts w:ascii="Times New Roman" w:hAnsi="Times New Roman" w:cs="Times New Roman"/>
              </w:rPr>
            </w:pPr>
            <w:proofErr w:type="gramStart"/>
            <w:r w:rsidRPr="00570B61">
              <w:rPr>
                <w:rFonts w:ascii="Times New Roman" w:hAnsi="Times New Roman" w:cs="Times New Roman"/>
                <w:szCs w:val="22"/>
              </w:rPr>
              <w:t xml:space="preserve">6.6  </w:t>
            </w:r>
            <w:r w:rsidRPr="00570B61">
              <w:rPr>
                <w:rFonts w:ascii="Times New Roman" w:hAnsi="Times New Roman" w:cs="Times New Roman"/>
              </w:rPr>
              <w:t>Pro</w:t>
            </w:r>
            <w:proofErr w:type="gramEnd"/>
            <w:r w:rsidRPr="00570B61">
              <w:rPr>
                <w:rFonts w:ascii="Times New Roman" w:hAnsi="Times New Roman" w:cs="Times New Roman"/>
              </w:rPr>
              <w:t xml:space="preserve"> účely uveřejňování této </w:t>
            </w:r>
            <w:r w:rsidR="00C10483" w:rsidRPr="00570B61">
              <w:rPr>
                <w:rFonts w:ascii="Times New Roman" w:hAnsi="Times New Roman" w:cs="Times New Roman"/>
              </w:rPr>
              <w:t>Dohody</w:t>
            </w:r>
            <w:r w:rsidRPr="00570B61">
              <w:rPr>
                <w:rFonts w:ascii="Times New Roman" w:hAnsi="Times New Roman" w:cs="Times New Roman"/>
              </w:rPr>
              <w:t xml:space="preserve"> v registru smluv se za obchodní tajemství společnosti </w:t>
            </w:r>
            <w:r w:rsidR="00C10483" w:rsidRPr="00570B61">
              <w:rPr>
                <w:rFonts w:ascii="Times New Roman" w:hAnsi="Times New Roman" w:cs="Times New Roman"/>
              </w:rPr>
              <w:t>Gilead</w:t>
            </w:r>
            <w:r w:rsidRPr="00570B61">
              <w:rPr>
                <w:rFonts w:ascii="Times New Roman" w:hAnsi="Times New Roman" w:cs="Times New Roman"/>
              </w:rPr>
              <w:t xml:space="preserve"> považují zejména ujednání </w:t>
            </w:r>
            <w:r w:rsidR="00FB4C95">
              <w:rPr>
                <w:rFonts w:ascii="Times New Roman" w:hAnsi="Times New Roman" w:cs="Times New Roman"/>
              </w:rPr>
              <w:t>P</w:t>
            </w:r>
            <w:r w:rsidRPr="00570B61">
              <w:rPr>
                <w:rFonts w:ascii="Times New Roman" w:hAnsi="Times New Roman" w:cs="Times New Roman"/>
              </w:rPr>
              <w:t>říloh</w:t>
            </w:r>
            <w:r w:rsidR="00FB4C95">
              <w:rPr>
                <w:rFonts w:ascii="Times New Roman" w:hAnsi="Times New Roman" w:cs="Times New Roman"/>
              </w:rPr>
              <w:t>y č. 1</w:t>
            </w:r>
            <w:r w:rsidRPr="00570B61">
              <w:rPr>
                <w:rFonts w:ascii="Times New Roman" w:hAnsi="Times New Roman" w:cs="Times New Roman"/>
              </w:rPr>
              <w:t xml:space="preserve">, a to nejméně v rozsahu: </w:t>
            </w:r>
          </w:p>
          <w:p w14:paraId="23C315A2" w14:textId="1E73F0B7" w:rsidR="00C10483" w:rsidRPr="00570B61" w:rsidRDefault="00B04B68" w:rsidP="00EB6111">
            <w:pPr>
              <w:pStyle w:val="Clanek11"/>
              <w:tabs>
                <w:tab w:val="clear" w:pos="567"/>
              </w:tabs>
              <w:ind w:left="426" w:hanging="426"/>
              <w:rPr>
                <w:rFonts w:ascii="Times New Roman" w:hAnsi="Times New Roman" w:cs="Times New Roman"/>
              </w:rPr>
            </w:pPr>
            <w:r w:rsidRPr="00570B61">
              <w:rPr>
                <w:rFonts w:ascii="Times New Roman" w:hAnsi="Times New Roman" w:cs="Times New Roman"/>
              </w:rPr>
              <w:t xml:space="preserve">(i) podmínky, na jejichž splnění je </w:t>
            </w:r>
            <w:proofErr w:type="gramStart"/>
            <w:r w:rsidRPr="00570B61">
              <w:rPr>
                <w:rFonts w:ascii="Times New Roman" w:hAnsi="Times New Roman" w:cs="Times New Roman"/>
              </w:rPr>
              <w:t xml:space="preserve">nárok </w:t>
            </w:r>
            <w:r w:rsidR="00C10483" w:rsidRPr="00570B61">
              <w:rPr>
                <w:rFonts w:ascii="Times New Roman" w:hAnsi="Times New Roman" w:cs="Times New Roman"/>
              </w:rPr>
              <w:t xml:space="preserve"> Kupujícího</w:t>
            </w:r>
            <w:proofErr w:type="gramEnd"/>
            <w:r w:rsidRPr="00570B61">
              <w:rPr>
                <w:rFonts w:ascii="Times New Roman" w:hAnsi="Times New Roman" w:cs="Times New Roman"/>
              </w:rPr>
              <w:t xml:space="preserve"> na Bonus vázán, zejména výše </w:t>
            </w:r>
            <w:r w:rsidRPr="00570B61">
              <w:rPr>
                <w:rFonts w:ascii="Times New Roman" w:hAnsi="Times New Roman" w:cs="Times New Roman"/>
              </w:rPr>
              <w:lastRenderedPageBreak/>
              <w:t xml:space="preserve">minimálního </w:t>
            </w:r>
            <w:r w:rsidR="00C10483" w:rsidRPr="00570B61">
              <w:rPr>
                <w:rFonts w:ascii="Times New Roman" w:hAnsi="Times New Roman" w:cs="Times New Roman"/>
              </w:rPr>
              <w:t>o</w:t>
            </w:r>
            <w:r w:rsidRPr="00570B61">
              <w:rPr>
                <w:rFonts w:ascii="Times New Roman" w:hAnsi="Times New Roman" w:cs="Times New Roman"/>
              </w:rPr>
              <w:t xml:space="preserve">bratu, který musí být dosažen, </w:t>
            </w:r>
          </w:p>
          <w:p w14:paraId="0E21A73F" w14:textId="77777777" w:rsidR="00C10483" w:rsidRPr="00570B61" w:rsidRDefault="00B04B68" w:rsidP="00EB6111">
            <w:pPr>
              <w:pStyle w:val="Clanek11"/>
              <w:tabs>
                <w:tab w:val="clear" w:pos="567"/>
              </w:tabs>
              <w:ind w:left="426" w:hanging="426"/>
              <w:rPr>
                <w:rFonts w:ascii="Times New Roman" w:hAnsi="Times New Roman" w:cs="Times New Roman"/>
              </w:rPr>
            </w:pPr>
            <w:r w:rsidRPr="00570B61">
              <w:rPr>
                <w:rFonts w:ascii="Times New Roman" w:hAnsi="Times New Roman" w:cs="Times New Roman"/>
              </w:rPr>
              <w:t xml:space="preserve">(iii) </w:t>
            </w:r>
            <w:r w:rsidR="00192010" w:rsidRPr="00570B61">
              <w:rPr>
                <w:rFonts w:ascii="Times New Roman" w:hAnsi="Times New Roman" w:cs="Times New Roman"/>
              </w:rPr>
              <w:t xml:space="preserve"> </w:t>
            </w:r>
            <w:r w:rsidRPr="00570B61">
              <w:rPr>
                <w:rFonts w:ascii="Times New Roman" w:hAnsi="Times New Roman" w:cs="Times New Roman"/>
              </w:rPr>
              <w:t xml:space="preserve">výše Bonusu a </w:t>
            </w:r>
          </w:p>
          <w:p w14:paraId="3C19D9A1" w14:textId="77777777" w:rsidR="003B488B" w:rsidRPr="00570B61" w:rsidRDefault="00B04B68" w:rsidP="00BB7A49">
            <w:pPr>
              <w:pStyle w:val="Clanek11"/>
              <w:tabs>
                <w:tab w:val="clear" w:pos="567"/>
              </w:tabs>
              <w:ind w:left="426" w:hanging="426"/>
              <w:rPr>
                <w:rFonts w:ascii="Times New Roman" w:hAnsi="Times New Roman" w:cs="Times New Roman"/>
                <w:szCs w:val="22"/>
              </w:rPr>
            </w:pPr>
            <w:r w:rsidRPr="00BB7A49">
              <w:rPr>
                <w:rFonts w:ascii="Times New Roman" w:hAnsi="Times New Roman" w:cs="Times New Roman"/>
                <w:bCs w:val="0"/>
                <w:iCs w:val="0"/>
              </w:rPr>
              <w:t>(iv)</w:t>
            </w:r>
            <w:r w:rsidR="00192010" w:rsidRPr="00BB7A49">
              <w:rPr>
                <w:rFonts w:ascii="Times New Roman" w:hAnsi="Times New Roman" w:cs="Times New Roman"/>
                <w:bCs w:val="0"/>
                <w:iCs w:val="0"/>
              </w:rPr>
              <w:t xml:space="preserve"> </w:t>
            </w:r>
            <w:r w:rsidRPr="00BB7A49">
              <w:rPr>
                <w:rFonts w:ascii="Times New Roman" w:hAnsi="Times New Roman" w:cs="Times New Roman"/>
                <w:bCs w:val="0"/>
                <w:iCs w:val="0"/>
              </w:rPr>
              <w:t xml:space="preserve">cena balení </w:t>
            </w:r>
            <w:r w:rsidR="00C10483" w:rsidRPr="00BB7A49">
              <w:rPr>
                <w:rFonts w:ascii="Times New Roman" w:hAnsi="Times New Roman" w:cs="Times New Roman"/>
                <w:bCs w:val="0"/>
                <w:iCs w:val="0"/>
              </w:rPr>
              <w:t>Produktu</w:t>
            </w:r>
            <w:r w:rsidRPr="00BB7A49">
              <w:rPr>
                <w:rFonts w:ascii="Times New Roman" w:hAnsi="Times New Roman" w:cs="Times New Roman"/>
                <w:bCs w:val="0"/>
                <w:iCs w:val="0"/>
              </w:rPr>
              <w:t xml:space="preserve">, bude-li v </w:t>
            </w:r>
            <w:r w:rsidR="00FB4C95">
              <w:rPr>
                <w:rFonts w:ascii="Times New Roman" w:hAnsi="Times New Roman" w:cs="Times New Roman"/>
                <w:bCs w:val="0"/>
                <w:iCs w:val="0"/>
              </w:rPr>
              <w:t>P</w:t>
            </w:r>
            <w:r w:rsidRPr="00BB7A49">
              <w:rPr>
                <w:rFonts w:ascii="Times New Roman" w:hAnsi="Times New Roman" w:cs="Times New Roman"/>
                <w:bCs w:val="0"/>
                <w:iCs w:val="0"/>
              </w:rPr>
              <w:t>říloze</w:t>
            </w:r>
            <w:r w:rsidR="00FB4C95">
              <w:rPr>
                <w:rFonts w:ascii="Times New Roman" w:hAnsi="Times New Roman" w:cs="Times New Roman"/>
                <w:bCs w:val="0"/>
                <w:iCs w:val="0"/>
              </w:rPr>
              <w:t xml:space="preserve"> č. 1</w:t>
            </w:r>
            <w:r w:rsidRPr="00BB7A49">
              <w:rPr>
                <w:rFonts w:ascii="Times New Roman" w:hAnsi="Times New Roman" w:cs="Times New Roman"/>
                <w:bCs w:val="0"/>
                <w:iCs w:val="0"/>
              </w:rPr>
              <w:t xml:space="preserve"> uvedena.</w:t>
            </w:r>
          </w:p>
        </w:tc>
        <w:tc>
          <w:tcPr>
            <w:tcW w:w="2500" w:type="pct"/>
          </w:tcPr>
          <w:p w14:paraId="46BEC2BD" w14:textId="77777777" w:rsidR="001E7A1A" w:rsidRPr="00570B61" w:rsidRDefault="001E7A1A" w:rsidP="00BB7A49">
            <w:pPr>
              <w:pStyle w:val="Clanek11"/>
              <w:tabs>
                <w:tab w:val="clear" w:pos="567"/>
                <w:tab w:val="left" w:pos="460"/>
              </w:tabs>
              <w:ind w:left="0" w:firstLine="0"/>
              <w:rPr>
                <w:rFonts w:ascii="Times New Roman" w:hAnsi="Times New Roman" w:cs="Times New Roman"/>
                <w:szCs w:val="22"/>
                <w:lang w:val="en-GB"/>
              </w:rPr>
            </w:pPr>
            <w:r w:rsidRPr="00570B61">
              <w:rPr>
                <w:rFonts w:ascii="Times New Roman" w:hAnsi="Times New Roman" w:cs="Times New Roman"/>
                <w:szCs w:val="22"/>
                <w:lang w:val="en-GB"/>
              </w:rPr>
              <w:lastRenderedPageBreak/>
              <w:t>6.6</w:t>
            </w:r>
            <w:r w:rsidRPr="00570B61">
              <w:rPr>
                <w:rFonts w:ascii="Times New Roman" w:hAnsi="Times New Roman" w:cs="Times New Roman"/>
                <w:szCs w:val="22"/>
                <w:lang w:val="en-GB"/>
              </w:rPr>
              <w:tab/>
              <w:t xml:space="preserve">For the purpose of publication of this Agreement in the contract register, Gilead’s trade secret is understood to mean </w:t>
            </w:r>
            <w:proofErr w:type="gramStart"/>
            <w:r w:rsidRPr="00570B61">
              <w:rPr>
                <w:rFonts w:ascii="Times New Roman" w:hAnsi="Times New Roman" w:cs="Times New Roman"/>
                <w:szCs w:val="22"/>
                <w:lang w:val="en-GB"/>
              </w:rPr>
              <w:t>in particular covenants</w:t>
            </w:r>
            <w:proofErr w:type="gramEnd"/>
            <w:r w:rsidRPr="00570B61">
              <w:rPr>
                <w:rFonts w:ascii="Times New Roman" w:hAnsi="Times New Roman" w:cs="Times New Roman"/>
                <w:szCs w:val="22"/>
                <w:lang w:val="en-GB"/>
              </w:rPr>
              <w:t xml:space="preserve"> in </w:t>
            </w:r>
            <w:r w:rsidR="00FB4C95" w:rsidRPr="00BB7A49">
              <w:rPr>
                <w:rFonts w:ascii="Times New Roman" w:hAnsi="Times New Roman" w:cs="Times New Roman"/>
                <w:szCs w:val="22"/>
                <w:lang w:val="en-GB"/>
              </w:rPr>
              <w:t>A</w:t>
            </w:r>
            <w:r w:rsidRPr="00BB7A49">
              <w:rPr>
                <w:rFonts w:ascii="Times New Roman" w:hAnsi="Times New Roman" w:cs="Times New Roman"/>
                <w:szCs w:val="22"/>
                <w:lang w:val="en-GB"/>
              </w:rPr>
              <w:t>ppendi</w:t>
            </w:r>
            <w:r w:rsidR="00FB4C95" w:rsidRPr="00BB7A49">
              <w:rPr>
                <w:rFonts w:ascii="Times New Roman" w:hAnsi="Times New Roman" w:cs="Times New Roman"/>
                <w:szCs w:val="22"/>
                <w:lang w:val="en-GB"/>
              </w:rPr>
              <w:t>x 1</w:t>
            </w:r>
            <w:r w:rsidRPr="00570B61">
              <w:rPr>
                <w:rFonts w:ascii="Times New Roman" w:hAnsi="Times New Roman" w:cs="Times New Roman"/>
                <w:szCs w:val="22"/>
                <w:lang w:val="en-GB"/>
              </w:rPr>
              <w:t>, at least to the extent of:</w:t>
            </w:r>
          </w:p>
          <w:p w14:paraId="362CDC32" w14:textId="21BDBC54" w:rsidR="001E7A1A" w:rsidRPr="00570B61" w:rsidRDefault="001E7A1A" w:rsidP="00B833FC">
            <w:pPr>
              <w:pStyle w:val="Clanek11"/>
              <w:tabs>
                <w:tab w:val="clear" w:pos="567"/>
                <w:tab w:val="left" w:pos="708"/>
              </w:tabs>
              <w:ind w:left="460" w:hanging="460"/>
              <w:rPr>
                <w:rFonts w:ascii="Times New Roman" w:hAnsi="Times New Roman" w:cs="Times New Roman"/>
                <w:szCs w:val="22"/>
                <w:lang w:val="en-GB"/>
              </w:rPr>
            </w:pPr>
            <w:r w:rsidRPr="00FB4C95">
              <w:rPr>
                <w:rFonts w:ascii="Times New Roman" w:hAnsi="Times New Roman" w:cs="Times New Roman"/>
                <w:szCs w:val="22"/>
                <w:lang w:val="en-GB"/>
              </w:rPr>
              <w:t>(</w:t>
            </w:r>
            <w:proofErr w:type="spellStart"/>
            <w:r w:rsidRPr="00FB4C95">
              <w:rPr>
                <w:rFonts w:ascii="Times New Roman" w:hAnsi="Times New Roman" w:cs="Times New Roman"/>
                <w:szCs w:val="22"/>
                <w:lang w:val="en-GB"/>
              </w:rPr>
              <w:t>i</w:t>
            </w:r>
            <w:proofErr w:type="spellEnd"/>
            <w:r w:rsidRPr="00FB4C95">
              <w:rPr>
                <w:rFonts w:ascii="Times New Roman" w:hAnsi="Times New Roman" w:cs="Times New Roman"/>
                <w:szCs w:val="22"/>
                <w:lang w:val="en-GB"/>
              </w:rPr>
              <w:t>)</w:t>
            </w:r>
            <w:r w:rsidRPr="00FB4C95">
              <w:rPr>
                <w:rFonts w:ascii="Times New Roman" w:hAnsi="Times New Roman" w:cs="Times New Roman"/>
                <w:szCs w:val="22"/>
                <w:lang w:val="en-GB"/>
              </w:rPr>
              <w:tab/>
            </w:r>
            <w:r w:rsidRPr="000E25FB">
              <w:rPr>
                <w:rFonts w:ascii="Times New Roman" w:hAnsi="Times New Roman" w:cs="Times New Roman"/>
                <w:szCs w:val="22"/>
                <w:lang w:val="en-GB"/>
              </w:rPr>
              <w:t xml:space="preserve">terms under which the Buyer is entitled to the Bonus, </w:t>
            </w:r>
            <w:proofErr w:type="gramStart"/>
            <w:r w:rsidRPr="00570B61">
              <w:rPr>
                <w:rFonts w:ascii="Times New Roman" w:hAnsi="Times New Roman" w:cs="Times New Roman"/>
                <w:szCs w:val="22"/>
                <w:lang w:val="en-GB"/>
              </w:rPr>
              <w:t>in particular the</w:t>
            </w:r>
            <w:proofErr w:type="gramEnd"/>
            <w:r w:rsidRPr="00570B61">
              <w:rPr>
                <w:rFonts w:ascii="Times New Roman" w:hAnsi="Times New Roman" w:cs="Times New Roman"/>
                <w:szCs w:val="22"/>
                <w:lang w:val="en-GB"/>
              </w:rPr>
              <w:t xml:space="preserve"> minimum turnover </w:t>
            </w:r>
            <w:r w:rsidRPr="00570B61">
              <w:rPr>
                <w:rFonts w:ascii="Times New Roman" w:hAnsi="Times New Roman" w:cs="Times New Roman"/>
                <w:szCs w:val="22"/>
                <w:lang w:val="en-GB"/>
              </w:rPr>
              <w:lastRenderedPageBreak/>
              <w:t>level that must be achieved,</w:t>
            </w:r>
          </w:p>
          <w:p w14:paraId="7208462C" w14:textId="77777777" w:rsidR="001E7A1A" w:rsidRPr="000E25FB" w:rsidRDefault="001E7A1A" w:rsidP="00B833FC">
            <w:pPr>
              <w:pStyle w:val="Clanek11"/>
              <w:tabs>
                <w:tab w:val="clear" w:pos="567"/>
                <w:tab w:val="left" w:pos="708"/>
              </w:tabs>
              <w:ind w:left="460" w:hanging="460"/>
              <w:rPr>
                <w:rFonts w:ascii="Times New Roman" w:hAnsi="Times New Roman" w:cs="Times New Roman"/>
                <w:szCs w:val="22"/>
                <w:lang w:val="en-GB"/>
              </w:rPr>
            </w:pPr>
            <w:r w:rsidRPr="000E25FB">
              <w:rPr>
                <w:rFonts w:ascii="Times New Roman" w:hAnsi="Times New Roman" w:cs="Times New Roman"/>
                <w:szCs w:val="22"/>
                <w:lang w:val="en-GB"/>
              </w:rPr>
              <w:t>(iii)</w:t>
            </w:r>
            <w:r w:rsidRPr="000E25FB">
              <w:rPr>
                <w:rFonts w:ascii="Times New Roman" w:hAnsi="Times New Roman" w:cs="Times New Roman"/>
                <w:szCs w:val="22"/>
                <w:lang w:val="en-GB"/>
              </w:rPr>
              <w:tab/>
              <w:t>Bonus amount, and</w:t>
            </w:r>
          </w:p>
          <w:p w14:paraId="42790849" w14:textId="77777777" w:rsidR="003B488B" w:rsidRPr="00BB7A49" w:rsidRDefault="001E7A1A" w:rsidP="00BB7A49">
            <w:pPr>
              <w:pStyle w:val="CMSHeadL3"/>
              <w:numPr>
                <w:ilvl w:val="0"/>
                <w:numId w:val="0"/>
              </w:numPr>
              <w:tabs>
                <w:tab w:val="left" w:pos="602"/>
              </w:tabs>
              <w:spacing w:before="120" w:after="120"/>
              <w:ind w:left="460" w:hanging="460"/>
              <w:jc w:val="both"/>
              <w:rPr>
                <w:szCs w:val="22"/>
              </w:rPr>
            </w:pPr>
            <w:r w:rsidRPr="00FB4C95">
              <w:rPr>
                <w:szCs w:val="22"/>
              </w:rPr>
              <w:t>(iv)</w:t>
            </w:r>
            <w:r w:rsidRPr="00570B61">
              <w:rPr>
                <w:szCs w:val="22"/>
              </w:rPr>
              <w:tab/>
              <w:t xml:space="preserve">the price of a </w:t>
            </w:r>
            <w:r w:rsidRPr="00FB4C95">
              <w:rPr>
                <w:szCs w:val="22"/>
              </w:rPr>
              <w:t xml:space="preserve">Product packaging if specified in </w:t>
            </w:r>
            <w:r w:rsidR="00FB4C95" w:rsidRPr="00BB7A49">
              <w:rPr>
                <w:szCs w:val="22"/>
              </w:rPr>
              <w:t>A</w:t>
            </w:r>
            <w:r w:rsidRPr="00FB4C95">
              <w:rPr>
                <w:szCs w:val="22"/>
              </w:rPr>
              <w:t xml:space="preserve">ppendix </w:t>
            </w:r>
            <w:r w:rsidR="00FB4C95" w:rsidRPr="00FB4C95">
              <w:rPr>
                <w:szCs w:val="22"/>
              </w:rPr>
              <w:t>1</w:t>
            </w:r>
            <w:r w:rsidRPr="00570B61">
              <w:rPr>
                <w:szCs w:val="22"/>
              </w:rPr>
              <w:t>.</w:t>
            </w:r>
          </w:p>
        </w:tc>
      </w:tr>
      <w:tr w:rsidR="003B488B" w:rsidRPr="003B488B" w14:paraId="6634AD53" w14:textId="77777777" w:rsidTr="002573E6">
        <w:tc>
          <w:tcPr>
            <w:tcW w:w="2500" w:type="pct"/>
          </w:tcPr>
          <w:p w14:paraId="7DF24D5E" w14:textId="3B2701BB" w:rsidR="00111101" w:rsidRPr="00570B61" w:rsidRDefault="00B04B68" w:rsidP="00EB6111">
            <w:pPr>
              <w:pStyle w:val="Clanek11"/>
              <w:tabs>
                <w:tab w:val="clear" w:pos="567"/>
              </w:tabs>
              <w:ind w:left="0" w:firstLine="0"/>
              <w:rPr>
                <w:rFonts w:ascii="Times New Roman" w:hAnsi="Times New Roman" w:cs="Times New Roman"/>
              </w:rPr>
            </w:pPr>
            <w:r w:rsidRPr="00570B61">
              <w:rPr>
                <w:rFonts w:ascii="Times New Roman" w:hAnsi="Times New Roman" w:cs="Times New Roman"/>
                <w:szCs w:val="22"/>
              </w:rPr>
              <w:lastRenderedPageBreak/>
              <w:t xml:space="preserve">6.7 </w:t>
            </w:r>
            <w:bookmarkStart w:id="13" w:name="_Ref490060668"/>
            <w:r w:rsidR="00192010" w:rsidRPr="00570B61">
              <w:rPr>
                <w:rFonts w:ascii="Times New Roman" w:hAnsi="Times New Roman" w:cs="Times New Roman"/>
              </w:rPr>
              <w:t>Kupující</w:t>
            </w:r>
            <w:r w:rsidRPr="00570B61">
              <w:rPr>
                <w:rFonts w:ascii="Times New Roman" w:hAnsi="Times New Roman" w:cs="Times New Roman"/>
              </w:rPr>
              <w:t xml:space="preserve"> je oprávněn tuto </w:t>
            </w:r>
            <w:r w:rsidR="00192010" w:rsidRPr="00570B61">
              <w:rPr>
                <w:rFonts w:ascii="Times New Roman" w:hAnsi="Times New Roman" w:cs="Times New Roman"/>
              </w:rPr>
              <w:t>Dohodu</w:t>
            </w:r>
            <w:r w:rsidRPr="00570B61">
              <w:rPr>
                <w:rFonts w:ascii="Times New Roman" w:hAnsi="Times New Roman" w:cs="Times New Roman"/>
              </w:rPr>
              <w:t xml:space="preserve"> uveřejnit v registru smluv jedině v případě, že společnost </w:t>
            </w:r>
            <w:r w:rsidR="00192010" w:rsidRPr="00570B61">
              <w:rPr>
                <w:rFonts w:ascii="Times New Roman" w:hAnsi="Times New Roman" w:cs="Times New Roman"/>
              </w:rPr>
              <w:t>Gilead</w:t>
            </w:r>
            <w:r w:rsidRPr="00570B61">
              <w:rPr>
                <w:rFonts w:ascii="Times New Roman" w:hAnsi="Times New Roman" w:cs="Times New Roman"/>
              </w:rPr>
              <w:t xml:space="preserve"> její uveřejnění v registru smluv nezajistí sama ve lhůtě ujednané v článku </w:t>
            </w:r>
            <w:r w:rsidRPr="000E25FB">
              <w:rPr>
                <w:rFonts w:ascii="Times New Roman" w:hAnsi="Times New Roman" w:cs="Times New Roman"/>
              </w:rPr>
              <w:fldChar w:fldCharType="begin"/>
            </w:r>
            <w:r w:rsidRPr="00570B61">
              <w:rPr>
                <w:rFonts w:ascii="Times New Roman" w:hAnsi="Times New Roman" w:cs="Times New Roman"/>
              </w:rPr>
              <w:instrText xml:space="preserve"> REF _Ref485833607 \r \h  \* MERGEFORMAT </w:instrText>
            </w:r>
            <w:r w:rsidRPr="000E25FB">
              <w:rPr>
                <w:rFonts w:ascii="Times New Roman" w:hAnsi="Times New Roman" w:cs="Times New Roman"/>
              </w:rPr>
            </w:r>
            <w:r w:rsidRPr="000E25FB">
              <w:rPr>
                <w:rFonts w:ascii="Times New Roman" w:hAnsi="Times New Roman" w:cs="Times New Roman"/>
              </w:rPr>
              <w:fldChar w:fldCharType="separate"/>
            </w:r>
            <w:r w:rsidR="00692DC0">
              <w:rPr>
                <w:rFonts w:ascii="Times New Roman" w:hAnsi="Times New Roman" w:cs="Times New Roman"/>
              </w:rPr>
              <w:t>6.4</w:t>
            </w:r>
            <w:r w:rsidRPr="000E25FB">
              <w:rPr>
                <w:rFonts w:ascii="Times New Roman" w:hAnsi="Times New Roman" w:cs="Times New Roman"/>
              </w:rPr>
              <w:fldChar w:fldCharType="end"/>
            </w:r>
            <w:r w:rsidRPr="00570B61">
              <w:rPr>
                <w:rFonts w:ascii="Times New Roman" w:hAnsi="Times New Roman" w:cs="Times New Roman"/>
              </w:rPr>
              <w:t xml:space="preserve">; v takovém případě je ale </w:t>
            </w:r>
            <w:r w:rsidR="00192010" w:rsidRPr="00570B61">
              <w:rPr>
                <w:rFonts w:ascii="Times New Roman" w:hAnsi="Times New Roman" w:cs="Times New Roman"/>
              </w:rPr>
              <w:t>Kupující</w:t>
            </w:r>
            <w:r w:rsidRPr="00570B61">
              <w:rPr>
                <w:rFonts w:ascii="Times New Roman" w:hAnsi="Times New Roman" w:cs="Times New Roman"/>
              </w:rPr>
              <w:t xml:space="preserve"> povin</w:t>
            </w:r>
            <w:r w:rsidR="00192010" w:rsidRPr="00570B61">
              <w:rPr>
                <w:rFonts w:ascii="Times New Roman" w:hAnsi="Times New Roman" w:cs="Times New Roman"/>
              </w:rPr>
              <w:t>e</w:t>
            </w:r>
            <w:r w:rsidRPr="00570B61">
              <w:rPr>
                <w:rFonts w:ascii="Times New Roman" w:hAnsi="Times New Roman" w:cs="Times New Roman"/>
              </w:rPr>
              <w:t>n</w:t>
            </w:r>
            <w:r w:rsidR="00111101" w:rsidRPr="00570B61">
              <w:rPr>
                <w:rFonts w:ascii="Times New Roman" w:hAnsi="Times New Roman" w:cs="Times New Roman"/>
              </w:rPr>
              <w:t>:</w:t>
            </w:r>
            <w:r w:rsidRPr="00570B61">
              <w:rPr>
                <w:rFonts w:ascii="Times New Roman" w:hAnsi="Times New Roman" w:cs="Times New Roman"/>
              </w:rPr>
              <w:t xml:space="preserve"> </w:t>
            </w:r>
          </w:p>
          <w:p w14:paraId="538F0A1B" w14:textId="77777777" w:rsidR="00111101" w:rsidRPr="00570B61" w:rsidRDefault="00B04B68" w:rsidP="00BB7A49">
            <w:pPr>
              <w:pStyle w:val="Clanek11"/>
              <w:tabs>
                <w:tab w:val="clear" w:pos="567"/>
              </w:tabs>
              <w:ind w:left="426" w:hanging="426"/>
              <w:rPr>
                <w:rFonts w:ascii="Times New Roman" w:hAnsi="Times New Roman" w:cs="Times New Roman"/>
              </w:rPr>
            </w:pPr>
            <w:r w:rsidRPr="00570B61">
              <w:rPr>
                <w:rFonts w:ascii="Times New Roman" w:hAnsi="Times New Roman" w:cs="Times New Roman"/>
              </w:rPr>
              <w:t xml:space="preserve">(i) </w:t>
            </w:r>
            <w:r w:rsidR="00111101" w:rsidRPr="00570B61">
              <w:rPr>
                <w:rFonts w:ascii="Times New Roman" w:hAnsi="Times New Roman" w:cs="Times New Roman"/>
              </w:rPr>
              <w:t xml:space="preserve">  </w:t>
            </w:r>
            <w:r w:rsidRPr="00570B61">
              <w:rPr>
                <w:rFonts w:ascii="Times New Roman" w:hAnsi="Times New Roman" w:cs="Times New Roman"/>
              </w:rPr>
              <w:t xml:space="preserve">šetřit obchodní tajemství společnosti </w:t>
            </w:r>
            <w:r w:rsidR="00192010" w:rsidRPr="00570B61">
              <w:rPr>
                <w:rFonts w:ascii="Times New Roman" w:hAnsi="Times New Roman" w:cs="Times New Roman"/>
              </w:rPr>
              <w:t>Gilead</w:t>
            </w:r>
            <w:r w:rsidRPr="00570B61">
              <w:rPr>
                <w:rFonts w:ascii="Times New Roman" w:hAnsi="Times New Roman" w:cs="Times New Roman"/>
              </w:rPr>
              <w:t xml:space="preserve">, </w:t>
            </w:r>
          </w:p>
          <w:p w14:paraId="31838A7F" w14:textId="77777777" w:rsidR="00111101" w:rsidRPr="00570B61" w:rsidRDefault="00B04B68" w:rsidP="00BB7A49">
            <w:pPr>
              <w:pStyle w:val="Clanek11"/>
              <w:tabs>
                <w:tab w:val="clear" w:pos="567"/>
              </w:tabs>
              <w:ind w:left="426" w:hanging="426"/>
              <w:rPr>
                <w:rFonts w:ascii="Times New Roman" w:hAnsi="Times New Roman" w:cs="Times New Roman"/>
              </w:rPr>
            </w:pPr>
            <w:r w:rsidRPr="00570B61">
              <w:rPr>
                <w:rFonts w:ascii="Times New Roman" w:hAnsi="Times New Roman" w:cs="Times New Roman"/>
              </w:rPr>
              <w:t xml:space="preserve">(ii) vyžádat si od společnosti </w:t>
            </w:r>
            <w:r w:rsidR="00192010" w:rsidRPr="00570B61">
              <w:rPr>
                <w:rFonts w:ascii="Times New Roman" w:hAnsi="Times New Roman" w:cs="Times New Roman"/>
              </w:rPr>
              <w:t>Gilead</w:t>
            </w:r>
            <w:r w:rsidRPr="00570B61">
              <w:rPr>
                <w:rFonts w:ascii="Times New Roman" w:hAnsi="Times New Roman" w:cs="Times New Roman"/>
              </w:rPr>
              <w:t xml:space="preserve"> písemný či e</w:t>
            </w:r>
            <w:r w:rsidR="00AF2193" w:rsidRPr="00570B61">
              <w:rPr>
                <w:rFonts w:ascii="Times New Roman" w:hAnsi="Times New Roman" w:cs="Times New Roman"/>
              </w:rPr>
              <w:noBreakHyphen/>
            </w:r>
            <w:r w:rsidRPr="00570B61">
              <w:rPr>
                <w:rFonts w:ascii="Times New Roman" w:hAnsi="Times New Roman" w:cs="Times New Roman"/>
              </w:rPr>
              <w:t xml:space="preserve">mailový souhlas s uveřejněním konkrétní podoby </w:t>
            </w:r>
            <w:r w:rsidR="00192010" w:rsidRPr="00570B61">
              <w:rPr>
                <w:rFonts w:ascii="Times New Roman" w:hAnsi="Times New Roman" w:cs="Times New Roman"/>
              </w:rPr>
              <w:t>Dohody</w:t>
            </w:r>
            <w:r w:rsidRPr="00570B61">
              <w:rPr>
                <w:rFonts w:ascii="Times New Roman" w:hAnsi="Times New Roman" w:cs="Times New Roman"/>
              </w:rPr>
              <w:t xml:space="preserve"> a metadat v registru smluv a </w:t>
            </w:r>
          </w:p>
          <w:p w14:paraId="1E64F811" w14:textId="77777777" w:rsidR="003B488B" w:rsidRPr="00570B61" w:rsidRDefault="00B04B68" w:rsidP="00BB7A49">
            <w:pPr>
              <w:pStyle w:val="Clanek11"/>
              <w:tabs>
                <w:tab w:val="clear" w:pos="567"/>
              </w:tabs>
              <w:ind w:left="426" w:hanging="426"/>
              <w:rPr>
                <w:rFonts w:ascii="Times New Roman" w:hAnsi="Times New Roman" w:cs="Times New Roman"/>
              </w:rPr>
            </w:pPr>
            <w:r w:rsidRPr="00570B61">
              <w:rPr>
                <w:rFonts w:ascii="Times New Roman" w:hAnsi="Times New Roman" w:cs="Times New Roman"/>
              </w:rPr>
              <w:t xml:space="preserve">(iii) zejména znečitelnit před jejím odesláním správci registru smluv ty její části, které obsahují obchodní tajemství společnosti </w:t>
            </w:r>
            <w:r w:rsidR="00192010" w:rsidRPr="00570B61">
              <w:rPr>
                <w:rFonts w:ascii="Times New Roman" w:hAnsi="Times New Roman" w:cs="Times New Roman"/>
              </w:rPr>
              <w:t>Gilead</w:t>
            </w:r>
            <w:r w:rsidRPr="00570B61">
              <w:rPr>
                <w:rFonts w:ascii="Times New Roman" w:hAnsi="Times New Roman" w:cs="Times New Roman"/>
              </w:rPr>
              <w:t xml:space="preserve"> nebo osobní údaje jejích zaměstnanců či jiných pracovníků.</w:t>
            </w:r>
            <w:bookmarkEnd w:id="13"/>
          </w:p>
        </w:tc>
        <w:tc>
          <w:tcPr>
            <w:tcW w:w="2500" w:type="pct"/>
          </w:tcPr>
          <w:p w14:paraId="228D540F" w14:textId="77777777" w:rsidR="001E7A1A" w:rsidRPr="00FB4C95" w:rsidRDefault="001E7A1A" w:rsidP="00BB7A49">
            <w:pPr>
              <w:pStyle w:val="Clanek11"/>
              <w:tabs>
                <w:tab w:val="clear" w:pos="567"/>
                <w:tab w:val="left" w:pos="460"/>
              </w:tabs>
              <w:ind w:left="0" w:firstLine="0"/>
              <w:rPr>
                <w:rFonts w:ascii="Times New Roman" w:hAnsi="Times New Roman" w:cs="Times New Roman"/>
                <w:szCs w:val="22"/>
                <w:lang w:val="en-GB"/>
              </w:rPr>
            </w:pPr>
            <w:r w:rsidRPr="00570B61">
              <w:rPr>
                <w:rFonts w:ascii="Times New Roman" w:hAnsi="Times New Roman" w:cs="Times New Roman"/>
                <w:szCs w:val="22"/>
                <w:lang w:val="en-GB"/>
              </w:rPr>
              <w:t>6.7</w:t>
            </w:r>
            <w:r w:rsidRPr="00570B61">
              <w:rPr>
                <w:rFonts w:ascii="Times New Roman" w:hAnsi="Times New Roman" w:cs="Times New Roman"/>
                <w:szCs w:val="22"/>
                <w:lang w:val="en-GB"/>
              </w:rPr>
              <w:tab/>
              <w:t xml:space="preserve">The Buyer may publish this Agreement in the contract register only if Gilead fails to ensure its publication within the deadline laid down in </w:t>
            </w:r>
            <w:r w:rsidRPr="000E25FB">
              <w:rPr>
                <w:rFonts w:ascii="Times New Roman" w:hAnsi="Times New Roman" w:cs="Times New Roman"/>
                <w:szCs w:val="22"/>
                <w:lang w:val="en-GB"/>
              </w:rPr>
              <w:t xml:space="preserve">clause 6.4; in that case, however, the Buyer will: </w:t>
            </w:r>
          </w:p>
          <w:p w14:paraId="22DE798D" w14:textId="77777777" w:rsidR="001E7A1A" w:rsidRPr="00FB4C95" w:rsidRDefault="001E7A1A" w:rsidP="00BB7A49">
            <w:pPr>
              <w:pStyle w:val="Clanek11"/>
              <w:tabs>
                <w:tab w:val="clear" w:pos="567"/>
              </w:tabs>
              <w:ind w:left="460" w:hanging="460"/>
              <w:rPr>
                <w:rFonts w:ascii="Times New Roman" w:hAnsi="Times New Roman" w:cs="Times New Roman"/>
                <w:szCs w:val="22"/>
                <w:lang w:val="en-GB"/>
              </w:rPr>
            </w:pPr>
            <w:r w:rsidRPr="00FB4C95">
              <w:rPr>
                <w:rFonts w:ascii="Times New Roman" w:hAnsi="Times New Roman" w:cs="Times New Roman"/>
                <w:szCs w:val="22"/>
                <w:lang w:val="en-GB"/>
              </w:rPr>
              <w:t>(</w:t>
            </w:r>
            <w:proofErr w:type="spellStart"/>
            <w:r w:rsidRPr="00FB4C95">
              <w:rPr>
                <w:rFonts w:ascii="Times New Roman" w:hAnsi="Times New Roman" w:cs="Times New Roman"/>
                <w:szCs w:val="22"/>
                <w:lang w:val="en-GB"/>
              </w:rPr>
              <w:t>i</w:t>
            </w:r>
            <w:proofErr w:type="spellEnd"/>
            <w:r w:rsidRPr="00FB4C95">
              <w:rPr>
                <w:rFonts w:ascii="Times New Roman" w:hAnsi="Times New Roman" w:cs="Times New Roman"/>
                <w:szCs w:val="22"/>
                <w:lang w:val="en-GB"/>
              </w:rPr>
              <w:t>)</w:t>
            </w:r>
            <w:r w:rsidRPr="00FB4C95">
              <w:rPr>
                <w:rFonts w:ascii="Times New Roman" w:hAnsi="Times New Roman" w:cs="Times New Roman"/>
                <w:szCs w:val="22"/>
                <w:lang w:val="en-GB"/>
              </w:rPr>
              <w:tab/>
              <w:t>observe Gilead’s trade secret,</w:t>
            </w:r>
          </w:p>
          <w:p w14:paraId="4BE9CF3E" w14:textId="77777777" w:rsidR="001E7A1A" w:rsidRPr="000E25FB" w:rsidRDefault="001E7A1A" w:rsidP="00BB7A49">
            <w:pPr>
              <w:pStyle w:val="Clanek11"/>
              <w:tabs>
                <w:tab w:val="clear" w:pos="567"/>
              </w:tabs>
              <w:ind w:left="460" w:hanging="460"/>
              <w:rPr>
                <w:rFonts w:ascii="Times New Roman" w:hAnsi="Times New Roman" w:cs="Times New Roman"/>
                <w:szCs w:val="22"/>
                <w:lang w:val="en-GB"/>
              </w:rPr>
            </w:pPr>
            <w:r w:rsidRPr="00FB4C95">
              <w:rPr>
                <w:rFonts w:ascii="Times New Roman" w:hAnsi="Times New Roman" w:cs="Times New Roman"/>
                <w:szCs w:val="22"/>
                <w:lang w:val="en-GB"/>
              </w:rPr>
              <w:t>(ii)</w:t>
            </w:r>
            <w:r w:rsidRPr="00FB4C95">
              <w:rPr>
                <w:rFonts w:ascii="Times New Roman" w:hAnsi="Times New Roman" w:cs="Times New Roman"/>
                <w:szCs w:val="22"/>
                <w:lang w:val="en-GB"/>
              </w:rPr>
              <w:tab/>
              <w:t xml:space="preserve">request from Gilead its consent, in writing or by e-mail, with the publication of the specific </w:t>
            </w:r>
            <w:r w:rsidRPr="00570B61">
              <w:rPr>
                <w:rFonts w:ascii="Times New Roman" w:hAnsi="Times New Roman" w:cs="Times New Roman"/>
                <w:szCs w:val="22"/>
                <w:lang w:val="en-GB"/>
              </w:rPr>
              <w:t>form of the Agreement and metadata in the contract register, and</w:t>
            </w:r>
          </w:p>
          <w:p w14:paraId="63C06021" w14:textId="77777777" w:rsidR="003B488B" w:rsidRPr="00BB7A49" w:rsidRDefault="001E7A1A" w:rsidP="00BB7A49">
            <w:pPr>
              <w:pStyle w:val="CMSHeadL3"/>
              <w:numPr>
                <w:ilvl w:val="0"/>
                <w:numId w:val="0"/>
              </w:numPr>
              <w:spacing w:before="120" w:after="120"/>
              <w:ind w:left="460" w:hanging="460"/>
              <w:jc w:val="both"/>
              <w:rPr>
                <w:szCs w:val="22"/>
              </w:rPr>
            </w:pPr>
            <w:r w:rsidRPr="000E25FB">
              <w:rPr>
                <w:szCs w:val="22"/>
              </w:rPr>
              <w:t>(iii)</w:t>
            </w:r>
            <w:r w:rsidRPr="000E25FB">
              <w:rPr>
                <w:szCs w:val="22"/>
              </w:rPr>
              <w:tab/>
            </w:r>
            <w:proofErr w:type="gramStart"/>
            <w:r w:rsidRPr="000E25FB">
              <w:rPr>
                <w:szCs w:val="22"/>
              </w:rPr>
              <w:t xml:space="preserve">in particular </w:t>
            </w:r>
            <w:r w:rsidRPr="00570B61">
              <w:rPr>
                <w:szCs w:val="22"/>
              </w:rPr>
              <w:t>redact</w:t>
            </w:r>
            <w:proofErr w:type="gramEnd"/>
            <w:r w:rsidRPr="00570B61">
              <w:rPr>
                <w:szCs w:val="22"/>
              </w:rPr>
              <w:t xml:space="preserve"> </w:t>
            </w:r>
            <w:r w:rsidRPr="00570B61">
              <w:t>those parts of this Agreement that contain Gilead’s trade secret or personal data of its employees or other workers</w:t>
            </w:r>
            <w:r w:rsidRPr="00570B61">
              <w:rPr>
                <w:szCs w:val="22"/>
              </w:rPr>
              <w:t>, prior to sending the Agreement to the contract register administrator.</w:t>
            </w:r>
          </w:p>
        </w:tc>
      </w:tr>
      <w:tr w:rsidR="003B488B" w:rsidRPr="003B488B" w14:paraId="4D247ACC" w14:textId="77777777" w:rsidTr="002573E6">
        <w:tc>
          <w:tcPr>
            <w:tcW w:w="2500" w:type="pct"/>
          </w:tcPr>
          <w:p w14:paraId="0DEA331B" w14:textId="77777777" w:rsidR="003B488B" w:rsidRPr="00570B61" w:rsidRDefault="00B04B68" w:rsidP="00EB6111">
            <w:pPr>
              <w:pStyle w:val="Clanek11"/>
              <w:tabs>
                <w:tab w:val="clear" w:pos="567"/>
              </w:tabs>
              <w:ind w:left="0" w:firstLine="0"/>
              <w:rPr>
                <w:rFonts w:ascii="Times New Roman" w:hAnsi="Times New Roman" w:cs="Times New Roman"/>
              </w:rPr>
            </w:pPr>
            <w:r w:rsidRPr="00570B61">
              <w:rPr>
                <w:rFonts w:ascii="Times New Roman" w:hAnsi="Times New Roman" w:cs="Times New Roman"/>
                <w:szCs w:val="22"/>
              </w:rPr>
              <w:t xml:space="preserve">6.8 </w:t>
            </w:r>
            <w:r w:rsidRPr="00570B61">
              <w:rPr>
                <w:rFonts w:ascii="Times New Roman" w:hAnsi="Times New Roman" w:cs="Times New Roman"/>
              </w:rPr>
              <w:t xml:space="preserve">Ujednání tohoto článku </w:t>
            </w:r>
            <w:r w:rsidR="003A6959">
              <w:rPr>
                <w:rFonts w:ascii="Times New Roman" w:hAnsi="Times New Roman" w:cs="Times New Roman"/>
              </w:rPr>
              <w:t>6</w:t>
            </w:r>
            <w:r w:rsidRPr="00570B61">
              <w:rPr>
                <w:rFonts w:ascii="Times New Roman" w:hAnsi="Times New Roman" w:cs="Times New Roman"/>
              </w:rPr>
              <w:t xml:space="preserve"> se použijí </w:t>
            </w:r>
            <w:proofErr w:type="spellStart"/>
            <w:r w:rsidRPr="00570B61">
              <w:rPr>
                <w:rFonts w:ascii="Times New Roman" w:hAnsi="Times New Roman" w:cs="Times New Roman"/>
                <w:i/>
              </w:rPr>
              <w:t>mutatis</w:t>
            </w:r>
            <w:proofErr w:type="spellEnd"/>
            <w:r w:rsidRPr="00570B61">
              <w:rPr>
                <w:rFonts w:ascii="Times New Roman" w:hAnsi="Times New Roman" w:cs="Times New Roman"/>
                <w:i/>
              </w:rPr>
              <w:t xml:space="preserve"> </w:t>
            </w:r>
            <w:proofErr w:type="spellStart"/>
            <w:r w:rsidRPr="00570B61">
              <w:rPr>
                <w:rFonts w:ascii="Times New Roman" w:hAnsi="Times New Roman" w:cs="Times New Roman"/>
                <w:i/>
              </w:rPr>
              <w:t>mutandis</w:t>
            </w:r>
            <w:proofErr w:type="spellEnd"/>
            <w:r w:rsidRPr="00570B61">
              <w:rPr>
                <w:rFonts w:ascii="Times New Roman" w:hAnsi="Times New Roman" w:cs="Times New Roman"/>
              </w:rPr>
              <w:t xml:space="preserve"> také na uveřejňování jakéhokoli dodatku k této </w:t>
            </w:r>
            <w:r w:rsidR="00192010" w:rsidRPr="00570B61">
              <w:rPr>
                <w:rFonts w:ascii="Times New Roman" w:hAnsi="Times New Roman" w:cs="Times New Roman"/>
              </w:rPr>
              <w:t>Dohodě</w:t>
            </w:r>
            <w:r w:rsidRPr="00570B61">
              <w:rPr>
                <w:rFonts w:ascii="Times New Roman" w:hAnsi="Times New Roman" w:cs="Times New Roman"/>
              </w:rPr>
              <w:t xml:space="preserve"> v registru smluv.</w:t>
            </w:r>
          </w:p>
        </w:tc>
        <w:tc>
          <w:tcPr>
            <w:tcW w:w="2500" w:type="pct"/>
          </w:tcPr>
          <w:p w14:paraId="6CB74023" w14:textId="77777777" w:rsidR="003B488B" w:rsidRPr="00BB7A49" w:rsidRDefault="001E7A1A" w:rsidP="00BB7A49">
            <w:pPr>
              <w:pStyle w:val="CMSHeadL3"/>
              <w:numPr>
                <w:ilvl w:val="0"/>
                <w:numId w:val="0"/>
              </w:numPr>
              <w:tabs>
                <w:tab w:val="left" w:pos="460"/>
              </w:tabs>
              <w:spacing w:before="120" w:after="120"/>
              <w:jc w:val="both"/>
              <w:rPr>
                <w:szCs w:val="22"/>
              </w:rPr>
            </w:pPr>
            <w:r w:rsidRPr="00570B61">
              <w:rPr>
                <w:szCs w:val="22"/>
              </w:rPr>
              <w:t>6.8</w:t>
            </w:r>
            <w:r w:rsidRPr="00570B61">
              <w:rPr>
                <w:szCs w:val="22"/>
              </w:rPr>
              <w:tab/>
            </w:r>
            <w:r w:rsidRPr="00570B61">
              <w:t xml:space="preserve">Provisions of this Article </w:t>
            </w:r>
            <w:r w:rsidR="003A6959">
              <w:t xml:space="preserve">6 </w:t>
            </w:r>
            <w:r w:rsidRPr="00570B61">
              <w:t xml:space="preserve">will </w:t>
            </w:r>
            <w:r w:rsidR="003D21C7" w:rsidRPr="00570B61">
              <w:t xml:space="preserve">also </w:t>
            </w:r>
            <w:r w:rsidRPr="00570B61">
              <w:t xml:space="preserve">apply </w:t>
            </w:r>
            <w:r w:rsidRPr="00570B61">
              <w:rPr>
                <w:i/>
              </w:rPr>
              <w:t>mutatis mutandis</w:t>
            </w:r>
            <w:r w:rsidRPr="00570B61">
              <w:t xml:space="preserve"> to the publication of any amendment to this Agreement in the contract register.</w:t>
            </w:r>
          </w:p>
        </w:tc>
      </w:tr>
      <w:tr w:rsidR="002573E6" w:rsidRPr="00B21502" w14:paraId="4557130A" w14:textId="77777777" w:rsidTr="002573E6">
        <w:tc>
          <w:tcPr>
            <w:tcW w:w="2500" w:type="pct"/>
          </w:tcPr>
          <w:p w14:paraId="0B87B629" w14:textId="77777777" w:rsidR="002573E6" w:rsidRPr="00570B61" w:rsidRDefault="00A64CF0" w:rsidP="00DB2827">
            <w:pPr>
              <w:pStyle w:val="CMSHeadL2"/>
              <w:numPr>
                <w:ilvl w:val="0"/>
                <w:numId w:val="0"/>
              </w:numPr>
              <w:tabs>
                <w:tab w:val="left" w:pos="426"/>
              </w:tabs>
              <w:rPr>
                <w:lang w:val="cs-CZ"/>
              </w:rPr>
            </w:pPr>
            <w:bookmarkStart w:id="14" w:name="_Toc452373018"/>
            <w:bookmarkStart w:id="15" w:name="_Toc376784135"/>
            <w:r w:rsidRPr="00570B61">
              <w:rPr>
                <w:bCs/>
                <w:lang w:val="cs-CZ"/>
              </w:rPr>
              <w:t>7</w:t>
            </w:r>
            <w:r w:rsidR="002573E6" w:rsidRPr="00570B61">
              <w:rPr>
                <w:bCs/>
                <w:lang w:val="cs-CZ"/>
              </w:rPr>
              <w:t>.</w:t>
            </w:r>
            <w:r w:rsidR="002573E6" w:rsidRPr="00570B61">
              <w:rPr>
                <w:bCs/>
                <w:lang w:val="cs-CZ"/>
              </w:rPr>
              <w:tab/>
              <w:t>Závěrečná ustanovení</w:t>
            </w:r>
            <w:bookmarkEnd w:id="14"/>
            <w:bookmarkEnd w:id="15"/>
          </w:p>
        </w:tc>
        <w:tc>
          <w:tcPr>
            <w:tcW w:w="2500" w:type="pct"/>
          </w:tcPr>
          <w:p w14:paraId="7063F265" w14:textId="77777777" w:rsidR="002573E6" w:rsidRPr="00570B61" w:rsidRDefault="003D21C7" w:rsidP="00BB7A49">
            <w:pPr>
              <w:pStyle w:val="CMSHeadL2"/>
              <w:numPr>
                <w:ilvl w:val="0"/>
                <w:numId w:val="0"/>
              </w:numPr>
              <w:tabs>
                <w:tab w:val="left" w:pos="460"/>
              </w:tabs>
              <w:jc w:val="both"/>
            </w:pPr>
            <w:r w:rsidRPr="00BB7A49">
              <w:rPr>
                <w:bCs/>
              </w:rPr>
              <w:t>7</w:t>
            </w:r>
            <w:r w:rsidR="002573E6" w:rsidRPr="00BB7A49">
              <w:rPr>
                <w:bCs/>
              </w:rPr>
              <w:t>.</w:t>
            </w:r>
            <w:r w:rsidR="002573E6" w:rsidRPr="00BB7A49">
              <w:rPr>
                <w:bCs/>
              </w:rPr>
              <w:tab/>
              <w:t>Final Provisions</w:t>
            </w:r>
          </w:p>
        </w:tc>
      </w:tr>
      <w:tr w:rsidR="002573E6" w:rsidRPr="00B21502" w14:paraId="0C6A7E98" w14:textId="77777777" w:rsidTr="002573E6">
        <w:tc>
          <w:tcPr>
            <w:tcW w:w="2500" w:type="pct"/>
          </w:tcPr>
          <w:p w14:paraId="38823456" w14:textId="1836061A" w:rsidR="002573E6" w:rsidRPr="00570B61" w:rsidRDefault="00DB2827">
            <w:pPr>
              <w:pStyle w:val="CMSHeadL3"/>
              <w:numPr>
                <w:ilvl w:val="0"/>
                <w:numId w:val="0"/>
              </w:numPr>
              <w:tabs>
                <w:tab w:val="left" w:pos="426"/>
              </w:tabs>
              <w:spacing w:before="120" w:after="120"/>
              <w:jc w:val="both"/>
              <w:rPr>
                <w:lang w:val="cs-CZ"/>
              </w:rPr>
            </w:pPr>
            <w:r w:rsidRPr="00570B61">
              <w:rPr>
                <w:lang w:val="cs-CZ"/>
              </w:rPr>
              <w:t>7</w:t>
            </w:r>
            <w:r w:rsidR="002573E6" w:rsidRPr="00570B61">
              <w:rPr>
                <w:lang w:val="cs-CZ"/>
              </w:rPr>
              <w:t>.1</w:t>
            </w:r>
            <w:r w:rsidR="00EF3006">
              <w:rPr>
                <w:lang w:val="cs-CZ"/>
              </w:rPr>
              <w:t xml:space="preserve"> </w:t>
            </w:r>
            <w:r w:rsidR="00883A95" w:rsidRPr="00253605">
              <w:rPr>
                <w:lang w:val="cs-CZ"/>
              </w:rPr>
              <w:t xml:space="preserve">Tato Dohoda nabývá platnosti </w:t>
            </w:r>
            <w:r w:rsidR="007D29A6" w:rsidRPr="00253605">
              <w:rPr>
                <w:lang w:val="cs-CZ"/>
              </w:rPr>
              <w:t xml:space="preserve">podpisem </w:t>
            </w:r>
            <w:r w:rsidR="00883A95" w:rsidRPr="00253605">
              <w:rPr>
                <w:lang w:val="cs-CZ"/>
              </w:rPr>
              <w:t xml:space="preserve">a účinnosti dnem uveřejnění Dohody v registru smluv dle </w:t>
            </w:r>
            <w:r w:rsidR="007D29A6" w:rsidRPr="00253605">
              <w:rPr>
                <w:lang w:val="cs-CZ"/>
              </w:rPr>
              <w:t>Z</w:t>
            </w:r>
            <w:r w:rsidR="00883A95" w:rsidRPr="00253605">
              <w:rPr>
                <w:lang w:val="cs-CZ"/>
              </w:rPr>
              <w:t xml:space="preserve">ákona </w:t>
            </w:r>
            <w:r w:rsidR="007D29A6" w:rsidRPr="00253605">
              <w:rPr>
                <w:lang w:val="cs-CZ"/>
              </w:rPr>
              <w:t>o registru smluv</w:t>
            </w:r>
            <w:r w:rsidR="00144472" w:rsidRPr="00253605">
              <w:rPr>
                <w:lang w:val="cs-CZ"/>
              </w:rPr>
              <w:t>, nejdříve však prvním dnem referenčního období následujícího po jejím podpisu oběma stranami</w:t>
            </w:r>
            <w:r w:rsidR="00883A95" w:rsidRPr="00253605">
              <w:rPr>
                <w:lang w:val="cs-CZ"/>
              </w:rPr>
              <w:t xml:space="preserve"> </w:t>
            </w:r>
            <w:r w:rsidR="002573E6" w:rsidRPr="00253605">
              <w:rPr>
                <w:lang w:val="cs-CZ"/>
              </w:rPr>
              <w:t xml:space="preserve">a je </w:t>
            </w:r>
            <w:r w:rsidR="006A045B" w:rsidRPr="00253605">
              <w:rPr>
                <w:lang w:val="cs-CZ"/>
              </w:rPr>
              <w:t xml:space="preserve">uzavřena </w:t>
            </w:r>
            <w:r w:rsidR="002573E6" w:rsidRPr="00253605">
              <w:rPr>
                <w:lang w:val="cs-CZ"/>
              </w:rPr>
              <w:t>na dobu neurčitou</w:t>
            </w:r>
            <w:r w:rsidR="006A045B" w:rsidRPr="00253605">
              <w:rPr>
                <w:lang w:val="cs-CZ"/>
              </w:rPr>
              <w:t>.</w:t>
            </w:r>
            <w:r w:rsidR="006A045B" w:rsidRPr="00570B61">
              <w:rPr>
                <w:lang w:val="cs-CZ"/>
              </w:rPr>
              <w:t xml:space="preserve"> </w:t>
            </w:r>
          </w:p>
        </w:tc>
        <w:tc>
          <w:tcPr>
            <w:tcW w:w="2500" w:type="pct"/>
          </w:tcPr>
          <w:p w14:paraId="761E8894" w14:textId="63EF747A" w:rsidR="002573E6" w:rsidRPr="00253605" w:rsidRDefault="003D21C7" w:rsidP="00587542">
            <w:pPr>
              <w:pStyle w:val="CMSHeadL3"/>
              <w:numPr>
                <w:ilvl w:val="0"/>
                <w:numId w:val="0"/>
              </w:numPr>
              <w:tabs>
                <w:tab w:val="left" w:pos="460"/>
              </w:tabs>
              <w:spacing w:before="120" w:after="120"/>
              <w:jc w:val="both"/>
            </w:pPr>
            <w:r w:rsidRPr="00253605">
              <w:t>7</w:t>
            </w:r>
            <w:r w:rsidR="002573E6" w:rsidRPr="00253605">
              <w:t>.1</w:t>
            </w:r>
            <w:r w:rsidR="00587542" w:rsidRPr="00253605">
              <w:tab/>
            </w:r>
            <w:r w:rsidR="00EF3006" w:rsidRPr="00253605">
              <w:t xml:space="preserve">This Agreement becomes valid </w:t>
            </w:r>
            <w:r w:rsidR="007D680F" w:rsidRPr="00253605">
              <w:t>upon</w:t>
            </w:r>
            <w:r w:rsidR="00FB7969" w:rsidRPr="00253605">
              <w:t xml:space="preserve"> signature </w:t>
            </w:r>
            <w:r w:rsidR="00EF3006" w:rsidRPr="00253605">
              <w:t xml:space="preserve">and effective on the date of publication of the Agreement in the Register of Contracts pursuant to </w:t>
            </w:r>
            <w:r w:rsidR="0059584B" w:rsidRPr="00253605">
              <w:t xml:space="preserve">Contracts Register </w:t>
            </w:r>
            <w:r w:rsidR="00EF3006" w:rsidRPr="00253605">
              <w:t>Act</w:t>
            </w:r>
            <w:r w:rsidR="00144472" w:rsidRPr="00253605">
              <w:t>, but no earlier than</w:t>
            </w:r>
            <w:r w:rsidR="00253605" w:rsidRPr="00253605">
              <w:t xml:space="preserve"> </w:t>
            </w:r>
            <w:r w:rsidR="00144472" w:rsidRPr="00253605">
              <w:t>on the first day of the reference period following its signature by both parties</w:t>
            </w:r>
            <w:r w:rsidR="00EF3006" w:rsidRPr="00253605">
              <w:t xml:space="preserve"> </w:t>
            </w:r>
            <w:r w:rsidR="002573E6" w:rsidRPr="00253605">
              <w:t>and is concluded for an indefinite period of time</w:t>
            </w:r>
            <w:r w:rsidR="006A045B" w:rsidRPr="00253605">
              <w:t>.</w:t>
            </w:r>
          </w:p>
        </w:tc>
      </w:tr>
      <w:tr w:rsidR="006A045B" w:rsidRPr="00B71B0D" w14:paraId="7E189438" w14:textId="77777777" w:rsidTr="002573E6">
        <w:tc>
          <w:tcPr>
            <w:tcW w:w="2500" w:type="pct"/>
          </w:tcPr>
          <w:p w14:paraId="6C874530" w14:textId="77777777" w:rsidR="006A045B" w:rsidRPr="00BB7A49" w:rsidRDefault="006A045B" w:rsidP="00BB7A49">
            <w:pPr>
              <w:pStyle w:val="CMSHeadL3"/>
              <w:numPr>
                <w:ilvl w:val="0"/>
                <w:numId w:val="0"/>
              </w:numPr>
              <w:tabs>
                <w:tab w:val="left" w:pos="426"/>
              </w:tabs>
              <w:spacing w:before="120" w:after="120"/>
              <w:jc w:val="both"/>
              <w:rPr>
                <w:lang w:val="cs-CZ"/>
              </w:rPr>
            </w:pPr>
            <w:r w:rsidRPr="00BB7A49">
              <w:rPr>
                <w:lang w:val="cs-CZ"/>
              </w:rPr>
              <w:t xml:space="preserve">7.2 Kterákoli ze Stran je oprávněna písemným oznámením vypovědět tuto </w:t>
            </w:r>
            <w:r w:rsidRPr="00570B61">
              <w:rPr>
                <w:lang w:val="cs-CZ"/>
              </w:rPr>
              <w:t xml:space="preserve">Dohodu </w:t>
            </w:r>
            <w:r w:rsidRPr="00BB7A49">
              <w:rPr>
                <w:lang w:val="cs-CZ"/>
              </w:rPr>
              <w:t xml:space="preserve">bez udání důvodu s výpovědní dobou, která začíná běžet dnem jejího doručení druhé Straně a končí posledním dnem kalendářního měsíce, během něhož byla výpověď doručena. Zanikne-li tato </w:t>
            </w:r>
            <w:r w:rsidRPr="00570B61">
              <w:rPr>
                <w:lang w:val="cs-CZ"/>
              </w:rPr>
              <w:t>Dohoda</w:t>
            </w:r>
            <w:r w:rsidRPr="00BB7A49">
              <w:rPr>
                <w:lang w:val="cs-CZ"/>
              </w:rPr>
              <w:t xml:space="preserve"> v důsledku výpovědi bez udání důvodu v průběhu Referenčního období, výše minimálního </w:t>
            </w:r>
            <w:r w:rsidRPr="00570B61">
              <w:rPr>
                <w:lang w:val="cs-CZ"/>
              </w:rPr>
              <w:t>o</w:t>
            </w:r>
            <w:r w:rsidRPr="00BB7A49">
              <w:rPr>
                <w:lang w:val="cs-CZ"/>
              </w:rPr>
              <w:t xml:space="preserve">bratu stanovená pro toto Referenční období v Příloze </w:t>
            </w:r>
            <w:r w:rsidRPr="00570B61">
              <w:rPr>
                <w:lang w:val="cs-CZ"/>
              </w:rPr>
              <w:t xml:space="preserve">č. 1 </w:t>
            </w:r>
            <w:r w:rsidRPr="00BB7A49">
              <w:rPr>
                <w:lang w:val="cs-CZ"/>
              </w:rPr>
              <w:t xml:space="preserve">se z tohoto důvodu nijak alikvotně nesníží a </w:t>
            </w:r>
            <w:r w:rsidRPr="00570B61">
              <w:rPr>
                <w:lang w:val="cs-CZ"/>
              </w:rPr>
              <w:t>Kupující</w:t>
            </w:r>
            <w:r w:rsidRPr="00BB7A49">
              <w:rPr>
                <w:lang w:val="cs-CZ"/>
              </w:rPr>
              <w:t xml:space="preserve"> bude mít nárok na Bonus jen v případě, že budou splněny všechny podmínky stanovené touto </w:t>
            </w:r>
            <w:r w:rsidR="00C404DC" w:rsidRPr="00570B61">
              <w:rPr>
                <w:lang w:val="cs-CZ"/>
              </w:rPr>
              <w:t>Dohodou</w:t>
            </w:r>
            <w:r w:rsidRPr="00BB7A49">
              <w:rPr>
                <w:lang w:val="cs-CZ"/>
              </w:rPr>
              <w:t xml:space="preserve"> a Přílohou</w:t>
            </w:r>
            <w:r w:rsidRPr="00570B61">
              <w:rPr>
                <w:lang w:val="cs-CZ"/>
              </w:rPr>
              <w:t xml:space="preserve"> č. 1</w:t>
            </w:r>
            <w:r w:rsidRPr="00BB7A49">
              <w:rPr>
                <w:lang w:val="cs-CZ"/>
              </w:rPr>
              <w:t>.</w:t>
            </w:r>
          </w:p>
        </w:tc>
        <w:tc>
          <w:tcPr>
            <w:tcW w:w="2500" w:type="pct"/>
          </w:tcPr>
          <w:p w14:paraId="1C763694" w14:textId="77777777" w:rsidR="006A045B" w:rsidRPr="00BB7A49" w:rsidRDefault="003D21C7" w:rsidP="00BB7A49">
            <w:pPr>
              <w:pStyle w:val="CMSHeadL3"/>
              <w:numPr>
                <w:ilvl w:val="0"/>
                <w:numId w:val="0"/>
              </w:numPr>
              <w:tabs>
                <w:tab w:val="left" w:pos="460"/>
              </w:tabs>
              <w:spacing w:before="120" w:after="120"/>
              <w:jc w:val="both"/>
            </w:pPr>
            <w:r w:rsidRPr="00BB7A49">
              <w:t>7.2</w:t>
            </w:r>
            <w:r w:rsidRPr="00BB7A49">
              <w:tab/>
              <w:t xml:space="preserve">Either of the Parties </w:t>
            </w:r>
            <w:r w:rsidRPr="00570B61">
              <w:t>may terminate this Agreement by written notice for a cause or for convenience, with a notice period running from the date of delivery of the termination notice and ending on the last day of the calendar month in which it was delivered. If this Agreement is terminated by notice for convenience in the course of a Reference Period, the amount of the minimum turnover set for that Reference Period in Appendix 1 will not be pro rata reduced on that ground and the Buyer will be entitled to the Bonus only if all the conditions set out in this Agreement and in Appendix 1 will be fulfilled.</w:t>
            </w:r>
          </w:p>
        </w:tc>
      </w:tr>
      <w:tr w:rsidR="002573E6" w:rsidRPr="00B21502" w14:paraId="53A7A053" w14:textId="77777777" w:rsidTr="002573E6">
        <w:tc>
          <w:tcPr>
            <w:tcW w:w="2500" w:type="pct"/>
          </w:tcPr>
          <w:p w14:paraId="0FFB1AFD" w14:textId="77777777" w:rsidR="002573E6" w:rsidRPr="00570B61" w:rsidRDefault="00DB2827" w:rsidP="00BB7A49">
            <w:pPr>
              <w:pStyle w:val="CMSHeadL3"/>
              <w:numPr>
                <w:ilvl w:val="0"/>
                <w:numId w:val="0"/>
              </w:numPr>
              <w:tabs>
                <w:tab w:val="left" w:pos="426"/>
              </w:tabs>
              <w:spacing w:before="120" w:after="120"/>
              <w:jc w:val="both"/>
              <w:rPr>
                <w:lang w:val="cs-CZ"/>
              </w:rPr>
            </w:pPr>
            <w:r w:rsidRPr="00570B61">
              <w:rPr>
                <w:lang w:val="cs-CZ"/>
              </w:rPr>
              <w:t>7</w:t>
            </w:r>
            <w:r w:rsidR="002573E6" w:rsidRPr="00570B61">
              <w:rPr>
                <w:lang w:val="cs-CZ"/>
              </w:rPr>
              <w:t>.</w:t>
            </w:r>
            <w:r w:rsidR="006A045B" w:rsidRPr="00570B61">
              <w:rPr>
                <w:lang w:val="cs-CZ"/>
              </w:rPr>
              <w:t>3</w:t>
            </w:r>
            <w:r w:rsidR="002573E6" w:rsidRPr="00570B61">
              <w:rPr>
                <w:lang w:val="cs-CZ"/>
              </w:rPr>
              <w:tab/>
            </w:r>
            <w:r w:rsidR="002573E6" w:rsidRPr="00570B61">
              <w:rPr>
                <w:szCs w:val="22"/>
                <w:lang w:val="cs-CZ"/>
              </w:rPr>
              <w:t xml:space="preserve">Smluvní vztah mezi </w:t>
            </w:r>
            <w:r w:rsidR="006A045B" w:rsidRPr="00570B61">
              <w:rPr>
                <w:szCs w:val="22"/>
                <w:lang w:val="cs-CZ"/>
              </w:rPr>
              <w:t xml:space="preserve">společností Gilead </w:t>
            </w:r>
            <w:r w:rsidR="002573E6" w:rsidRPr="00570B61">
              <w:rPr>
                <w:szCs w:val="22"/>
                <w:lang w:val="cs-CZ"/>
              </w:rPr>
              <w:t xml:space="preserve">a Kupujícím se řídí </w:t>
            </w:r>
            <w:r w:rsidR="00A23602">
              <w:rPr>
                <w:szCs w:val="22"/>
                <w:lang w:val="cs-CZ"/>
              </w:rPr>
              <w:t>českým právem, zejména Občanským zákoníkem</w:t>
            </w:r>
            <w:r w:rsidR="002573E6" w:rsidRPr="00570B61">
              <w:rPr>
                <w:szCs w:val="22"/>
                <w:lang w:val="cs-CZ"/>
              </w:rPr>
              <w:t>.</w:t>
            </w:r>
          </w:p>
        </w:tc>
        <w:tc>
          <w:tcPr>
            <w:tcW w:w="2500" w:type="pct"/>
          </w:tcPr>
          <w:p w14:paraId="2F470C17" w14:textId="77777777" w:rsidR="002573E6" w:rsidRPr="00570B61" w:rsidRDefault="00EA10B3" w:rsidP="00BB7A49">
            <w:pPr>
              <w:pStyle w:val="CMSHeadL3"/>
              <w:numPr>
                <w:ilvl w:val="0"/>
                <w:numId w:val="0"/>
              </w:numPr>
              <w:tabs>
                <w:tab w:val="left" w:pos="460"/>
              </w:tabs>
              <w:spacing w:before="120" w:after="120"/>
              <w:jc w:val="both"/>
            </w:pPr>
            <w:r w:rsidRPr="00BB7A49">
              <w:t>7.</w:t>
            </w:r>
            <w:r w:rsidR="002573E6" w:rsidRPr="00BB7A49">
              <w:t>3</w:t>
            </w:r>
            <w:r w:rsidR="002573E6" w:rsidRPr="00BB7A49">
              <w:tab/>
            </w:r>
            <w:r w:rsidR="002573E6" w:rsidRPr="00BB7A49">
              <w:rPr>
                <w:szCs w:val="22"/>
              </w:rPr>
              <w:t xml:space="preserve">The contractual relationship between </w:t>
            </w:r>
            <w:r w:rsidR="001C33AF">
              <w:rPr>
                <w:szCs w:val="22"/>
              </w:rPr>
              <w:t>Gilead</w:t>
            </w:r>
            <w:r w:rsidR="00ED38A7" w:rsidRPr="00BB7A49">
              <w:rPr>
                <w:szCs w:val="22"/>
              </w:rPr>
              <w:t xml:space="preserve"> </w:t>
            </w:r>
            <w:r w:rsidR="002573E6" w:rsidRPr="00BB7A49">
              <w:rPr>
                <w:szCs w:val="22"/>
              </w:rPr>
              <w:t>and the Buyer is governed by</w:t>
            </w:r>
            <w:r w:rsidR="00B5305A">
              <w:rPr>
                <w:szCs w:val="22"/>
              </w:rPr>
              <w:t xml:space="preserve"> Czech law, in particular the</w:t>
            </w:r>
            <w:r w:rsidR="00A23602">
              <w:rPr>
                <w:szCs w:val="22"/>
              </w:rPr>
              <w:t xml:space="preserve"> Civil Code</w:t>
            </w:r>
            <w:r w:rsidR="002573E6" w:rsidRPr="00BB7A49">
              <w:rPr>
                <w:szCs w:val="22"/>
              </w:rPr>
              <w:t>.</w:t>
            </w:r>
          </w:p>
        </w:tc>
      </w:tr>
      <w:tr w:rsidR="006A045B" w:rsidRPr="00B71B0D" w14:paraId="12C3AF4A" w14:textId="77777777" w:rsidTr="002573E6">
        <w:tc>
          <w:tcPr>
            <w:tcW w:w="2500" w:type="pct"/>
          </w:tcPr>
          <w:p w14:paraId="60BE856A" w14:textId="27896D0C" w:rsidR="006A045B" w:rsidRPr="00570B61" w:rsidRDefault="006A045B">
            <w:pPr>
              <w:pStyle w:val="Clanek11"/>
              <w:tabs>
                <w:tab w:val="clear" w:pos="567"/>
              </w:tabs>
              <w:ind w:left="0" w:firstLine="0"/>
            </w:pPr>
            <w:r w:rsidRPr="00BB7A49">
              <w:rPr>
                <w:rFonts w:ascii="Times New Roman" w:hAnsi="Times New Roman" w:cs="Times New Roman"/>
              </w:rPr>
              <w:lastRenderedPageBreak/>
              <w:t xml:space="preserve">7.4 Veškeré případné spory vzniklé z této Dohody anebo v souvislosti s ní budou řešeny smírnou cestou. Pokud Strany nevyřeší jakýkoliv spor smírnou cestou do 30 dnů od započetí sporu, bude takový spor včetně otázek platnosti, výkladu, realizace či ukončení práv vzniklých z Dohody řešen věcně a místně příslušným českým soudem, a to dle sídla </w:t>
            </w:r>
            <w:r w:rsidR="007D29A6">
              <w:rPr>
                <w:rFonts w:ascii="Times New Roman" w:hAnsi="Times New Roman" w:cs="Times New Roman"/>
              </w:rPr>
              <w:t>Kupujícího</w:t>
            </w:r>
            <w:r w:rsidRPr="00BB7A49">
              <w:rPr>
                <w:rFonts w:ascii="Times New Roman" w:hAnsi="Times New Roman" w:cs="Times New Roman"/>
              </w:rPr>
              <w:t>, ledaže právní předpisy stanoví příslušnost výlučnou.</w:t>
            </w:r>
          </w:p>
        </w:tc>
        <w:tc>
          <w:tcPr>
            <w:tcW w:w="2500" w:type="pct"/>
          </w:tcPr>
          <w:p w14:paraId="0811179E" w14:textId="5E292EA3" w:rsidR="006A045B" w:rsidRPr="00BB7A49" w:rsidRDefault="00EA10B3" w:rsidP="00BB7A49">
            <w:pPr>
              <w:pStyle w:val="CMSHeadL3"/>
              <w:numPr>
                <w:ilvl w:val="0"/>
                <w:numId w:val="0"/>
              </w:numPr>
              <w:tabs>
                <w:tab w:val="left" w:pos="460"/>
              </w:tabs>
              <w:spacing w:before="120" w:after="120"/>
              <w:jc w:val="both"/>
            </w:pPr>
            <w:r w:rsidRPr="00BB7A49">
              <w:t>7.4</w:t>
            </w:r>
            <w:r w:rsidRPr="00BB7A49">
              <w:tab/>
            </w:r>
            <w:r w:rsidRPr="00570B61">
              <w:t xml:space="preserve">Any and all disputes that may arise out of or in connection with this Agreement will be resolved amicably. If the Parties fail to resolve any dispute amicably within 30 days from the commencement of the dispute, such dispute including the question of validity, interpretation, exercise or termination of the rights stemming from this Agreement will be referred to the competent Czech court of law having local jurisdiction over </w:t>
            </w:r>
            <w:r w:rsidR="0059584B">
              <w:t>the Buyer</w:t>
            </w:r>
            <w:r w:rsidRPr="00570B61">
              <w:t>, except where applicable laws stipulate exclusive jurisdiction.</w:t>
            </w:r>
          </w:p>
        </w:tc>
      </w:tr>
      <w:tr w:rsidR="006A045B" w:rsidRPr="00B71B0D" w14:paraId="4E5244FC" w14:textId="77777777" w:rsidTr="002573E6">
        <w:tc>
          <w:tcPr>
            <w:tcW w:w="2500" w:type="pct"/>
          </w:tcPr>
          <w:p w14:paraId="782867C5" w14:textId="10D72A2E" w:rsidR="006A045B" w:rsidRPr="00570B61" w:rsidRDefault="006A045B">
            <w:pPr>
              <w:pStyle w:val="Clanek11"/>
              <w:tabs>
                <w:tab w:val="clear" w:pos="567"/>
                <w:tab w:val="left" w:pos="390"/>
              </w:tabs>
              <w:ind w:left="0" w:firstLine="0"/>
              <w:rPr>
                <w:rFonts w:ascii="Times New Roman" w:hAnsi="Times New Roman" w:cs="Times New Roman"/>
              </w:rPr>
            </w:pPr>
            <w:r w:rsidRPr="00570B61">
              <w:rPr>
                <w:rFonts w:ascii="Times New Roman" w:hAnsi="Times New Roman" w:cs="Times New Roman"/>
              </w:rPr>
              <w:t>7.5</w:t>
            </w:r>
            <w:r w:rsidR="00B71B0D" w:rsidRPr="00570B61">
              <w:rPr>
                <w:rFonts w:ascii="Times New Roman" w:hAnsi="Times New Roman" w:cs="Times New Roman"/>
              </w:rPr>
              <w:t xml:space="preserve"> </w:t>
            </w:r>
            <w:r w:rsidRPr="00BB7A49">
              <w:rPr>
                <w:rFonts w:ascii="Times New Roman" w:hAnsi="Times New Roman" w:cs="Times New Roman"/>
              </w:rPr>
              <w:t xml:space="preserve">Tato </w:t>
            </w:r>
            <w:r w:rsidR="00B71B0D" w:rsidRPr="00570B61">
              <w:rPr>
                <w:rFonts w:ascii="Times New Roman" w:hAnsi="Times New Roman" w:cs="Times New Roman"/>
              </w:rPr>
              <w:t>Dohoda</w:t>
            </w:r>
            <w:r w:rsidRPr="00BB7A49">
              <w:rPr>
                <w:rFonts w:ascii="Times New Roman" w:hAnsi="Times New Roman" w:cs="Times New Roman"/>
              </w:rPr>
              <w:t xml:space="preserve"> obsahuje úplnou dohodu Stran ve věci předmětu této </w:t>
            </w:r>
            <w:r w:rsidR="00B71B0D" w:rsidRPr="00570B61">
              <w:rPr>
                <w:rFonts w:ascii="Times New Roman" w:hAnsi="Times New Roman" w:cs="Times New Roman"/>
              </w:rPr>
              <w:t>Dohody</w:t>
            </w:r>
            <w:r w:rsidRPr="00BB7A49">
              <w:rPr>
                <w:rFonts w:ascii="Times New Roman" w:hAnsi="Times New Roman" w:cs="Times New Roman"/>
              </w:rPr>
              <w:t xml:space="preserve"> a nahrazuje veškeré ostatní písemné či ústní dohody učiněné Stranami ve věci předmětu této </w:t>
            </w:r>
            <w:r w:rsidR="00B71B0D" w:rsidRPr="00570B61">
              <w:rPr>
                <w:rFonts w:ascii="Times New Roman" w:hAnsi="Times New Roman" w:cs="Times New Roman"/>
              </w:rPr>
              <w:t>Dohody</w:t>
            </w:r>
            <w:r w:rsidRPr="00BB7A49">
              <w:rPr>
                <w:rFonts w:ascii="Times New Roman" w:hAnsi="Times New Roman" w:cs="Times New Roman"/>
              </w:rPr>
              <w:t>.</w:t>
            </w:r>
            <w:r w:rsidR="0036119E">
              <w:rPr>
                <w:rFonts w:ascii="Times New Roman" w:hAnsi="Times New Roman" w:cs="Times New Roman"/>
              </w:rPr>
              <w:t xml:space="preserve"> Tato Dohoda zejména nahrazuje </w:t>
            </w:r>
            <w:r w:rsidR="007D29A6">
              <w:rPr>
                <w:rFonts w:ascii="Times New Roman" w:hAnsi="Times New Roman" w:cs="Times New Roman"/>
              </w:rPr>
              <w:t>dohodu o poskytování bonusu</w:t>
            </w:r>
            <w:r w:rsidR="0036119E">
              <w:rPr>
                <w:rFonts w:ascii="Times New Roman" w:hAnsi="Times New Roman" w:cs="Times New Roman"/>
              </w:rPr>
              <w:t xml:space="preserve"> ze dne </w:t>
            </w:r>
            <w:r w:rsidR="007D29A6">
              <w:rPr>
                <w:rFonts w:ascii="Times New Roman" w:hAnsi="Times New Roman" w:cs="Times New Roman"/>
              </w:rPr>
              <w:t>30. 6. 2016 ve znění dodatku č. 1 ze dne 15. 12. 2016</w:t>
            </w:r>
            <w:r w:rsidR="0054341A">
              <w:rPr>
                <w:rFonts w:ascii="Times New Roman" w:hAnsi="Times New Roman" w:cs="Times New Roman"/>
              </w:rPr>
              <w:t xml:space="preserve"> („</w:t>
            </w:r>
            <w:r w:rsidR="0054341A" w:rsidRPr="0054341A">
              <w:rPr>
                <w:rFonts w:ascii="Times New Roman" w:hAnsi="Times New Roman" w:cs="Times New Roman"/>
                <w:b/>
                <w:bCs w:val="0"/>
              </w:rPr>
              <w:t xml:space="preserve">Původní </w:t>
            </w:r>
            <w:r w:rsidR="0054341A">
              <w:rPr>
                <w:rFonts w:ascii="Times New Roman" w:hAnsi="Times New Roman" w:cs="Times New Roman"/>
                <w:b/>
                <w:bCs w:val="0"/>
              </w:rPr>
              <w:t>dohoda</w:t>
            </w:r>
            <w:r w:rsidR="0054341A">
              <w:rPr>
                <w:rFonts w:ascii="Times New Roman" w:hAnsi="Times New Roman" w:cs="Times New Roman"/>
              </w:rPr>
              <w:t>“)</w:t>
            </w:r>
            <w:r w:rsidR="0036119E">
              <w:rPr>
                <w:rFonts w:ascii="Times New Roman" w:hAnsi="Times New Roman" w:cs="Times New Roman"/>
              </w:rPr>
              <w:t>.</w:t>
            </w:r>
            <w:r w:rsidR="005742A5">
              <w:rPr>
                <w:rFonts w:ascii="Times New Roman" w:hAnsi="Times New Roman" w:cs="Times New Roman"/>
              </w:rPr>
              <w:t xml:space="preserve"> Smluvní strany se dohodly na ukončení </w:t>
            </w:r>
            <w:r w:rsidR="0054341A">
              <w:rPr>
                <w:rFonts w:ascii="Times New Roman" w:hAnsi="Times New Roman" w:cs="Times New Roman"/>
              </w:rPr>
              <w:t>Původní</w:t>
            </w:r>
            <w:r w:rsidR="005742A5">
              <w:rPr>
                <w:rFonts w:ascii="Times New Roman" w:hAnsi="Times New Roman" w:cs="Times New Roman"/>
              </w:rPr>
              <w:t xml:space="preserve"> </w:t>
            </w:r>
            <w:r w:rsidR="0054341A">
              <w:rPr>
                <w:rFonts w:ascii="Times New Roman" w:hAnsi="Times New Roman" w:cs="Times New Roman"/>
              </w:rPr>
              <w:t>dohody</w:t>
            </w:r>
            <w:r w:rsidR="005742A5">
              <w:rPr>
                <w:rFonts w:ascii="Times New Roman" w:hAnsi="Times New Roman" w:cs="Times New Roman"/>
              </w:rPr>
              <w:t xml:space="preserve"> ke dni nabytí účinnosti této Dohody.</w:t>
            </w:r>
          </w:p>
        </w:tc>
        <w:tc>
          <w:tcPr>
            <w:tcW w:w="2500" w:type="pct"/>
          </w:tcPr>
          <w:p w14:paraId="4121F21E" w14:textId="56560B23" w:rsidR="006A045B" w:rsidRPr="00BB7A49" w:rsidRDefault="00EA10B3" w:rsidP="00BB7A49">
            <w:pPr>
              <w:pStyle w:val="CMSHeadL3"/>
              <w:numPr>
                <w:ilvl w:val="0"/>
                <w:numId w:val="0"/>
              </w:numPr>
              <w:tabs>
                <w:tab w:val="left" w:pos="460"/>
              </w:tabs>
              <w:spacing w:before="120" w:after="120"/>
              <w:jc w:val="both"/>
            </w:pPr>
            <w:r w:rsidRPr="00570B61">
              <w:t>7.5</w:t>
            </w:r>
            <w:r w:rsidRPr="00570B61">
              <w:tab/>
              <w:t xml:space="preserve">This Agreement constitutes the entire agreement of the Parties regarding the subject matter hereof and replaces </w:t>
            </w:r>
            <w:proofErr w:type="gramStart"/>
            <w:r w:rsidRPr="00570B61">
              <w:t>any and all</w:t>
            </w:r>
            <w:proofErr w:type="gramEnd"/>
            <w:r w:rsidRPr="00570B61">
              <w:t xml:space="preserve"> other understandings, verbal or written, between the Parties regarding the subject matter of this Agreement.</w:t>
            </w:r>
            <w:r w:rsidR="0036119E">
              <w:t xml:space="preserve"> This Agreement </w:t>
            </w:r>
            <w:proofErr w:type="gramStart"/>
            <w:r w:rsidR="0036119E">
              <w:t>in particular replaces</w:t>
            </w:r>
            <w:proofErr w:type="gramEnd"/>
            <w:r w:rsidR="0036119E">
              <w:t xml:space="preserve"> the </w:t>
            </w:r>
            <w:r w:rsidR="0036119E" w:rsidRPr="008313AB">
              <w:t>agreement</w:t>
            </w:r>
            <w:r w:rsidR="00B704C4">
              <w:t xml:space="preserve"> on the provision of bonus</w:t>
            </w:r>
            <w:r w:rsidR="0036119E">
              <w:t xml:space="preserve"> of </w:t>
            </w:r>
            <w:r w:rsidR="00B704C4">
              <w:t>30. 6. 2016 as amended by Amendment No. 1 of 15. 12. 2016 (the “</w:t>
            </w:r>
            <w:r w:rsidR="00B704C4" w:rsidRPr="00B704C4">
              <w:rPr>
                <w:b/>
                <w:bCs/>
              </w:rPr>
              <w:t>Original agreement</w:t>
            </w:r>
            <w:r w:rsidR="00B704C4">
              <w:t>”)</w:t>
            </w:r>
            <w:r w:rsidR="0036119E">
              <w:t>.</w:t>
            </w:r>
            <w:r w:rsidR="0054341A">
              <w:t xml:space="preserve"> </w:t>
            </w:r>
            <w:r w:rsidR="0054341A" w:rsidRPr="0054341A">
              <w:t xml:space="preserve">The Parties agree to terminate </w:t>
            </w:r>
            <w:r w:rsidR="0054341A">
              <w:t>the</w:t>
            </w:r>
            <w:r w:rsidR="0054341A" w:rsidRPr="0054341A">
              <w:t xml:space="preserve"> </w:t>
            </w:r>
            <w:r w:rsidR="0054341A">
              <w:t>O</w:t>
            </w:r>
            <w:r w:rsidR="0054341A" w:rsidRPr="0054341A">
              <w:t xml:space="preserve">riginal </w:t>
            </w:r>
            <w:r w:rsidR="0054341A">
              <w:t>a</w:t>
            </w:r>
            <w:r w:rsidR="0054341A" w:rsidRPr="0054341A">
              <w:t>greement on the date of entry into force of this Agreement.</w:t>
            </w:r>
          </w:p>
        </w:tc>
      </w:tr>
      <w:tr w:rsidR="006A045B" w:rsidRPr="00B71B0D" w14:paraId="62A4975F" w14:textId="77777777" w:rsidTr="002573E6">
        <w:tc>
          <w:tcPr>
            <w:tcW w:w="2500" w:type="pct"/>
          </w:tcPr>
          <w:p w14:paraId="452D5A74" w14:textId="77777777" w:rsidR="006A045B" w:rsidRPr="00570B61" w:rsidRDefault="006A045B" w:rsidP="00BB7A49">
            <w:pPr>
              <w:pStyle w:val="Clanek11"/>
              <w:tabs>
                <w:tab w:val="clear" w:pos="567"/>
                <w:tab w:val="left" w:pos="470"/>
              </w:tabs>
              <w:ind w:left="0" w:firstLine="0"/>
              <w:rPr>
                <w:rFonts w:ascii="Times New Roman" w:hAnsi="Times New Roman" w:cs="Times New Roman"/>
              </w:rPr>
            </w:pPr>
            <w:r w:rsidRPr="00570B61">
              <w:rPr>
                <w:rFonts w:ascii="Times New Roman" w:hAnsi="Times New Roman" w:cs="Times New Roman"/>
              </w:rPr>
              <w:t xml:space="preserve">7.6 </w:t>
            </w:r>
            <w:r w:rsidRPr="00BB7A49">
              <w:rPr>
                <w:rFonts w:ascii="Times New Roman" w:hAnsi="Times New Roman" w:cs="Times New Roman"/>
              </w:rPr>
              <w:t xml:space="preserve">Tato </w:t>
            </w:r>
            <w:r w:rsidR="00B71B0D" w:rsidRPr="00570B61">
              <w:rPr>
                <w:rFonts w:ascii="Times New Roman" w:hAnsi="Times New Roman" w:cs="Times New Roman"/>
              </w:rPr>
              <w:t>Dohoda</w:t>
            </w:r>
            <w:r w:rsidRPr="00BB7A49">
              <w:rPr>
                <w:rFonts w:ascii="Times New Roman" w:hAnsi="Times New Roman" w:cs="Times New Roman"/>
              </w:rPr>
              <w:t xml:space="preserve"> obsahuje úplné ujednání o povaze, předmětu a podmínkách spolupráce Stran a o všech náležitostech, které Strany měly a chtěly ujednat, a které považují za důležité. Strany se dohodly, že podstatná změna okolností, za nichž byla jejich spolupráce dohodnuta, nezakládá právo žádné ze Stran domáhat se obnovení jednání o podmínkách spolupráce ve smyslu §</w:t>
            </w:r>
            <w:r w:rsidR="00EA10B3" w:rsidRPr="00570B61">
              <w:rPr>
                <w:rFonts w:ascii="Times New Roman" w:hAnsi="Times New Roman" w:cs="Times New Roman"/>
              </w:rPr>
              <w:t xml:space="preserve"> </w:t>
            </w:r>
            <w:r w:rsidRPr="00BB7A49">
              <w:rPr>
                <w:rFonts w:ascii="Times New Roman" w:hAnsi="Times New Roman" w:cs="Times New Roman"/>
              </w:rPr>
              <w:t>1765 Občanského zákoníku, není-li zde stanoveno jinak.</w:t>
            </w:r>
          </w:p>
        </w:tc>
        <w:tc>
          <w:tcPr>
            <w:tcW w:w="2500" w:type="pct"/>
          </w:tcPr>
          <w:p w14:paraId="77F3E4FC" w14:textId="77777777" w:rsidR="006A045B" w:rsidRPr="00BB7A49" w:rsidRDefault="00EA10B3" w:rsidP="00BB7A49">
            <w:pPr>
              <w:pStyle w:val="CMSHeadL3"/>
              <w:numPr>
                <w:ilvl w:val="0"/>
                <w:numId w:val="0"/>
              </w:numPr>
              <w:tabs>
                <w:tab w:val="left" w:pos="460"/>
              </w:tabs>
              <w:spacing w:before="120" w:after="120"/>
              <w:jc w:val="both"/>
            </w:pPr>
            <w:r w:rsidRPr="00570B61">
              <w:t>7.6</w:t>
            </w:r>
            <w:r w:rsidRPr="00570B61">
              <w:tab/>
              <w:t>This Agreement constitutes the entire understanding between the Parties regarding the nature, subject matter and conditions of cooperation between the Parties and regarding all matters the Parties intended to agree upon and which they consider important. The Parties have agreed that a significant change of the circumstances under which their cooperation was agreed upon does not constitute the right of either of the Parties to seek renegotiation of the terms and conditions of their cooperation within the meaning of Section 1765 of the Civil Code, unless stipulated otherwise herein.</w:t>
            </w:r>
          </w:p>
        </w:tc>
      </w:tr>
      <w:tr w:rsidR="006A045B" w:rsidRPr="00B71B0D" w14:paraId="3941751E" w14:textId="77777777" w:rsidTr="002573E6">
        <w:tc>
          <w:tcPr>
            <w:tcW w:w="2500" w:type="pct"/>
          </w:tcPr>
          <w:p w14:paraId="5F501337" w14:textId="77777777" w:rsidR="006A045B" w:rsidRPr="00570B61" w:rsidRDefault="00B71B0D" w:rsidP="00BB7A49">
            <w:pPr>
              <w:pStyle w:val="Clanek11"/>
              <w:tabs>
                <w:tab w:val="clear" w:pos="567"/>
                <w:tab w:val="left" w:pos="430"/>
              </w:tabs>
              <w:ind w:left="0" w:firstLine="0"/>
              <w:rPr>
                <w:rFonts w:ascii="Times New Roman" w:hAnsi="Times New Roman" w:cs="Times New Roman"/>
              </w:rPr>
            </w:pPr>
            <w:r w:rsidRPr="00570B61">
              <w:rPr>
                <w:rFonts w:ascii="Times New Roman" w:hAnsi="Times New Roman" w:cs="Times New Roman"/>
              </w:rPr>
              <w:t xml:space="preserve">7.7 </w:t>
            </w:r>
            <w:r w:rsidRPr="00BB7A49">
              <w:rPr>
                <w:rFonts w:ascii="Times New Roman" w:hAnsi="Times New Roman" w:cs="Times New Roman"/>
              </w:rPr>
              <w:t xml:space="preserve">Pro případ uzavírání této </w:t>
            </w:r>
            <w:r w:rsidRPr="00570B61">
              <w:rPr>
                <w:rFonts w:ascii="Times New Roman" w:hAnsi="Times New Roman" w:cs="Times New Roman"/>
              </w:rPr>
              <w:t>Dohody</w:t>
            </w:r>
            <w:r w:rsidRPr="00BB7A49">
              <w:rPr>
                <w:rFonts w:ascii="Times New Roman" w:hAnsi="Times New Roman" w:cs="Times New Roman"/>
              </w:rPr>
              <w:t xml:space="preserve"> a dodatků k ní Strany vylučují aplikaci ustanovení § 1740 odst. 3 </w:t>
            </w:r>
            <w:r w:rsidRPr="00570B61">
              <w:rPr>
                <w:rFonts w:ascii="Times New Roman" w:hAnsi="Times New Roman" w:cs="Times New Roman"/>
              </w:rPr>
              <w:t>O</w:t>
            </w:r>
            <w:r w:rsidRPr="00BB7A49">
              <w:rPr>
                <w:rFonts w:ascii="Times New Roman" w:hAnsi="Times New Roman" w:cs="Times New Roman"/>
              </w:rPr>
              <w:t>bčanského zákoníku, který stanoví, že smlouva je uzavřena i v případě, že mezi stranami nebylo dosaženo úplné shody projevu vůle o jejím obsahu.</w:t>
            </w:r>
          </w:p>
        </w:tc>
        <w:tc>
          <w:tcPr>
            <w:tcW w:w="2500" w:type="pct"/>
          </w:tcPr>
          <w:p w14:paraId="1DFE20EA" w14:textId="77777777" w:rsidR="006A045B" w:rsidRPr="00BB7A49" w:rsidRDefault="00635322" w:rsidP="00BB7A49">
            <w:pPr>
              <w:pStyle w:val="CMSHeadL3"/>
              <w:numPr>
                <w:ilvl w:val="0"/>
                <w:numId w:val="0"/>
              </w:numPr>
              <w:tabs>
                <w:tab w:val="left" w:pos="460"/>
              </w:tabs>
              <w:spacing w:before="120" w:after="120"/>
              <w:jc w:val="both"/>
            </w:pPr>
            <w:r w:rsidRPr="00570B61">
              <w:t>7.7</w:t>
            </w:r>
            <w:r w:rsidRPr="00570B61">
              <w:tab/>
              <w:t>For the purpose of entering into this Agreement and any amendments hereto, the Parties exclude the application of Section 1740(3) of the Civil Code, pursuant to which a contract is entered into even without the full conformity of the expression of the parties’ will with regard to its content.</w:t>
            </w:r>
          </w:p>
        </w:tc>
      </w:tr>
      <w:tr w:rsidR="00B71B0D" w:rsidRPr="00B71B0D" w14:paraId="09569F0A" w14:textId="77777777" w:rsidTr="002573E6">
        <w:tc>
          <w:tcPr>
            <w:tcW w:w="2500" w:type="pct"/>
          </w:tcPr>
          <w:p w14:paraId="1F36DE03" w14:textId="77777777" w:rsidR="00B71B0D" w:rsidRPr="00570B61" w:rsidRDefault="00B71B0D" w:rsidP="00BB7A49">
            <w:pPr>
              <w:pStyle w:val="Clanek11"/>
              <w:tabs>
                <w:tab w:val="clear" w:pos="567"/>
                <w:tab w:val="left" w:pos="420"/>
              </w:tabs>
              <w:ind w:left="0" w:firstLine="0"/>
              <w:rPr>
                <w:rFonts w:ascii="Times New Roman" w:hAnsi="Times New Roman" w:cs="Times New Roman"/>
              </w:rPr>
            </w:pPr>
            <w:r w:rsidRPr="00570B61">
              <w:rPr>
                <w:rFonts w:ascii="Times New Roman" w:hAnsi="Times New Roman" w:cs="Times New Roman"/>
              </w:rPr>
              <w:t xml:space="preserve">7.8 </w:t>
            </w:r>
            <w:r w:rsidRPr="00BB7A49">
              <w:rPr>
                <w:rFonts w:ascii="Times New Roman" w:hAnsi="Times New Roman" w:cs="Times New Roman"/>
              </w:rPr>
              <w:t xml:space="preserve">Jestliže kterákoli ze Stran přehlédne nebo promine jakékoliv neplnění, porušení, prodlení nebo nedodržení kterékoli povinnosti vyplývající z této </w:t>
            </w:r>
            <w:r w:rsidRPr="00570B61">
              <w:rPr>
                <w:rFonts w:ascii="Times New Roman" w:hAnsi="Times New Roman" w:cs="Times New Roman"/>
              </w:rPr>
              <w:t>Dohody</w:t>
            </w:r>
            <w:r w:rsidRPr="00BB7A49">
              <w:rPr>
                <w:rFonts w:ascii="Times New Roman" w:hAnsi="Times New Roman" w:cs="Times New Roman"/>
              </w:rPr>
              <w:t>,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tc>
        <w:tc>
          <w:tcPr>
            <w:tcW w:w="2500" w:type="pct"/>
          </w:tcPr>
          <w:p w14:paraId="16EFD1F7" w14:textId="77777777" w:rsidR="00B71B0D" w:rsidRPr="00BB7A49" w:rsidRDefault="00EB6111" w:rsidP="00BB7A49">
            <w:pPr>
              <w:pStyle w:val="CMSHeadL3"/>
              <w:numPr>
                <w:ilvl w:val="0"/>
                <w:numId w:val="0"/>
              </w:numPr>
              <w:tabs>
                <w:tab w:val="left" w:pos="460"/>
              </w:tabs>
              <w:spacing w:before="120" w:after="120"/>
              <w:jc w:val="both"/>
            </w:pPr>
            <w:r w:rsidRPr="00570B61">
              <w:t>7.8</w:t>
            </w:r>
            <w:r w:rsidRPr="00570B61">
              <w:tab/>
            </w:r>
            <w:r w:rsidR="00131962" w:rsidRPr="00570B61">
              <w:t>If either of the Parties overlooks or waives any default, breach, delay, or failure to comply with any obligation under this Agreement, such act will not constitute a waiver of the right in relation to any continuing or subsequent default, breach, or failure to comply with such obligation, and such waiver will only be considered effective if made in writing in each individual case.</w:t>
            </w:r>
          </w:p>
        </w:tc>
      </w:tr>
      <w:tr w:rsidR="00B71B0D" w:rsidRPr="00B71B0D" w14:paraId="25453AA5" w14:textId="77777777" w:rsidTr="002573E6">
        <w:tc>
          <w:tcPr>
            <w:tcW w:w="2500" w:type="pct"/>
          </w:tcPr>
          <w:p w14:paraId="5B1FFFD9" w14:textId="77777777" w:rsidR="00B71B0D" w:rsidRPr="00570B61" w:rsidRDefault="00B71B0D" w:rsidP="001D11D5">
            <w:pPr>
              <w:pStyle w:val="Clanek11"/>
              <w:numPr>
                <w:ilvl w:val="1"/>
                <w:numId w:val="22"/>
              </w:numPr>
              <w:tabs>
                <w:tab w:val="left" w:pos="400"/>
              </w:tabs>
              <w:ind w:left="0" w:firstLine="0"/>
              <w:rPr>
                <w:rFonts w:ascii="Times New Roman" w:hAnsi="Times New Roman" w:cs="Times New Roman"/>
              </w:rPr>
            </w:pPr>
            <w:r w:rsidRPr="00BB7A49">
              <w:rPr>
                <w:rFonts w:ascii="Times New Roman" w:hAnsi="Times New Roman" w:cs="Times New Roman"/>
              </w:rPr>
              <w:lastRenderedPageBreak/>
              <w:t xml:space="preserve">Je-li nebo stane-li se jakékoli ujednání této </w:t>
            </w:r>
            <w:r w:rsidRPr="00570B61">
              <w:rPr>
                <w:rFonts w:ascii="Times New Roman" w:hAnsi="Times New Roman" w:cs="Times New Roman"/>
              </w:rPr>
              <w:t>Dohody</w:t>
            </w:r>
            <w:r w:rsidRPr="00BB7A49">
              <w:rPr>
                <w:rFonts w:ascii="Times New Roman" w:hAnsi="Times New Roman" w:cs="Times New Roman"/>
              </w:rPr>
              <w:t xml:space="preserve"> zdánlivým, neplatným či nevymahatelným, nebude to mít vliv na platnost a vymahatelnost ostatních ujednání této </w:t>
            </w:r>
            <w:r w:rsidRPr="00570B61">
              <w:rPr>
                <w:rFonts w:ascii="Times New Roman" w:hAnsi="Times New Roman" w:cs="Times New Roman"/>
              </w:rPr>
              <w:t>Dohody</w:t>
            </w:r>
            <w:r w:rsidRPr="00BB7A49">
              <w:rPr>
                <w:rFonts w:ascii="Times New Roman" w:hAnsi="Times New Roman" w:cs="Times New Roman"/>
              </w:rPr>
              <w:t xml:space="preserve">. Strany se zavazují nahradit zdánlivé, neplatné nebo nevymahatelné ujednání novým ujednáním, jehož znění bude odpovídat úmyslu vyjádřenému původním ujednáním a touto </w:t>
            </w:r>
            <w:r w:rsidRPr="00570B61">
              <w:rPr>
                <w:rFonts w:ascii="Times New Roman" w:hAnsi="Times New Roman" w:cs="Times New Roman"/>
              </w:rPr>
              <w:t>Dohodou</w:t>
            </w:r>
            <w:r w:rsidRPr="00BB7A49">
              <w:rPr>
                <w:rFonts w:ascii="Times New Roman" w:hAnsi="Times New Roman" w:cs="Times New Roman"/>
              </w:rPr>
              <w:t xml:space="preserve"> jako celkem.</w:t>
            </w:r>
          </w:p>
        </w:tc>
        <w:tc>
          <w:tcPr>
            <w:tcW w:w="2500" w:type="pct"/>
          </w:tcPr>
          <w:p w14:paraId="75A71107" w14:textId="77777777" w:rsidR="00B71B0D" w:rsidRPr="00BB7A49" w:rsidRDefault="00131962" w:rsidP="00BB7A49">
            <w:pPr>
              <w:pStyle w:val="CMSHeadL3"/>
              <w:numPr>
                <w:ilvl w:val="0"/>
                <w:numId w:val="0"/>
              </w:numPr>
              <w:tabs>
                <w:tab w:val="left" w:pos="460"/>
              </w:tabs>
              <w:spacing w:before="120" w:after="120"/>
              <w:jc w:val="both"/>
            </w:pPr>
            <w:r w:rsidRPr="00570B61">
              <w:t>7.9</w:t>
            </w:r>
            <w:r w:rsidRPr="00570B61">
              <w:tab/>
            </w:r>
            <w:r w:rsidR="0078106A" w:rsidRPr="00570B61">
              <w:t>If any provision of this Agreement is or becomes invalid, putative or unenforceable, the validity and enforceability of the remaining provisions hereof will be unaffected thereby. The Parties undertake to replace the invalid, putative or unenforceable provision with a new provision, the wording of which will correspond to the intention expressed by the original provision and this Agreement as a whole.</w:t>
            </w:r>
          </w:p>
        </w:tc>
      </w:tr>
      <w:tr w:rsidR="00B71B0D" w:rsidRPr="00B71B0D" w14:paraId="47EBC0CE" w14:textId="77777777" w:rsidTr="002573E6">
        <w:tc>
          <w:tcPr>
            <w:tcW w:w="2500" w:type="pct"/>
          </w:tcPr>
          <w:p w14:paraId="6BE7A494" w14:textId="77777777" w:rsidR="00B71B0D" w:rsidRPr="00570B61" w:rsidRDefault="00B71B0D" w:rsidP="00EB6111">
            <w:pPr>
              <w:pStyle w:val="Clanek11"/>
              <w:tabs>
                <w:tab w:val="clear" w:pos="567"/>
              </w:tabs>
              <w:ind w:left="0" w:firstLine="0"/>
              <w:rPr>
                <w:rFonts w:ascii="Times New Roman" w:hAnsi="Times New Roman" w:cs="Times New Roman"/>
              </w:rPr>
            </w:pPr>
            <w:r w:rsidRPr="00570B61">
              <w:rPr>
                <w:rFonts w:ascii="Times New Roman" w:hAnsi="Times New Roman" w:cs="Times New Roman"/>
              </w:rPr>
              <w:t>7.10 Tato Dohoda</w:t>
            </w:r>
            <w:r w:rsidRPr="00BB7A49">
              <w:rPr>
                <w:rFonts w:ascii="Times New Roman" w:hAnsi="Times New Roman" w:cs="Times New Roman"/>
              </w:rPr>
              <w:t xml:space="preserve"> se uzavírá ve dvou vyhotoveních, z nichž každá Strana obdrží jedno vyhotovení. </w:t>
            </w:r>
          </w:p>
        </w:tc>
        <w:tc>
          <w:tcPr>
            <w:tcW w:w="2500" w:type="pct"/>
          </w:tcPr>
          <w:p w14:paraId="30A1BD66" w14:textId="77777777" w:rsidR="00B71B0D" w:rsidRPr="00BB7A49" w:rsidRDefault="00972EA6" w:rsidP="00BB7A49">
            <w:pPr>
              <w:pStyle w:val="CMSHeadL3"/>
              <w:numPr>
                <w:ilvl w:val="0"/>
                <w:numId w:val="0"/>
              </w:numPr>
              <w:tabs>
                <w:tab w:val="left" w:pos="460"/>
              </w:tabs>
              <w:spacing w:before="120" w:after="120"/>
              <w:jc w:val="both"/>
            </w:pPr>
            <w:r w:rsidRPr="00570B61">
              <w:t>7.10</w:t>
            </w:r>
            <w:r w:rsidRPr="00570B61">
              <w:tab/>
            </w:r>
            <w:r w:rsidRPr="00570B61">
              <w:rPr>
                <w:szCs w:val="22"/>
              </w:rPr>
              <w:t>This Agreement is executed in two (2) originals, one for each of the Parties hereto.</w:t>
            </w:r>
          </w:p>
        </w:tc>
      </w:tr>
      <w:tr w:rsidR="00B71B0D" w:rsidRPr="00B71B0D" w14:paraId="56B3C110" w14:textId="77777777" w:rsidTr="002573E6">
        <w:tc>
          <w:tcPr>
            <w:tcW w:w="2500" w:type="pct"/>
          </w:tcPr>
          <w:p w14:paraId="3A507501" w14:textId="77777777" w:rsidR="00B71B0D" w:rsidRPr="00570B61" w:rsidRDefault="00B71B0D" w:rsidP="00EB6111">
            <w:pPr>
              <w:pStyle w:val="Clanek11"/>
              <w:tabs>
                <w:tab w:val="clear" w:pos="567"/>
              </w:tabs>
              <w:ind w:left="0" w:firstLine="0"/>
              <w:rPr>
                <w:rFonts w:ascii="Times New Roman" w:hAnsi="Times New Roman" w:cs="Times New Roman"/>
              </w:rPr>
            </w:pPr>
            <w:r w:rsidRPr="00570B61">
              <w:rPr>
                <w:rFonts w:ascii="Times New Roman" w:hAnsi="Times New Roman" w:cs="Times New Roman"/>
              </w:rPr>
              <w:t xml:space="preserve">7.11 </w:t>
            </w:r>
            <w:r w:rsidRPr="00BB7A49">
              <w:rPr>
                <w:rFonts w:ascii="Times New Roman" w:hAnsi="Times New Roman" w:cs="Times New Roman"/>
              </w:rPr>
              <w:t xml:space="preserve">Součástí této </w:t>
            </w:r>
            <w:r w:rsidRPr="00570B61">
              <w:rPr>
                <w:rFonts w:ascii="Times New Roman" w:hAnsi="Times New Roman" w:cs="Times New Roman"/>
              </w:rPr>
              <w:t>Dohody</w:t>
            </w:r>
            <w:r w:rsidRPr="00BB7A49">
              <w:rPr>
                <w:rFonts w:ascii="Times New Roman" w:hAnsi="Times New Roman" w:cs="Times New Roman"/>
              </w:rPr>
              <w:t xml:space="preserve"> je Příloha č. 1.</w:t>
            </w:r>
          </w:p>
        </w:tc>
        <w:tc>
          <w:tcPr>
            <w:tcW w:w="2500" w:type="pct"/>
          </w:tcPr>
          <w:p w14:paraId="3BA57CDB" w14:textId="77777777" w:rsidR="00B71B0D" w:rsidRPr="00BB7A49" w:rsidRDefault="00EB6111" w:rsidP="00BB7A49">
            <w:pPr>
              <w:pStyle w:val="CMSHeadL3"/>
              <w:numPr>
                <w:ilvl w:val="0"/>
                <w:numId w:val="0"/>
              </w:numPr>
              <w:tabs>
                <w:tab w:val="left" w:pos="460"/>
              </w:tabs>
              <w:spacing w:before="120" w:after="120"/>
              <w:jc w:val="both"/>
            </w:pPr>
            <w:r w:rsidRPr="00570B61">
              <w:t>7.11</w:t>
            </w:r>
            <w:r w:rsidRPr="00570B61">
              <w:tab/>
              <w:t>Appendix 1 constitutes an integral part of this Agreement.</w:t>
            </w:r>
          </w:p>
        </w:tc>
      </w:tr>
    </w:tbl>
    <w:p w14:paraId="4902650B" w14:textId="77777777" w:rsidR="00F53F7A" w:rsidRPr="00B21502" w:rsidRDefault="00F53F7A">
      <w:pPr>
        <w:pStyle w:val="Zkladntext"/>
        <w:jc w:val="center"/>
        <w:rPr>
          <w:b/>
          <w:sz w:val="28"/>
          <w:szCs w:val="28"/>
        </w:rPr>
      </w:pPr>
      <w:r w:rsidRPr="00BB7A49">
        <w:rPr>
          <w:lang w:val="cs-CZ"/>
        </w:rPr>
        <w:br w:type="page"/>
      </w:r>
      <w:r w:rsidRPr="00B21502">
        <w:rPr>
          <w:b/>
          <w:bCs/>
          <w:sz w:val="28"/>
          <w:szCs w:val="28"/>
        </w:rPr>
        <w:lastRenderedPageBreak/>
        <w:t>PODPISOVÁ STRANA/</w:t>
      </w:r>
      <w:r w:rsidRPr="00B21502">
        <w:rPr>
          <w:b/>
          <w:bCs/>
          <w:sz w:val="28"/>
          <w:szCs w:val="28"/>
          <w:lang w:val="en"/>
        </w:rPr>
        <w:t xml:space="preserve"> SIGNATURE PAGE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E602D8" w:rsidRPr="002352A7" w14:paraId="43C299A0" w14:textId="77777777" w:rsidTr="00E602D8">
        <w:tc>
          <w:tcPr>
            <w:tcW w:w="4535" w:type="dxa"/>
          </w:tcPr>
          <w:p w14:paraId="1BC41E15" w14:textId="3A95D9AD" w:rsidR="00E602D8" w:rsidRPr="00507EEF" w:rsidRDefault="00E602D8" w:rsidP="00E602D8">
            <w:pPr>
              <w:pStyle w:val="ENNormalni"/>
            </w:pPr>
            <w:bookmarkStart w:id="16" w:name="_Hlk25587471"/>
            <w:proofErr w:type="spellStart"/>
            <w:r w:rsidRPr="00570B61">
              <w:rPr>
                <w:b/>
                <w:bCs/>
                <w:lang w:val="cs-CZ"/>
              </w:rPr>
              <w:t>Gilead</w:t>
            </w:r>
            <w:proofErr w:type="spellEnd"/>
            <w:r w:rsidRPr="00570B61">
              <w:rPr>
                <w:b/>
                <w:bCs/>
                <w:lang w:val="cs-CZ"/>
              </w:rPr>
              <w:t xml:space="preserve"> </w:t>
            </w:r>
            <w:proofErr w:type="spellStart"/>
            <w:r w:rsidRPr="00570B61">
              <w:rPr>
                <w:b/>
                <w:bCs/>
                <w:lang w:val="cs-CZ"/>
              </w:rPr>
              <w:t>Sciences</w:t>
            </w:r>
            <w:proofErr w:type="spellEnd"/>
            <w:r w:rsidRPr="00570B61">
              <w:rPr>
                <w:b/>
                <w:bCs/>
                <w:lang w:val="cs-CZ"/>
              </w:rPr>
              <w:t xml:space="preserve"> s.r.o.</w:t>
            </w:r>
          </w:p>
        </w:tc>
        <w:tc>
          <w:tcPr>
            <w:tcW w:w="4536" w:type="dxa"/>
          </w:tcPr>
          <w:p w14:paraId="4DC2C313" w14:textId="3DF6335A" w:rsidR="00E602D8" w:rsidRPr="00E602D8" w:rsidRDefault="00E602D8" w:rsidP="00B06A0C">
            <w:pPr>
              <w:pStyle w:val="ENNormalni"/>
              <w:rPr>
                <w:b/>
              </w:rPr>
            </w:pPr>
          </w:p>
        </w:tc>
      </w:tr>
      <w:tr w:rsidR="00E602D8" w:rsidRPr="002352A7" w14:paraId="47706A12" w14:textId="77777777" w:rsidTr="00E602D8">
        <w:tc>
          <w:tcPr>
            <w:tcW w:w="4535" w:type="dxa"/>
          </w:tcPr>
          <w:p w14:paraId="1B8C7448" w14:textId="20D7F06C" w:rsidR="00E602D8" w:rsidRPr="00507EEF" w:rsidRDefault="00E602D8" w:rsidP="00E602D8">
            <w:pPr>
              <w:pStyle w:val="ENNormalni"/>
            </w:pPr>
            <w:proofErr w:type="spellStart"/>
            <w:r w:rsidRPr="00507EEF">
              <w:t>Místo</w:t>
            </w:r>
            <w:proofErr w:type="spellEnd"/>
            <w:r w:rsidRPr="00507EEF">
              <w:t>:</w:t>
            </w:r>
            <w:r>
              <w:t xml:space="preserve"> </w:t>
            </w:r>
            <w:r w:rsidR="00253605">
              <w:t>Praha</w:t>
            </w:r>
          </w:p>
          <w:p w14:paraId="7655A9DF" w14:textId="36132A10" w:rsidR="00E602D8" w:rsidRPr="00507EEF" w:rsidRDefault="00E602D8" w:rsidP="00E602D8">
            <w:pPr>
              <w:pStyle w:val="ENNormalni"/>
            </w:pPr>
            <w:r w:rsidRPr="00507EEF">
              <w:t>Datum:</w:t>
            </w:r>
            <w:r>
              <w:t xml:space="preserve"> </w:t>
            </w:r>
            <w:r w:rsidR="005D6C31">
              <w:t>17. 6. 2021</w:t>
            </w:r>
          </w:p>
        </w:tc>
        <w:tc>
          <w:tcPr>
            <w:tcW w:w="4536" w:type="dxa"/>
          </w:tcPr>
          <w:p w14:paraId="1B848F0B" w14:textId="6FD72E6A" w:rsidR="00E602D8" w:rsidRPr="002352A7" w:rsidRDefault="00E602D8" w:rsidP="00B06A0C">
            <w:pPr>
              <w:pStyle w:val="ENNormalni"/>
            </w:pPr>
          </w:p>
        </w:tc>
      </w:tr>
      <w:tr w:rsidR="00E602D8" w:rsidRPr="002352A7" w14:paraId="6182D911" w14:textId="77777777" w:rsidTr="00E602D8">
        <w:tc>
          <w:tcPr>
            <w:tcW w:w="4535" w:type="dxa"/>
          </w:tcPr>
          <w:p w14:paraId="3EA1FC8C" w14:textId="77777777" w:rsidR="00E602D8" w:rsidRDefault="00E602D8" w:rsidP="00E602D8">
            <w:pPr>
              <w:pStyle w:val="ENNormalni"/>
            </w:pPr>
          </w:p>
          <w:p w14:paraId="67624FB0" w14:textId="77777777" w:rsidR="00E602D8" w:rsidRPr="00507EEF" w:rsidRDefault="00E602D8" w:rsidP="00E602D8">
            <w:pPr>
              <w:pStyle w:val="ENNormalni"/>
            </w:pPr>
            <w:r w:rsidRPr="00507EEF">
              <w:t>_______________________________________</w:t>
            </w:r>
          </w:p>
        </w:tc>
        <w:tc>
          <w:tcPr>
            <w:tcW w:w="4536" w:type="dxa"/>
          </w:tcPr>
          <w:p w14:paraId="7F93BB3C" w14:textId="2D1C8887" w:rsidR="00E602D8" w:rsidRPr="002352A7" w:rsidRDefault="00E602D8" w:rsidP="00B06A0C">
            <w:pPr>
              <w:pStyle w:val="ENNormalni"/>
            </w:pPr>
          </w:p>
        </w:tc>
      </w:tr>
      <w:tr w:rsidR="00E602D8" w:rsidRPr="002352A7" w14:paraId="2BFCB043" w14:textId="77777777" w:rsidTr="00E602D8">
        <w:tc>
          <w:tcPr>
            <w:tcW w:w="4535" w:type="dxa"/>
          </w:tcPr>
          <w:p w14:paraId="73CE4D25" w14:textId="7F5411CF" w:rsidR="00E602D8" w:rsidRPr="00507EEF" w:rsidRDefault="00E602D8" w:rsidP="00E602D8">
            <w:pPr>
              <w:pStyle w:val="ENNormalni"/>
            </w:pPr>
            <w:proofErr w:type="spellStart"/>
            <w:r>
              <w:t>J</w:t>
            </w:r>
            <w:r w:rsidRPr="00507EEF">
              <w:t>méno</w:t>
            </w:r>
            <w:proofErr w:type="spellEnd"/>
            <w:r w:rsidRPr="00507EEF">
              <w:t xml:space="preserve">: </w:t>
            </w:r>
            <w:proofErr w:type="spellStart"/>
            <w:r w:rsidR="00253605">
              <w:t>MUDr</w:t>
            </w:r>
            <w:proofErr w:type="spellEnd"/>
            <w:r w:rsidR="00253605">
              <w:t xml:space="preserve">. Pavel </w:t>
            </w:r>
            <w:proofErr w:type="spellStart"/>
            <w:r w:rsidR="00253605">
              <w:t>Březina</w:t>
            </w:r>
            <w:proofErr w:type="spellEnd"/>
          </w:p>
          <w:p w14:paraId="4C727AD4" w14:textId="566FB254" w:rsidR="00E602D8" w:rsidRPr="00507EEF" w:rsidRDefault="00E602D8" w:rsidP="00E602D8">
            <w:pPr>
              <w:pStyle w:val="ENNormalni"/>
            </w:pPr>
            <w:proofErr w:type="spellStart"/>
            <w:r>
              <w:t>F</w:t>
            </w:r>
            <w:r w:rsidRPr="00507EEF">
              <w:t>unkce</w:t>
            </w:r>
            <w:proofErr w:type="spellEnd"/>
            <w:r w:rsidRPr="00507EEF">
              <w:t xml:space="preserve">: </w:t>
            </w:r>
            <w:proofErr w:type="spellStart"/>
            <w:r w:rsidR="00253605">
              <w:t>Generální</w:t>
            </w:r>
            <w:proofErr w:type="spellEnd"/>
            <w:r w:rsidR="00253605">
              <w:t xml:space="preserve"> </w:t>
            </w:r>
            <w:proofErr w:type="spellStart"/>
            <w:r w:rsidR="00253605">
              <w:t>ředitel</w:t>
            </w:r>
            <w:proofErr w:type="spellEnd"/>
          </w:p>
        </w:tc>
        <w:tc>
          <w:tcPr>
            <w:tcW w:w="4536" w:type="dxa"/>
          </w:tcPr>
          <w:p w14:paraId="29BF53C0" w14:textId="13076114" w:rsidR="00E602D8" w:rsidRPr="002352A7" w:rsidRDefault="00E602D8" w:rsidP="00B06A0C">
            <w:pPr>
              <w:pStyle w:val="ENNormalni"/>
            </w:pPr>
          </w:p>
        </w:tc>
      </w:tr>
      <w:tr w:rsidR="00E602D8" w:rsidRPr="002352A7" w14:paraId="18E2B821" w14:textId="77777777" w:rsidTr="00E602D8">
        <w:tc>
          <w:tcPr>
            <w:tcW w:w="4535" w:type="dxa"/>
          </w:tcPr>
          <w:p w14:paraId="1802C712" w14:textId="77777777" w:rsidR="00E602D8" w:rsidRDefault="00E602D8" w:rsidP="00B06A0C"/>
        </w:tc>
        <w:tc>
          <w:tcPr>
            <w:tcW w:w="4536" w:type="dxa"/>
          </w:tcPr>
          <w:p w14:paraId="3D9BB104" w14:textId="77777777" w:rsidR="00E602D8" w:rsidRPr="002352A7" w:rsidRDefault="00E602D8" w:rsidP="00B06A0C">
            <w:pPr>
              <w:pStyle w:val="ENNormalni"/>
            </w:pPr>
          </w:p>
        </w:tc>
      </w:tr>
      <w:tr w:rsidR="00E602D8" w:rsidRPr="002352A7" w14:paraId="13286EF7" w14:textId="77777777" w:rsidTr="00E602D8">
        <w:tc>
          <w:tcPr>
            <w:tcW w:w="4535" w:type="dxa"/>
          </w:tcPr>
          <w:p w14:paraId="4CBE7D04" w14:textId="4BD4277A" w:rsidR="00E602D8" w:rsidRPr="00E602D8" w:rsidRDefault="00A50A3F" w:rsidP="00E602D8">
            <w:pPr>
              <w:pStyle w:val="ENNormalni"/>
              <w:rPr>
                <w:b/>
              </w:rPr>
            </w:pPr>
            <w:proofErr w:type="spellStart"/>
            <w:r>
              <w:rPr>
                <w:b/>
              </w:rPr>
              <w:t>Institut</w:t>
            </w:r>
            <w:proofErr w:type="spellEnd"/>
            <w:r>
              <w:rPr>
                <w:b/>
              </w:rPr>
              <w:t xml:space="preserve"> </w:t>
            </w:r>
            <w:proofErr w:type="spellStart"/>
            <w:r>
              <w:rPr>
                <w:b/>
              </w:rPr>
              <w:t>klinické</w:t>
            </w:r>
            <w:proofErr w:type="spellEnd"/>
            <w:r>
              <w:rPr>
                <w:b/>
              </w:rPr>
              <w:t xml:space="preserve"> </w:t>
            </w:r>
            <w:proofErr w:type="gramStart"/>
            <w:r>
              <w:rPr>
                <w:b/>
              </w:rPr>
              <w:t>a</w:t>
            </w:r>
            <w:proofErr w:type="gramEnd"/>
            <w:r>
              <w:rPr>
                <w:b/>
              </w:rPr>
              <w:t xml:space="preserve"> </w:t>
            </w:r>
            <w:proofErr w:type="spellStart"/>
            <w:r>
              <w:rPr>
                <w:b/>
              </w:rPr>
              <w:t>experimentální</w:t>
            </w:r>
            <w:proofErr w:type="spellEnd"/>
            <w:r>
              <w:rPr>
                <w:b/>
              </w:rPr>
              <w:t xml:space="preserve"> </w:t>
            </w:r>
            <w:proofErr w:type="spellStart"/>
            <w:r>
              <w:rPr>
                <w:b/>
              </w:rPr>
              <w:t>medicíny</w:t>
            </w:r>
            <w:proofErr w:type="spellEnd"/>
          </w:p>
        </w:tc>
        <w:tc>
          <w:tcPr>
            <w:tcW w:w="4536" w:type="dxa"/>
          </w:tcPr>
          <w:p w14:paraId="42CED0AE" w14:textId="5933C421" w:rsidR="00E602D8" w:rsidRPr="00E602D8" w:rsidRDefault="00E602D8" w:rsidP="00B06A0C">
            <w:pPr>
              <w:pStyle w:val="ENNormalni"/>
              <w:rPr>
                <w:b/>
              </w:rPr>
            </w:pPr>
          </w:p>
        </w:tc>
      </w:tr>
      <w:tr w:rsidR="00E602D8" w:rsidRPr="002352A7" w14:paraId="766A23A0" w14:textId="77777777" w:rsidTr="00E602D8">
        <w:tc>
          <w:tcPr>
            <w:tcW w:w="4535" w:type="dxa"/>
          </w:tcPr>
          <w:p w14:paraId="1135C5B6" w14:textId="497CA29B" w:rsidR="00E602D8" w:rsidRPr="00507EEF" w:rsidRDefault="00E602D8" w:rsidP="00E602D8">
            <w:pPr>
              <w:pStyle w:val="ENNormalni"/>
            </w:pPr>
            <w:proofErr w:type="spellStart"/>
            <w:r w:rsidRPr="00507EEF">
              <w:t>Místo</w:t>
            </w:r>
            <w:proofErr w:type="spellEnd"/>
            <w:r w:rsidRPr="00507EEF">
              <w:t>:</w:t>
            </w:r>
            <w:r>
              <w:t xml:space="preserve"> </w:t>
            </w:r>
            <w:r w:rsidR="00A50A3F">
              <w:t>Praha</w:t>
            </w:r>
          </w:p>
          <w:p w14:paraId="56EE91A3" w14:textId="30A42E38" w:rsidR="00E602D8" w:rsidRPr="00507EEF" w:rsidRDefault="00E602D8" w:rsidP="00E602D8">
            <w:pPr>
              <w:pStyle w:val="ENNormalni"/>
            </w:pPr>
            <w:r w:rsidRPr="00507EEF">
              <w:t>Datum:</w:t>
            </w:r>
            <w:r>
              <w:t xml:space="preserve"> </w:t>
            </w:r>
            <w:r w:rsidR="005D6C31">
              <w:t>24. 6 2021</w:t>
            </w:r>
          </w:p>
        </w:tc>
        <w:tc>
          <w:tcPr>
            <w:tcW w:w="4536" w:type="dxa"/>
          </w:tcPr>
          <w:p w14:paraId="10B477F1" w14:textId="0CC33902" w:rsidR="00E602D8" w:rsidRPr="002352A7" w:rsidRDefault="00E602D8" w:rsidP="00B06A0C">
            <w:pPr>
              <w:pStyle w:val="ENNormalni"/>
            </w:pPr>
          </w:p>
        </w:tc>
      </w:tr>
      <w:tr w:rsidR="00E602D8" w:rsidRPr="002352A7" w14:paraId="6B40DF37" w14:textId="77777777" w:rsidTr="00E602D8">
        <w:tc>
          <w:tcPr>
            <w:tcW w:w="4535" w:type="dxa"/>
          </w:tcPr>
          <w:p w14:paraId="0EAB57B9" w14:textId="77777777" w:rsidR="00E602D8" w:rsidRDefault="00E602D8" w:rsidP="00E602D8">
            <w:pPr>
              <w:pStyle w:val="ENNormalni"/>
            </w:pPr>
          </w:p>
          <w:p w14:paraId="66D67500" w14:textId="467842E6" w:rsidR="00E602D8" w:rsidRPr="00507EEF" w:rsidRDefault="00E602D8" w:rsidP="00E602D8">
            <w:pPr>
              <w:pStyle w:val="ENNormalni"/>
            </w:pPr>
            <w:r w:rsidRPr="00507EEF">
              <w:t>_______________________________________</w:t>
            </w:r>
          </w:p>
        </w:tc>
        <w:tc>
          <w:tcPr>
            <w:tcW w:w="4536" w:type="dxa"/>
          </w:tcPr>
          <w:p w14:paraId="3A4E5C8A" w14:textId="386EAF36" w:rsidR="00E602D8" w:rsidRPr="002352A7" w:rsidRDefault="00E602D8" w:rsidP="00B06A0C">
            <w:pPr>
              <w:pStyle w:val="ENNormalni"/>
            </w:pPr>
          </w:p>
        </w:tc>
      </w:tr>
      <w:tr w:rsidR="00E602D8" w:rsidRPr="002352A7" w14:paraId="148C99A5" w14:textId="77777777" w:rsidTr="00E602D8">
        <w:tc>
          <w:tcPr>
            <w:tcW w:w="4535" w:type="dxa"/>
          </w:tcPr>
          <w:p w14:paraId="32C02CF4" w14:textId="4F2163AD" w:rsidR="00E602D8" w:rsidRPr="00507EEF" w:rsidRDefault="00E602D8" w:rsidP="00E602D8">
            <w:pPr>
              <w:pStyle w:val="ENNormalni"/>
            </w:pPr>
            <w:proofErr w:type="spellStart"/>
            <w:r>
              <w:t>J</w:t>
            </w:r>
            <w:r w:rsidRPr="00507EEF">
              <w:t>méno</w:t>
            </w:r>
            <w:proofErr w:type="spellEnd"/>
            <w:r w:rsidRPr="00507EEF">
              <w:t xml:space="preserve">: </w:t>
            </w:r>
            <w:r w:rsidR="00A50A3F">
              <w:t xml:space="preserve">Ing. Michal </w:t>
            </w:r>
            <w:proofErr w:type="spellStart"/>
            <w:r w:rsidR="00A50A3F">
              <w:t>Stiborek</w:t>
            </w:r>
            <w:proofErr w:type="spellEnd"/>
            <w:r w:rsidR="00A50A3F">
              <w:t>, MBA</w:t>
            </w:r>
          </w:p>
          <w:p w14:paraId="11895CBE" w14:textId="2565A06C" w:rsidR="00E602D8" w:rsidRPr="00507EEF" w:rsidRDefault="00E602D8">
            <w:pPr>
              <w:pStyle w:val="ENNormalni"/>
            </w:pPr>
            <w:proofErr w:type="spellStart"/>
            <w:r>
              <w:t>F</w:t>
            </w:r>
            <w:r w:rsidRPr="00507EEF">
              <w:t>unkce</w:t>
            </w:r>
            <w:proofErr w:type="spellEnd"/>
            <w:r w:rsidRPr="00507EEF">
              <w:t xml:space="preserve">: </w:t>
            </w:r>
            <w:proofErr w:type="spellStart"/>
            <w:r w:rsidR="00A50A3F">
              <w:t>ředitel</w:t>
            </w:r>
            <w:proofErr w:type="spellEnd"/>
          </w:p>
        </w:tc>
        <w:tc>
          <w:tcPr>
            <w:tcW w:w="4536" w:type="dxa"/>
          </w:tcPr>
          <w:p w14:paraId="68620CA9" w14:textId="00C90715" w:rsidR="00E602D8" w:rsidRPr="002352A7" w:rsidRDefault="00E602D8" w:rsidP="00B06A0C">
            <w:pPr>
              <w:pStyle w:val="ENNormalni"/>
            </w:pPr>
          </w:p>
        </w:tc>
      </w:tr>
      <w:bookmarkEnd w:id="16"/>
    </w:tbl>
    <w:p w14:paraId="7DD47C1C" w14:textId="77777777" w:rsidR="00CD5CFB" w:rsidRDefault="00A2588D" w:rsidP="00CD5CFB">
      <w:r>
        <w:br w:type="page"/>
      </w:r>
    </w:p>
    <w:tbl>
      <w:tblPr>
        <w:tblStyle w:val="Mkatabulky"/>
        <w:tblW w:w="9401" w:type="dxa"/>
        <w:tblInd w:w="-5" w:type="dxa"/>
        <w:tblLook w:val="04A0" w:firstRow="1" w:lastRow="0" w:firstColumn="1" w:lastColumn="0" w:noHBand="0" w:noVBand="1"/>
      </w:tblPr>
      <w:tblGrid>
        <w:gridCol w:w="4698"/>
        <w:gridCol w:w="4703"/>
      </w:tblGrid>
      <w:tr w:rsidR="00CD5CFB" w:rsidRPr="00B21502" w14:paraId="447DDFB0" w14:textId="77777777" w:rsidTr="00853660">
        <w:tc>
          <w:tcPr>
            <w:tcW w:w="4698" w:type="dxa"/>
          </w:tcPr>
          <w:p w14:paraId="5BAA4843" w14:textId="77777777" w:rsidR="00CD5CFB" w:rsidRPr="00A2588D" w:rsidRDefault="00CD5CFB" w:rsidP="00853660">
            <w:pPr>
              <w:pStyle w:val="CMSANParties"/>
              <w:numPr>
                <w:ilvl w:val="0"/>
                <w:numId w:val="0"/>
              </w:numPr>
              <w:tabs>
                <w:tab w:val="left" w:pos="720"/>
              </w:tabs>
              <w:jc w:val="center"/>
              <w:rPr>
                <w:b/>
                <w:lang w:val="cs-CZ"/>
              </w:rPr>
            </w:pPr>
            <w:r w:rsidRPr="00A2588D">
              <w:rPr>
                <w:b/>
                <w:bCs/>
                <w:lang w:val="cs-CZ"/>
              </w:rPr>
              <w:lastRenderedPageBreak/>
              <w:t>Příloha č. 1</w:t>
            </w:r>
          </w:p>
        </w:tc>
        <w:tc>
          <w:tcPr>
            <w:tcW w:w="4703" w:type="dxa"/>
          </w:tcPr>
          <w:p w14:paraId="2EA3298D" w14:textId="77777777" w:rsidR="00CD5CFB" w:rsidRPr="00B21502" w:rsidRDefault="00CD5CFB" w:rsidP="00853660">
            <w:pPr>
              <w:pStyle w:val="CMSANParties"/>
              <w:numPr>
                <w:ilvl w:val="0"/>
                <w:numId w:val="0"/>
              </w:numPr>
              <w:tabs>
                <w:tab w:val="left" w:pos="720"/>
              </w:tabs>
              <w:jc w:val="center"/>
              <w:rPr>
                <w:b/>
              </w:rPr>
            </w:pPr>
            <w:r w:rsidRPr="00B21502">
              <w:rPr>
                <w:b/>
                <w:bCs/>
                <w:lang w:val="en"/>
              </w:rPr>
              <w:t>Appendix 1</w:t>
            </w:r>
          </w:p>
        </w:tc>
      </w:tr>
      <w:tr w:rsidR="00CD5CFB" w:rsidRPr="00B21502" w14:paraId="60618AE6" w14:textId="77777777" w:rsidTr="00853660">
        <w:tc>
          <w:tcPr>
            <w:tcW w:w="4698" w:type="dxa"/>
          </w:tcPr>
          <w:p w14:paraId="2BFB3822" w14:textId="77777777" w:rsidR="00CD5CFB" w:rsidRPr="00A2588D" w:rsidRDefault="00CD5CFB" w:rsidP="00853660">
            <w:pPr>
              <w:pStyle w:val="Zkladntext"/>
              <w:rPr>
                <w:b/>
              </w:rPr>
            </w:pPr>
            <w:proofErr w:type="spellStart"/>
            <w:r w:rsidRPr="00A2588D">
              <w:rPr>
                <w:b/>
                <w:bCs/>
              </w:rPr>
              <w:t>Obratový</w:t>
            </w:r>
            <w:proofErr w:type="spellEnd"/>
            <w:r w:rsidRPr="00A2588D">
              <w:rPr>
                <w:b/>
                <w:bCs/>
              </w:rPr>
              <w:t xml:space="preserve"> bonus </w:t>
            </w:r>
          </w:p>
        </w:tc>
        <w:tc>
          <w:tcPr>
            <w:tcW w:w="4703" w:type="dxa"/>
          </w:tcPr>
          <w:p w14:paraId="5FA537FB" w14:textId="77777777" w:rsidR="00CD5CFB" w:rsidRPr="00B21502" w:rsidRDefault="00CD5CFB" w:rsidP="00853660">
            <w:pPr>
              <w:pStyle w:val="Zkladntext"/>
              <w:rPr>
                <w:b/>
              </w:rPr>
            </w:pPr>
            <w:r w:rsidRPr="00B21502">
              <w:rPr>
                <w:b/>
                <w:bCs/>
                <w:lang w:val="en"/>
              </w:rPr>
              <w:t xml:space="preserve">Turnover bonus </w:t>
            </w:r>
          </w:p>
        </w:tc>
      </w:tr>
      <w:tr w:rsidR="00CD5CFB" w:rsidRPr="00B21502" w14:paraId="63132909" w14:textId="77777777" w:rsidTr="00853660">
        <w:tc>
          <w:tcPr>
            <w:tcW w:w="4698" w:type="dxa"/>
          </w:tcPr>
          <w:p w14:paraId="191A76EB" w14:textId="77777777" w:rsidR="00CD5CFB" w:rsidRPr="00A2588D" w:rsidRDefault="00CD5CFB" w:rsidP="00853660">
            <w:pPr>
              <w:pStyle w:val="Zkladntext"/>
              <w:tabs>
                <w:tab w:val="left" w:pos="1980"/>
              </w:tabs>
            </w:pPr>
            <w:r w:rsidRPr="00A2588D">
              <w:t xml:space="preserve">Bonus </w:t>
            </w:r>
            <w:proofErr w:type="spellStart"/>
            <w:r w:rsidRPr="00A2588D">
              <w:t>bude</w:t>
            </w:r>
            <w:proofErr w:type="spellEnd"/>
            <w:r w:rsidRPr="00A2588D">
              <w:t xml:space="preserve"> </w:t>
            </w:r>
            <w:proofErr w:type="spellStart"/>
            <w:r w:rsidRPr="00A2588D">
              <w:t>vypočten</w:t>
            </w:r>
            <w:proofErr w:type="spellEnd"/>
            <w:r w:rsidRPr="00A2588D">
              <w:t xml:space="preserve"> </w:t>
            </w:r>
            <w:proofErr w:type="spellStart"/>
            <w:r w:rsidRPr="00A2588D">
              <w:t>dle</w:t>
            </w:r>
            <w:proofErr w:type="spellEnd"/>
            <w:r w:rsidRPr="00A2588D">
              <w:t xml:space="preserve"> </w:t>
            </w:r>
            <w:proofErr w:type="spellStart"/>
            <w:r w:rsidRPr="00A2588D">
              <w:t>níže</w:t>
            </w:r>
            <w:proofErr w:type="spellEnd"/>
            <w:r w:rsidRPr="00A2588D">
              <w:t xml:space="preserve"> </w:t>
            </w:r>
            <w:proofErr w:type="spellStart"/>
            <w:r w:rsidRPr="00A2588D">
              <w:t>uvedeného</w:t>
            </w:r>
            <w:proofErr w:type="spellEnd"/>
            <w:r w:rsidRPr="00A2588D">
              <w:t xml:space="preserve"> </w:t>
            </w:r>
            <w:proofErr w:type="spellStart"/>
            <w:r w:rsidRPr="00A2588D">
              <w:t>vzorce</w:t>
            </w:r>
            <w:proofErr w:type="spellEnd"/>
            <w:r w:rsidRPr="00A2588D">
              <w:t>:</w:t>
            </w:r>
          </w:p>
        </w:tc>
        <w:tc>
          <w:tcPr>
            <w:tcW w:w="4703" w:type="dxa"/>
          </w:tcPr>
          <w:p w14:paraId="2750D549" w14:textId="77777777" w:rsidR="00CD5CFB" w:rsidRPr="00B21502" w:rsidRDefault="00CD5CFB" w:rsidP="00853660">
            <w:pPr>
              <w:pStyle w:val="Zkladntext"/>
              <w:tabs>
                <w:tab w:val="left" w:pos="1980"/>
              </w:tabs>
            </w:pPr>
            <w:r w:rsidRPr="00B21502">
              <w:rPr>
                <w:lang w:val="en"/>
              </w:rPr>
              <w:t>The bonus will be calculated according to the formula below</w:t>
            </w:r>
            <w:r>
              <w:rPr>
                <w:lang w:val="en"/>
              </w:rPr>
              <w:t>:</w:t>
            </w:r>
          </w:p>
        </w:tc>
      </w:tr>
      <w:tr w:rsidR="00CD5CFB" w:rsidRPr="009F7A36" w14:paraId="55DC26D7" w14:textId="77777777" w:rsidTr="00853660">
        <w:tc>
          <w:tcPr>
            <w:tcW w:w="9401" w:type="dxa"/>
            <w:gridSpan w:val="2"/>
          </w:tcPr>
          <w:p w14:paraId="711A1E1A" w14:textId="77777777" w:rsidR="00CD5CFB" w:rsidRDefault="00CD5CFB" w:rsidP="00853660">
            <w:pPr>
              <w:pStyle w:val="Zkladntext"/>
              <w:tabs>
                <w:tab w:val="left" w:pos="1980"/>
              </w:tabs>
              <w:jc w:val="center"/>
            </w:pPr>
          </w:p>
          <w:tbl>
            <w:tblPr>
              <w:tblW w:w="9145" w:type="dxa"/>
              <w:tblLook w:val="04A0" w:firstRow="1" w:lastRow="0" w:firstColumn="1" w:lastColumn="0" w:noHBand="0" w:noVBand="1"/>
            </w:tblPr>
            <w:tblGrid>
              <w:gridCol w:w="2935"/>
              <w:gridCol w:w="2610"/>
              <w:gridCol w:w="3600"/>
            </w:tblGrid>
            <w:tr w:rsidR="00CD5CFB" w:rsidRPr="00315BCF" w14:paraId="16A562DC" w14:textId="77777777" w:rsidTr="00C35011">
              <w:trPr>
                <w:trHeight w:val="465"/>
              </w:trPr>
              <w:tc>
                <w:tcPr>
                  <w:tcW w:w="29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201B180" w14:textId="77777777" w:rsidR="00CD5CFB" w:rsidRPr="000111D6" w:rsidRDefault="00CD5CFB" w:rsidP="00853660">
                  <w:pPr>
                    <w:jc w:val="center"/>
                    <w:rPr>
                      <w:b/>
                      <w:bCs/>
                      <w:color w:val="000000"/>
                      <w:szCs w:val="22"/>
                      <w:lang w:val="en-US"/>
                    </w:rPr>
                  </w:pPr>
                  <w:r w:rsidRPr="000111D6">
                    <w:rPr>
                      <w:b/>
                      <w:bCs/>
                      <w:color w:val="000000"/>
                      <w:szCs w:val="22"/>
                      <w:lang w:val="en-US"/>
                    </w:rPr>
                    <w:t>Condition</w:t>
                  </w:r>
                </w:p>
              </w:tc>
              <w:tc>
                <w:tcPr>
                  <w:tcW w:w="2610" w:type="dxa"/>
                  <w:tcBorders>
                    <w:top w:val="single" w:sz="8" w:space="0" w:color="auto"/>
                    <w:left w:val="nil"/>
                    <w:bottom w:val="single" w:sz="8" w:space="0" w:color="auto"/>
                    <w:right w:val="single" w:sz="4" w:space="0" w:color="auto"/>
                  </w:tcBorders>
                  <w:shd w:val="clear" w:color="auto" w:fill="auto"/>
                  <w:noWrap/>
                  <w:vAlign w:val="bottom"/>
                  <w:hideMark/>
                </w:tcPr>
                <w:p w14:paraId="66033E42" w14:textId="77777777" w:rsidR="00CD5CFB" w:rsidRPr="000111D6" w:rsidRDefault="00CD5CFB" w:rsidP="00853660">
                  <w:pPr>
                    <w:jc w:val="center"/>
                    <w:rPr>
                      <w:b/>
                      <w:bCs/>
                      <w:color w:val="000000"/>
                      <w:szCs w:val="22"/>
                      <w:lang w:val="en-US"/>
                    </w:rPr>
                  </w:pPr>
                  <w:r w:rsidRPr="000111D6">
                    <w:rPr>
                      <w:b/>
                      <w:bCs/>
                      <w:color w:val="000000"/>
                      <w:szCs w:val="22"/>
                      <w:lang w:val="en-US"/>
                    </w:rPr>
                    <w:t>Threshold (CZK)</w:t>
                  </w:r>
                </w:p>
              </w:tc>
              <w:tc>
                <w:tcPr>
                  <w:tcW w:w="3600" w:type="dxa"/>
                  <w:tcBorders>
                    <w:top w:val="single" w:sz="8" w:space="0" w:color="auto"/>
                    <w:left w:val="nil"/>
                    <w:bottom w:val="single" w:sz="8" w:space="0" w:color="auto"/>
                    <w:right w:val="single" w:sz="4" w:space="0" w:color="auto"/>
                  </w:tcBorders>
                  <w:shd w:val="clear" w:color="auto" w:fill="auto"/>
                  <w:noWrap/>
                  <w:vAlign w:val="bottom"/>
                  <w:hideMark/>
                </w:tcPr>
                <w:p w14:paraId="2578641D" w14:textId="77777777" w:rsidR="00CD5CFB" w:rsidRPr="000111D6" w:rsidRDefault="00CD5CFB" w:rsidP="00853660">
                  <w:pPr>
                    <w:jc w:val="center"/>
                    <w:rPr>
                      <w:b/>
                      <w:bCs/>
                      <w:color w:val="000000"/>
                      <w:szCs w:val="22"/>
                      <w:lang w:val="en-US"/>
                    </w:rPr>
                  </w:pPr>
                  <w:r w:rsidRPr="000111D6">
                    <w:rPr>
                      <w:b/>
                      <w:bCs/>
                      <w:color w:val="000000"/>
                      <w:szCs w:val="22"/>
                      <w:lang w:val="en-US"/>
                    </w:rPr>
                    <w:t>Rebate (CZK)</w:t>
                  </w:r>
                </w:p>
              </w:tc>
            </w:tr>
          </w:tbl>
          <w:p w14:paraId="56F1B217" w14:textId="77777777" w:rsidR="00C35011" w:rsidRDefault="00C35011" w:rsidP="00C35011">
            <w:pPr>
              <w:jc w:val="center"/>
              <w:rPr>
                <w:color w:val="000000"/>
                <w:szCs w:val="22"/>
                <w:lang w:val="en-US"/>
              </w:rPr>
            </w:pPr>
          </w:p>
          <w:p w14:paraId="79E082C0" w14:textId="56E98073" w:rsidR="00CD5CFB" w:rsidRDefault="00C35011" w:rsidP="00C35011">
            <w:pPr>
              <w:jc w:val="center"/>
              <w:rPr>
                <w:color w:val="000000"/>
                <w:szCs w:val="22"/>
                <w:lang w:val="en-US"/>
              </w:rPr>
            </w:pPr>
            <w:r w:rsidRPr="00C35011">
              <w:rPr>
                <w:color w:val="000000"/>
                <w:szCs w:val="22"/>
                <w:lang w:val="en-US"/>
              </w:rPr>
              <w:t>XXX</w:t>
            </w:r>
          </w:p>
          <w:p w14:paraId="3C4FA0E4" w14:textId="63A63232" w:rsidR="00C35011" w:rsidRPr="00CC7D91" w:rsidRDefault="00C35011" w:rsidP="00C35011">
            <w:pPr>
              <w:jc w:val="center"/>
            </w:pPr>
          </w:p>
        </w:tc>
      </w:tr>
      <w:tr w:rsidR="00CD5CFB" w:rsidRPr="009F7A36" w14:paraId="1CB5A0F9" w14:textId="77777777" w:rsidTr="00853660">
        <w:tc>
          <w:tcPr>
            <w:tcW w:w="4698" w:type="dxa"/>
          </w:tcPr>
          <w:p w14:paraId="79CAE20A" w14:textId="77777777" w:rsidR="00CD5CFB" w:rsidRPr="00A2588D" w:rsidRDefault="00CD5CFB" w:rsidP="00853660">
            <w:pPr>
              <w:pStyle w:val="Zkladntext"/>
              <w:tabs>
                <w:tab w:val="left" w:pos="1980"/>
              </w:tabs>
            </w:pPr>
          </w:p>
        </w:tc>
        <w:tc>
          <w:tcPr>
            <w:tcW w:w="4703" w:type="dxa"/>
          </w:tcPr>
          <w:p w14:paraId="774E94F6" w14:textId="77777777" w:rsidR="00CD5CFB" w:rsidRPr="00CC7D91" w:rsidRDefault="00CD5CFB" w:rsidP="00853660">
            <w:pPr>
              <w:pStyle w:val="Zkladntext"/>
              <w:tabs>
                <w:tab w:val="left" w:pos="1980"/>
              </w:tabs>
            </w:pPr>
          </w:p>
        </w:tc>
      </w:tr>
      <w:tr w:rsidR="00CD5CFB" w:rsidRPr="00B21502" w14:paraId="232D5BDF" w14:textId="77777777" w:rsidTr="00853660">
        <w:tc>
          <w:tcPr>
            <w:tcW w:w="4698" w:type="dxa"/>
          </w:tcPr>
          <w:p w14:paraId="7EED30D1" w14:textId="24542C18" w:rsidR="00CD5CFB" w:rsidRPr="00A2588D" w:rsidRDefault="00CD5CFB" w:rsidP="00853660">
            <w:pPr>
              <w:pStyle w:val="Zkladntext"/>
              <w:tabs>
                <w:tab w:val="left" w:pos="1980"/>
              </w:tabs>
              <w:rPr>
                <w:color w:val="000000"/>
                <w:szCs w:val="22"/>
              </w:rPr>
            </w:pPr>
            <w:proofErr w:type="spellStart"/>
            <w:r w:rsidRPr="00A2588D">
              <w:rPr>
                <w:b/>
                <w:bCs/>
              </w:rPr>
              <w:t>Produkty</w:t>
            </w:r>
            <w:proofErr w:type="spellEnd"/>
            <w:r w:rsidRPr="00A2588D">
              <w:t>:</w:t>
            </w:r>
            <w:r w:rsidRPr="00A2588D">
              <w:tab/>
            </w:r>
            <w:r w:rsidR="00C35011">
              <w:t>XXX</w:t>
            </w:r>
          </w:p>
        </w:tc>
        <w:tc>
          <w:tcPr>
            <w:tcW w:w="4703" w:type="dxa"/>
          </w:tcPr>
          <w:p w14:paraId="6C76C340" w14:textId="63EE1DA3" w:rsidR="00CD5CFB" w:rsidRPr="00B21502" w:rsidRDefault="00CD5CFB" w:rsidP="00853660">
            <w:pPr>
              <w:pStyle w:val="Zkladntext"/>
              <w:tabs>
                <w:tab w:val="left" w:pos="1980"/>
              </w:tabs>
              <w:rPr>
                <w:color w:val="000000"/>
                <w:szCs w:val="22"/>
              </w:rPr>
            </w:pPr>
            <w:r w:rsidRPr="00B21502">
              <w:rPr>
                <w:b/>
                <w:bCs/>
                <w:lang w:val="en"/>
              </w:rPr>
              <w:t>Products</w:t>
            </w:r>
            <w:r w:rsidRPr="00B21502">
              <w:rPr>
                <w:lang w:val="en"/>
              </w:rPr>
              <w:t>:</w:t>
            </w:r>
            <w:r w:rsidRPr="00B21502">
              <w:rPr>
                <w:lang w:val="en"/>
              </w:rPr>
              <w:tab/>
            </w:r>
            <w:r w:rsidR="00C35011">
              <w:t>XXX</w:t>
            </w:r>
          </w:p>
        </w:tc>
      </w:tr>
      <w:tr w:rsidR="00CD5CFB" w:rsidRPr="00B21502" w14:paraId="528DB870" w14:textId="77777777" w:rsidTr="00853660">
        <w:tc>
          <w:tcPr>
            <w:tcW w:w="4698" w:type="dxa"/>
          </w:tcPr>
          <w:p w14:paraId="1E2A49F6" w14:textId="77777777" w:rsidR="00CD5CFB" w:rsidRPr="00C35011" w:rsidRDefault="00CD5CFB" w:rsidP="00853660">
            <w:pPr>
              <w:pStyle w:val="Zkladntext"/>
              <w:tabs>
                <w:tab w:val="left" w:pos="1980"/>
              </w:tabs>
              <w:rPr>
                <w:lang w:val="de-DE"/>
              </w:rPr>
            </w:pPr>
            <w:proofErr w:type="spellStart"/>
            <w:r w:rsidRPr="00C35011">
              <w:rPr>
                <w:b/>
                <w:bCs/>
                <w:lang w:val="de-DE"/>
              </w:rPr>
              <w:t>Referenční</w:t>
            </w:r>
            <w:proofErr w:type="spellEnd"/>
            <w:r w:rsidRPr="00C35011">
              <w:rPr>
                <w:b/>
                <w:bCs/>
                <w:lang w:val="de-DE"/>
              </w:rPr>
              <w:t xml:space="preserve"> </w:t>
            </w:r>
            <w:proofErr w:type="spellStart"/>
            <w:r w:rsidRPr="00C35011">
              <w:rPr>
                <w:b/>
                <w:bCs/>
                <w:lang w:val="de-DE"/>
              </w:rPr>
              <w:t>období</w:t>
            </w:r>
            <w:proofErr w:type="spellEnd"/>
            <w:r w:rsidRPr="00C35011">
              <w:rPr>
                <w:lang w:val="de-DE"/>
              </w:rPr>
              <w:t>:</w:t>
            </w:r>
          </w:p>
          <w:p w14:paraId="35F06CF8" w14:textId="1049F1D3" w:rsidR="00CD5CFB" w:rsidRPr="00A2588D" w:rsidRDefault="00C35011" w:rsidP="00853660">
            <w:pPr>
              <w:pStyle w:val="Zkladntext"/>
              <w:tabs>
                <w:tab w:val="left" w:pos="1980"/>
              </w:tabs>
            </w:pPr>
            <w:r>
              <w:rPr>
                <w:lang w:val="de-DE"/>
              </w:rPr>
              <w:t>XXX</w:t>
            </w:r>
          </w:p>
        </w:tc>
        <w:tc>
          <w:tcPr>
            <w:tcW w:w="4703" w:type="dxa"/>
          </w:tcPr>
          <w:p w14:paraId="63912E2C" w14:textId="77777777" w:rsidR="00CD5CFB" w:rsidRPr="00963962" w:rsidRDefault="00CD5CFB" w:rsidP="00853660">
            <w:pPr>
              <w:pStyle w:val="Zkladntext"/>
              <w:tabs>
                <w:tab w:val="left" w:pos="1980"/>
              </w:tabs>
              <w:rPr>
                <w:lang w:val="en-US"/>
              </w:rPr>
            </w:pPr>
            <w:r w:rsidRPr="00963962">
              <w:rPr>
                <w:b/>
                <w:bCs/>
                <w:lang w:val="en-US"/>
              </w:rPr>
              <w:t>Reference period</w:t>
            </w:r>
            <w:r w:rsidRPr="00963962">
              <w:rPr>
                <w:lang w:val="en-US"/>
              </w:rPr>
              <w:t>:</w:t>
            </w:r>
          </w:p>
          <w:p w14:paraId="151B475F" w14:textId="24FD8A7E" w:rsidR="00CD5CFB" w:rsidRPr="00963962" w:rsidRDefault="00C35011" w:rsidP="00853660">
            <w:pPr>
              <w:pStyle w:val="Zkladntext"/>
              <w:tabs>
                <w:tab w:val="left" w:pos="1980"/>
              </w:tabs>
              <w:rPr>
                <w:lang w:val="en-US"/>
              </w:rPr>
            </w:pPr>
            <w:r>
              <w:rPr>
                <w:lang w:val="en-US"/>
              </w:rPr>
              <w:t>XXX</w:t>
            </w:r>
          </w:p>
        </w:tc>
      </w:tr>
    </w:tbl>
    <w:p w14:paraId="42EC0652" w14:textId="4C268BF8" w:rsidR="00A2588D" w:rsidRDefault="00A2588D" w:rsidP="00CD5CFB"/>
    <w:sectPr w:rsidR="00A2588D" w:rsidSect="00343DCA">
      <w:headerReference w:type="even" r:id="rId23"/>
      <w:headerReference w:type="default" r:id="rId24"/>
      <w:footerReference w:type="even" r:id="rId25"/>
      <w:footerReference w:type="default" r:id="rId26"/>
      <w:headerReference w:type="first" r:id="rId27"/>
      <w:footerReference w:type="first" r:id="rId28"/>
      <w:pgSz w:w="11907" w:h="16840" w:code="9"/>
      <w:pgMar w:top="1135" w:right="1134" w:bottom="1134" w:left="1418" w:header="709" w:footer="709" w:gutter="0"/>
      <w:paperSrc w:first="11"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5977" w14:textId="77777777" w:rsidR="00F20036" w:rsidRDefault="00F20036">
      <w:r>
        <w:separator/>
      </w:r>
    </w:p>
  </w:endnote>
  <w:endnote w:type="continuationSeparator" w:id="0">
    <w:p w14:paraId="66E60570" w14:textId="77777777" w:rsidR="00F20036" w:rsidRDefault="00F2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ago">
    <w:altName w:val="Times New Roman"/>
    <w:charset w:val="EE"/>
    <w:family w:val="auto"/>
    <w:pitch w:val="variable"/>
    <w:sig w:usb0="00000001" w:usb1="5000205B" w:usb2="00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ED157" w14:textId="77777777" w:rsidR="00BB7A49" w:rsidRDefault="00BB7A49">
    <w:pPr>
      <w:jc w:val="center"/>
    </w:pPr>
    <w:r>
      <w:rPr>
        <w:lang w:val="en"/>
      </w:rPr>
      <w:fldChar w:fldCharType="begin"/>
    </w:r>
    <w:r>
      <w:rPr>
        <w:lang w:val="en"/>
      </w:rPr>
      <w:instrText xml:space="preserve"> PAGE  \* MERGEFORMAT </w:instrText>
    </w:r>
    <w:r>
      <w:rPr>
        <w:lang w:val="en"/>
      </w:rPr>
      <w:fldChar w:fldCharType="separate"/>
    </w:r>
    <w:r>
      <w:rPr>
        <w:noProof/>
        <w:lang w:val="en"/>
      </w:rPr>
      <w:t>2</w:t>
    </w:r>
    <w:r>
      <w:rPr>
        <w:lang w:val="en"/>
      </w:rPr>
      <w:fldChar w:fldCharType="end"/>
    </w:r>
  </w:p>
  <w:p w14:paraId="4F51B266" w14:textId="77777777" w:rsidR="00BB7A49" w:rsidRDefault="00BB7A49">
    <w:r>
      <w:rPr>
        <w:b/>
        <w:bCs/>
        <w:lang w:val="en"/>
      </w:rPr>
      <w:t>Prague -</w:t>
    </w:r>
    <w:r>
      <w:rPr>
        <w:lang w:val="en"/>
      </w:rPr>
      <w:t xml:space="preserve"> 12538174.1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823B" w14:textId="77777777" w:rsidR="00BB7A49" w:rsidRDefault="00BB7A49">
    <w:r>
      <w:rPr>
        <w:b/>
        <w:bCs/>
        <w:lang w:val="en"/>
      </w:rPr>
      <w:t>Prague -</w:t>
    </w:r>
    <w:r>
      <w:rPr>
        <w:lang w:val="en"/>
      </w:rPr>
      <w:t xml:space="preserve"> 12538174.1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0165" w14:textId="62C4A6D7" w:rsidR="009A3EDD" w:rsidRPr="009A3EDD" w:rsidRDefault="009A3EDD">
    <w:pPr>
      <w:pStyle w:val="Zpat"/>
      <w:rPr>
        <w:lang w:val="cs-CZ"/>
      </w:rPr>
    </w:pPr>
    <w:r>
      <w:rPr>
        <w:lang w:val="cs-CZ"/>
      </w:rPr>
      <w:t xml:space="preserve">Verze ze dne / </w:t>
    </w:r>
    <w:proofErr w:type="spellStart"/>
    <w:r>
      <w:rPr>
        <w:lang w:val="cs-CZ"/>
      </w:rPr>
      <w:t>Version</w:t>
    </w:r>
    <w:proofErr w:type="spellEnd"/>
    <w:r>
      <w:rPr>
        <w:lang w:val="cs-CZ"/>
      </w:rPr>
      <w:t xml:space="preserve"> </w:t>
    </w:r>
    <w:proofErr w:type="spellStart"/>
    <w:r>
      <w:rPr>
        <w:lang w:val="cs-CZ"/>
      </w:rPr>
      <w:t>dated</w:t>
    </w:r>
    <w:proofErr w:type="spellEnd"/>
    <w:r>
      <w:rPr>
        <w:lang w:val="cs-CZ"/>
      </w:rPr>
      <w:t xml:space="preserve"> </w:t>
    </w:r>
    <w:r w:rsidR="00E142DB">
      <w:rPr>
        <w:lang w:val="cs-CZ"/>
      </w:rPr>
      <w:t>12. 1. 2021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1730" w14:textId="77777777" w:rsidR="00BB7A49" w:rsidRDefault="00BB7A49">
    <w:pPr>
      <w:jc w:val="center"/>
    </w:pPr>
    <w:r>
      <w:rPr>
        <w:lang w:val="en"/>
      </w:rPr>
      <w:fldChar w:fldCharType="begin"/>
    </w:r>
    <w:r>
      <w:rPr>
        <w:lang w:val="en"/>
      </w:rPr>
      <w:instrText xml:space="preserve"> PAGE  \* MERGEFORMAT </w:instrText>
    </w:r>
    <w:r>
      <w:rPr>
        <w:lang w:val="en"/>
      </w:rPr>
      <w:fldChar w:fldCharType="separate"/>
    </w:r>
    <w:r>
      <w:rPr>
        <w:noProof/>
        <w:lang w:val="en"/>
      </w:rPr>
      <w:t>4</w:t>
    </w:r>
    <w:r>
      <w:rPr>
        <w:lang w:val="en"/>
      </w:rPr>
      <w:fldChar w:fldCharType="end"/>
    </w:r>
  </w:p>
  <w:p w14:paraId="7DEF81B3" w14:textId="77777777" w:rsidR="00BB7A49" w:rsidRDefault="00BB7A49">
    <w:r>
      <w:rPr>
        <w:b/>
        <w:bCs/>
        <w:lang w:val="en"/>
      </w:rPr>
      <w:t>Prague -</w:t>
    </w:r>
    <w:r>
      <w:rPr>
        <w:lang w:val="en"/>
      </w:rPr>
      <w:t xml:space="preserve"> 12538174.1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21F9" w14:textId="77777777" w:rsidR="00BB7A49" w:rsidRPr="00D73662" w:rsidRDefault="00BB7A49" w:rsidP="00F53F7A">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815C" w14:textId="77777777" w:rsidR="00BB7A49" w:rsidRDefault="00BB7A49">
    <w:r>
      <w:rPr>
        <w:b/>
        <w:bCs/>
        <w:lang w:val="en"/>
      </w:rPr>
      <w:t>Prague -</w:t>
    </w:r>
    <w:r>
      <w:rPr>
        <w:lang w:val="en"/>
      </w:rPr>
      <w:t xml:space="preserve"> 12538174.1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F605" w14:textId="77777777" w:rsidR="00BB7A49" w:rsidRDefault="00BB7A49">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DAFB" w14:textId="1649C229" w:rsidR="00BB7A49" w:rsidRDefault="00BB7A49">
    <w:pPr>
      <w:pStyle w:val="Zpat"/>
      <w:jc w:val="center"/>
      <w:rPr>
        <w:sz w:val="18"/>
        <w:szCs w:val="18"/>
      </w:rPr>
    </w:pPr>
    <w:r>
      <w:rPr>
        <w:rStyle w:val="slostrnky"/>
        <w:sz w:val="18"/>
        <w:szCs w:val="18"/>
        <w:lang w:val="en"/>
      </w:rPr>
      <w:fldChar w:fldCharType="begin"/>
    </w:r>
    <w:r>
      <w:rPr>
        <w:rStyle w:val="slostrnky"/>
        <w:sz w:val="18"/>
        <w:szCs w:val="18"/>
        <w:lang w:val="en"/>
      </w:rPr>
      <w:instrText xml:space="preserve"> PAGE </w:instrText>
    </w:r>
    <w:r>
      <w:rPr>
        <w:rStyle w:val="slostrnky"/>
        <w:sz w:val="18"/>
        <w:szCs w:val="18"/>
        <w:lang w:val="en"/>
      </w:rPr>
      <w:fldChar w:fldCharType="separate"/>
    </w:r>
    <w:r w:rsidR="007A53CE">
      <w:rPr>
        <w:rStyle w:val="slostrnky"/>
        <w:noProof/>
        <w:sz w:val="18"/>
        <w:szCs w:val="18"/>
        <w:lang w:val="en"/>
      </w:rPr>
      <w:t>14</w:t>
    </w:r>
    <w:r>
      <w:rPr>
        <w:rStyle w:val="slostrnky"/>
        <w:sz w:val="18"/>
        <w:szCs w:val="18"/>
        <w:lang w:val="e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6D1B" w14:textId="3CF0567D" w:rsidR="00BB7A49" w:rsidRDefault="00BB7A49">
    <w:pPr>
      <w:pStyle w:val="Zpat"/>
      <w:jc w:val="center"/>
      <w:rPr>
        <w:sz w:val="18"/>
        <w:szCs w:val="18"/>
      </w:rPr>
    </w:pPr>
    <w:r>
      <w:rPr>
        <w:rStyle w:val="slostrnky"/>
        <w:sz w:val="18"/>
        <w:szCs w:val="18"/>
        <w:lang w:val="en"/>
      </w:rPr>
      <w:fldChar w:fldCharType="begin"/>
    </w:r>
    <w:r>
      <w:rPr>
        <w:rStyle w:val="slostrnky"/>
        <w:sz w:val="18"/>
        <w:szCs w:val="18"/>
        <w:lang w:val="en"/>
      </w:rPr>
      <w:instrText xml:space="preserve"> PAGE </w:instrText>
    </w:r>
    <w:r>
      <w:rPr>
        <w:rStyle w:val="slostrnky"/>
        <w:sz w:val="18"/>
        <w:szCs w:val="18"/>
        <w:lang w:val="en"/>
      </w:rPr>
      <w:fldChar w:fldCharType="separate"/>
    </w:r>
    <w:r w:rsidR="007A53CE">
      <w:rPr>
        <w:rStyle w:val="slostrnky"/>
        <w:noProof/>
        <w:sz w:val="18"/>
        <w:szCs w:val="18"/>
        <w:lang w:val="en"/>
      </w:rPr>
      <w:t>3</w:t>
    </w:r>
    <w:r>
      <w:rPr>
        <w:rStyle w:val="slostrnky"/>
        <w:sz w:val="18"/>
        <w:szCs w:val="18"/>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ED0D" w14:textId="77777777" w:rsidR="00F20036" w:rsidRDefault="00F20036">
      <w:r>
        <w:separator/>
      </w:r>
    </w:p>
  </w:footnote>
  <w:footnote w:type="continuationSeparator" w:id="0">
    <w:p w14:paraId="394DFF7F" w14:textId="77777777" w:rsidR="00F20036" w:rsidRDefault="00F2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5E41" w14:textId="77777777" w:rsidR="00BB7A49" w:rsidRDefault="00F20036">
    <w:pPr>
      <w:pStyle w:val="Zhlav"/>
    </w:pPr>
    <w:r>
      <w:rPr>
        <w:noProof/>
        <w:lang w:val="en"/>
      </w:rPr>
      <w:pict w14:anchorId="32AE0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05pt;height:188.4pt;rotation:315;z-index:-2516608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2FB1" w14:textId="77777777" w:rsidR="00BB7A49" w:rsidRDefault="00F20036">
    <w:pPr>
      <w:pStyle w:val="Zhlav"/>
    </w:pPr>
    <w:r>
      <w:rPr>
        <w:noProof/>
        <w:lang w:val="en"/>
      </w:rPr>
      <w:pict w14:anchorId="5AA597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05pt;height:188.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67D7" w14:textId="77777777" w:rsidR="006C26A6" w:rsidRDefault="006C26A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FECD" w14:textId="77777777" w:rsidR="00BB7A49" w:rsidRDefault="00F20036">
    <w:r>
      <w:rPr>
        <w:noProof/>
        <w:lang w:val="en"/>
      </w:rPr>
      <w:pict w14:anchorId="1D9F5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1" type="#_x0000_t136" style="position:absolute;margin-left:0;margin-top:0;width:471.05pt;height:188.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0571" w14:textId="77777777" w:rsidR="00BB7A49" w:rsidRDefault="00BB7A49">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E0DB" w14:textId="77777777" w:rsidR="00BB7A49" w:rsidRDefault="00F20036">
    <w:pPr>
      <w:pStyle w:val="Zhlav"/>
    </w:pPr>
    <w:r>
      <w:rPr>
        <w:noProof/>
        <w:lang w:val="en"/>
      </w:rPr>
      <w:pict w14:anchorId="05B90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05pt;height:188.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A8A2" w14:textId="77777777" w:rsidR="00BB7A49" w:rsidRDefault="00F20036">
    <w:pPr>
      <w:pStyle w:val="Zhlav"/>
    </w:pPr>
    <w:r>
      <w:rPr>
        <w:noProof/>
        <w:lang w:val="en"/>
      </w:rPr>
      <w:pict w14:anchorId="2707A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3" type="#_x0000_t136" style="position:absolute;margin-left:0;margin-top:0;width:471.05pt;height:188.4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7740" w14:textId="77777777" w:rsidR="00BB7A49" w:rsidRDefault="00BB7A49">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2419" w14:textId="77777777" w:rsidR="00BB7A49" w:rsidRDefault="00BB7A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24292C8"/>
    <w:lvl w:ilvl="0">
      <w:start w:val="1"/>
      <w:numFmt w:val="upperLetter"/>
      <w:pStyle w:val="slovanseznam5"/>
      <w:lvlText w:val="(%1)"/>
      <w:lvlJc w:val="left"/>
      <w:pPr>
        <w:tabs>
          <w:tab w:val="num" w:pos="851"/>
        </w:tabs>
        <w:ind w:left="851" w:hanging="851"/>
      </w:pPr>
      <w:rPr>
        <w:rFonts w:hint="default"/>
      </w:rPr>
    </w:lvl>
  </w:abstractNum>
  <w:abstractNum w:abstractNumId="1" w15:restartNumberingAfterBreak="0">
    <w:nsid w:val="FFFFFF7D"/>
    <w:multiLevelType w:val="singleLevel"/>
    <w:tmpl w:val="95E84FA6"/>
    <w:lvl w:ilvl="0">
      <w:start w:val="1"/>
      <w:numFmt w:val="decimal"/>
      <w:pStyle w:val="slovanseznam4"/>
      <w:lvlText w:val="(%1)"/>
      <w:lvlJc w:val="left"/>
      <w:pPr>
        <w:tabs>
          <w:tab w:val="num" w:pos="851"/>
        </w:tabs>
        <w:ind w:left="851" w:hanging="851"/>
      </w:pPr>
      <w:rPr>
        <w:rFonts w:hint="default"/>
        <w:b w:val="0"/>
      </w:rPr>
    </w:lvl>
  </w:abstractNum>
  <w:abstractNum w:abstractNumId="2" w15:restartNumberingAfterBreak="0">
    <w:nsid w:val="FFFFFFFB"/>
    <w:multiLevelType w:val="multilevel"/>
    <w:tmpl w:val="F654A246"/>
    <w:lvl w:ilvl="0">
      <w:start w:val="1"/>
      <w:numFmt w:val="none"/>
      <w:pStyle w:val="Nadpis1"/>
      <w:suff w:val="nothing"/>
      <w:lvlText w:val=""/>
      <w:lvlJc w:val="left"/>
      <w:pPr>
        <w:ind w:left="0" w:firstLine="0"/>
      </w:pPr>
      <w:rPr>
        <w:rFonts w:hint="default"/>
      </w:rPr>
    </w:lvl>
    <w:lvl w:ilvl="1">
      <w:start w:val="1"/>
      <w:numFmt w:val="decimal"/>
      <w:pStyle w:val="Nadpis2"/>
      <w:lvlText w:val="%2."/>
      <w:lvlJc w:val="left"/>
      <w:pPr>
        <w:tabs>
          <w:tab w:val="num" w:pos="851"/>
        </w:tabs>
        <w:ind w:left="851" w:hanging="851"/>
      </w:pPr>
      <w:rPr>
        <w:rFonts w:hint="default"/>
      </w:rPr>
    </w:lvl>
    <w:lvl w:ilvl="2">
      <w:start w:val="1"/>
      <w:numFmt w:val="decimal"/>
      <w:pStyle w:val="Nadpis3"/>
      <w:lvlText w:val="%2.%3"/>
      <w:lvlJc w:val="left"/>
      <w:pPr>
        <w:tabs>
          <w:tab w:val="num" w:pos="851"/>
        </w:tabs>
        <w:ind w:left="851" w:hanging="851"/>
      </w:pPr>
      <w:rPr>
        <w:rFonts w:hint="default"/>
      </w:rPr>
    </w:lvl>
    <w:lvl w:ilvl="3">
      <w:start w:val="1"/>
      <w:numFmt w:val="decimal"/>
      <w:pStyle w:val="Nadpis4"/>
      <w:lvlText w:val="%2.%3.%4"/>
      <w:lvlJc w:val="left"/>
      <w:pPr>
        <w:tabs>
          <w:tab w:val="num" w:pos="1701"/>
        </w:tabs>
        <w:ind w:left="1701" w:hanging="850"/>
      </w:pPr>
      <w:rPr>
        <w:rFonts w:hint="default"/>
      </w:rPr>
    </w:lvl>
    <w:lvl w:ilvl="4">
      <w:start w:val="1"/>
      <w:numFmt w:val="lowerLetter"/>
      <w:pStyle w:val="Nadpis5"/>
      <w:lvlText w:val="(%5)"/>
      <w:lvlJc w:val="left"/>
      <w:pPr>
        <w:tabs>
          <w:tab w:val="num" w:pos="2552"/>
        </w:tabs>
        <w:ind w:left="2552" w:hanging="851"/>
      </w:pPr>
      <w:rPr>
        <w:rFonts w:hint="default"/>
      </w:rPr>
    </w:lvl>
    <w:lvl w:ilvl="5">
      <w:start w:val="1"/>
      <w:numFmt w:val="lowerRoman"/>
      <w:pStyle w:val="Nadpis6"/>
      <w:lvlText w:val="(%6)"/>
      <w:lvlJc w:val="left"/>
      <w:pPr>
        <w:tabs>
          <w:tab w:val="num" w:pos="3402"/>
        </w:tabs>
        <w:ind w:left="3402" w:hanging="850"/>
      </w:pPr>
      <w:rPr>
        <w:rFonts w:hint="default"/>
      </w:rPr>
    </w:lvl>
    <w:lvl w:ilvl="6">
      <w:start w:val="1"/>
      <w:numFmt w:val="none"/>
      <w:pStyle w:val="Nadpis7"/>
      <w:suff w:val="nothing"/>
      <w:lvlText w:val=""/>
      <w:lvlJc w:val="left"/>
      <w:pPr>
        <w:ind w:left="851" w:firstLine="0"/>
      </w:pPr>
      <w:rPr>
        <w:rFonts w:hint="default"/>
      </w:rPr>
    </w:lvl>
    <w:lvl w:ilvl="7">
      <w:start w:val="1"/>
      <w:numFmt w:val="lowerLetter"/>
      <w:pStyle w:val="Nadpis8"/>
      <w:lvlText w:val="(%8)"/>
      <w:lvlJc w:val="left"/>
      <w:pPr>
        <w:tabs>
          <w:tab w:val="num" w:pos="1701"/>
        </w:tabs>
        <w:ind w:left="1701" w:hanging="850"/>
      </w:pPr>
      <w:rPr>
        <w:rFonts w:hint="default"/>
      </w:rPr>
    </w:lvl>
    <w:lvl w:ilvl="8">
      <w:start w:val="1"/>
      <w:numFmt w:val="lowerRoman"/>
      <w:pStyle w:val="Nadpis9"/>
      <w:lvlText w:val="(%9)"/>
      <w:lvlJc w:val="left"/>
      <w:pPr>
        <w:tabs>
          <w:tab w:val="num" w:pos="2552"/>
        </w:tabs>
        <w:ind w:left="2552" w:hanging="851"/>
      </w:pPr>
      <w:rPr>
        <w:rFonts w:hint="default"/>
      </w:rPr>
    </w:lvl>
  </w:abstractNum>
  <w:abstractNum w:abstractNumId="3" w15:restartNumberingAfterBreak="0">
    <w:nsid w:val="14F542AC"/>
    <w:multiLevelType w:val="hybridMultilevel"/>
    <w:tmpl w:val="7FF8E8E2"/>
    <w:lvl w:ilvl="0" w:tplc="AE0EDA68">
      <w:start w:val="1"/>
      <w:numFmt w:val="lowerLetter"/>
      <w:pStyle w:val="slovanseznam2"/>
      <w:lvlText w:val="(%1)"/>
      <w:lvlJc w:val="left"/>
      <w:pPr>
        <w:tabs>
          <w:tab w:val="num" w:pos="851"/>
        </w:tabs>
        <w:ind w:left="851" w:hanging="851"/>
      </w:pPr>
      <w:rPr>
        <w:rFonts w:hint="default"/>
      </w:rPr>
    </w:lvl>
    <w:lvl w:ilvl="1" w:tplc="7F24FB68" w:tentative="1">
      <w:start w:val="1"/>
      <w:numFmt w:val="lowerLetter"/>
      <w:lvlText w:val="%2."/>
      <w:lvlJc w:val="left"/>
      <w:pPr>
        <w:tabs>
          <w:tab w:val="num" w:pos="1440"/>
        </w:tabs>
        <w:ind w:left="1440" w:hanging="360"/>
      </w:pPr>
    </w:lvl>
    <w:lvl w:ilvl="2" w:tplc="6F548890" w:tentative="1">
      <w:start w:val="1"/>
      <w:numFmt w:val="lowerRoman"/>
      <w:lvlText w:val="%3."/>
      <w:lvlJc w:val="right"/>
      <w:pPr>
        <w:tabs>
          <w:tab w:val="num" w:pos="2160"/>
        </w:tabs>
        <w:ind w:left="2160" w:hanging="180"/>
      </w:pPr>
    </w:lvl>
    <w:lvl w:ilvl="3" w:tplc="78CA7232" w:tentative="1">
      <w:start w:val="1"/>
      <w:numFmt w:val="decimal"/>
      <w:lvlText w:val="%4."/>
      <w:lvlJc w:val="left"/>
      <w:pPr>
        <w:tabs>
          <w:tab w:val="num" w:pos="2880"/>
        </w:tabs>
        <w:ind w:left="2880" w:hanging="360"/>
      </w:pPr>
    </w:lvl>
    <w:lvl w:ilvl="4" w:tplc="5ED0E162" w:tentative="1">
      <w:start w:val="1"/>
      <w:numFmt w:val="lowerLetter"/>
      <w:lvlText w:val="%5."/>
      <w:lvlJc w:val="left"/>
      <w:pPr>
        <w:tabs>
          <w:tab w:val="num" w:pos="3600"/>
        </w:tabs>
        <w:ind w:left="3600" w:hanging="360"/>
      </w:pPr>
    </w:lvl>
    <w:lvl w:ilvl="5" w:tplc="06261966" w:tentative="1">
      <w:start w:val="1"/>
      <w:numFmt w:val="lowerRoman"/>
      <w:lvlText w:val="%6."/>
      <w:lvlJc w:val="right"/>
      <w:pPr>
        <w:tabs>
          <w:tab w:val="num" w:pos="4320"/>
        </w:tabs>
        <w:ind w:left="4320" w:hanging="180"/>
      </w:pPr>
    </w:lvl>
    <w:lvl w:ilvl="6" w:tplc="DE38878C" w:tentative="1">
      <w:start w:val="1"/>
      <w:numFmt w:val="decimal"/>
      <w:lvlText w:val="%7."/>
      <w:lvlJc w:val="left"/>
      <w:pPr>
        <w:tabs>
          <w:tab w:val="num" w:pos="5040"/>
        </w:tabs>
        <w:ind w:left="5040" w:hanging="360"/>
      </w:pPr>
    </w:lvl>
    <w:lvl w:ilvl="7" w:tplc="78C451F4" w:tentative="1">
      <w:start w:val="1"/>
      <w:numFmt w:val="lowerLetter"/>
      <w:lvlText w:val="%8."/>
      <w:lvlJc w:val="left"/>
      <w:pPr>
        <w:tabs>
          <w:tab w:val="num" w:pos="5760"/>
        </w:tabs>
        <w:ind w:left="5760" w:hanging="360"/>
      </w:pPr>
    </w:lvl>
    <w:lvl w:ilvl="8" w:tplc="6310CEB2" w:tentative="1">
      <w:start w:val="1"/>
      <w:numFmt w:val="lowerRoman"/>
      <w:lvlText w:val="%9."/>
      <w:lvlJc w:val="right"/>
      <w:pPr>
        <w:tabs>
          <w:tab w:val="num" w:pos="6480"/>
        </w:tabs>
        <w:ind w:left="6480" w:hanging="180"/>
      </w:pPr>
    </w:lvl>
  </w:abstractNum>
  <w:abstractNum w:abstractNumId="4" w15:restartNumberingAfterBreak="0">
    <w:nsid w:val="1E6D03A1"/>
    <w:multiLevelType w:val="multilevel"/>
    <w:tmpl w:val="0894507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3104773"/>
    <w:multiLevelType w:val="multilevel"/>
    <w:tmpl w:val="6008B126"/>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27"/>
      <w:numFmt w:val="lowerLetter"/>
      <w:pStyle w:val="CMSANSchedule9"/>
      <w:lvlText w:val="(%9)"/>
      <w:lvlJc w:val="left"/>
      <w:pPr>
        <w:tabs>
          <w:tab w:val="num" w:pos="4253"/>
        </w:tabs>
        <w:ind w:left="4253" w:hanging="851"/>
      </w:pPr>
      <w:rPr>
        <w:rFonts w:hint="default"/>
      </w:rPr>
    </w:lvl>
  </w:abstractNum>
  <w:abstractNum w:abstractNumId="6" w15:restartNumberingAfterBreak="0">
    <w:nsid w:val="27AB79DD"/>
    <w:multiLevelType w:val="multilevel"/>
    <w:tmpl w:val="B0A8C4C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64F2771"/>
    <w:multiLevelType w:val="multilevel"/>
    <w:tmpl w:val="9E26B04E"/>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B050B1"/>
    <w:multiLevelType w:val="hybridMultilevel"/>
    <w:tmpl w:val="9EC4491A"/>
    <w:lvl w:ilvl="0" w:tplc="2DDA6C76">
      <w:start w:val="1"/>
      <w:numFmt w:val="bullet"/>
      <w:pStyle w:val="Seznamsodrkami2"/>
      <w:lvlText w:val=""/>
      <w:lvlJc w:val="left"/>
      <w:pPr>
        <w:tabs>
          <w:tab w:val="num" w:pos="1701"/>
        </w:tabs>
        <w:ind w:left="1701" w:hanging="850"/>
      </w:pPr>
      <w:rPr>
        <w:rFonts w:ascii="Symbol" w:hAnsi="Symbol" w:hint="default"/>
      </w:rPr>
    </w:lvl>
    <w:lvl w:ilvl="1" w:tplc="88268D56" w:tentative="1">
      <w:start w:val="1"/>
      <w:numFmt w:val="bullet"/>
      <w:lvlText w:val="o"/>
      <w:lvlJc w:val="left"/>
      <w:pPr>
        <w:tabs>
          <w:tab w:val="num" w:pos="1440"/>
        </w:tabs>
        <w:ind w:left="1440" w:hanging="360"/>
      </w:pPr>
      <w:rPr>
        <w:rFonts w:ascii="Courier New" w:hAnsi="Courier New" w:hint="default"/>
      </w:rPr>
    </w:lvl>
    <w:lvl w:ilvl="2" w:tplc="B310E11E" w:tentative="1">
      <w:start w:val="1"/>
      <w:numFmt w:val="bullet"/>
      <w:lvlText w:val=""/>
      <w:lvlJc w:val="left"/>
      <w:pPr>
        <w:tabs>
          <w:tab w:val="num" w:pos="2160"/>
        </w:tabs>
        <w:ind w:left="2160" w:hanging="360"/>
      </w:pPr>
      <w:rPr>
        <w:rFonts w:ascii="Wingdings" w:hAnsi="Wingdings" w:hint="default"/>
      </w:rPr>
    </w:lvl>
    <w:lvl w:ilvl="3" w:tplc="DCBE0B46" w:tentative="1">
      <w:start w:val="1"/>
      <w:numFmt w:val="bullet"/>
      <w:lvlText w:val=""/>
      <w:lvlJc w:val="left"/>
      <w:pPr>
        <w:tabs>
          <w:tab w:val="num" w:pos="2880"/>
        </w:tabs>
        <w:ind w:left="2880" w:hanging="360"/>
      </w:pPr>
      <w:rPr>
        <w:rFonts w:ascii="Symbol" w:hAnsi="Symbol" w:hint="default"/>
      </w:rPr>
    </w:lvl>
    <w:lvl w:ilvl="4" w:tplc="DDF80708" w:tentative="1">
      <w:start w:val="1"/>
      <w:numFmt w:val="bullet"/>
      <w:lvlText w:val="o"/>
      <w:lvlJc w:val="left"/>
      <w:pPr>
        <w:tabs>
          <w:tab w:val="num" w:pos="3600"/>
        </w:tabs>
        <w:ind w:left="3600" w:hanging="360"/>
      </w:pPr>
      <w:rPr>
        <w:rFonts w:ascii="Courier New" w:hAnsi="Courier New" w:hint="default"/>
      </w:rPr>
    </w:lvl>
    <w:lvl w:ilvl="5" w:tplc="2B165FEE" w:tentative="1">
      <w:start w:val="1"/>
      <w:numFmt w:val="bullet"/>
      <w:lvlText w:val=""/>
      <w:lvlJc w:val="left"/>
      <w:pPr>
        <w:tabs>
          <w:tab w:val="num" w:pos="4320"/>
        </w:tabs>
        <w:ind w:left="4320" w:hanging="360"/>
      </w:pPr>
      <w:rPr>
        <w:rFonts w:ascii="Wingdings" w:hAnsi="Wingdings" w:hint="default"/>
      </w:rPr>
    </w:lvl>
    <w:lvl w:ilvl="6" w:tplc="84BA47EC" w:tentative="1">
      <w:start w:val="1"/>
      <w:numFmt w:val="bullet"/>
      <w:lvlText w:val=""/>
      <w:lvlJc w:val="left"/>
      <w:pPr>
        <w:tabs>
          <w:tab w:val="num" w:pos="5040"/>
        </w:tabs>
        <w:ind w:left="5040" w:hanging="360"/>
      </w:pPr>
      <w:rPr>
        <w:rFonts w:ascii="Symbol" w:hAnsi="Symbol" w:hint="default"/>
      </w:rPr>
    </w:lvl>
    <w:lvl w:ilvl="7" w:tplc="8DD0D064" w:tentative="1">
      <w:start w:val="1"/>
      <w:numFmt w:val="bullet"/>
      <w:lvlText w:val="o"/>
      <w:lvlJc w:val="left"/>
      <w:pPr>
        <w:tabs>
          <w:tab w:val="num" w:pos="5760"/>
        </w:tabs>
        <w:ind w:left="5760" w:hanging="360"/>
      </w:pPr>
      <w:rPr>
        <w:rFonts w:ascii="Courier New" w:hAnsi="Courier New" w:hint="default"/>
      </w:rPr>
    </w:lvl>
    <w:lvl w:ilvl="8" w:tplc="0EB6D3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994533"/>
    <w:multiLevelType w:val="hybridMultilevel"/>
    <w:tmpl w:val="08D8CACC"/>
    <w:lvl w:ilvl="0" w:tplc="AF1C4320">
      <w:start w:val="1"/>
      <w:numFmt w:val="decimal"/>
      <w:pStyle w:val="zGlossBoldLeft14pt"/>
      <w:lvlText w:val="(%1)"/>
      <w:lvlJc w:val="left"/>
      <w:pPr>
        <w:tabs>
          <w:tab w:val="num" w:pos="851"/>
        </w:tabs>
        <w:ind w:left="851" w:hanging="851"/>
      </w:pPr>
      <w:rPr>
        <w:rFonts w:hint="default"/>
      </w:rPr>
    </w:lvl>
    <w:lvl w:ilvl="1" w:tplc="99444CE6" w:tentative="1">
      <w:start w:val="1"/>
      <w:numFmt w:val="lowerLetter"/>
      <w:lvlText w:val="%2."/>
      <w:lvlJc w:val="left"/>
      <w:pPr>
        <w:tabs>
          <w:tab w:val="num" w:pos="1440"/>
        </w:tabs>
        <w:ind w:left="1440" w:hanging="360"/>
      </w:pPr>
    </w:lvl>
    <w:lvl w:ilvl="2" w:tplc="63D67D8E" w:tentative="1">
      <w:start w:val="1"/>
      <w:numFmt w:val="lowerRoman"/>
      <w:lvlText w:val="%3."/>
      <w:lvlJc w:val="right"/>
      <w:pPr>
        <w:tabs>
          <w:tab w:val="num" w:pos="2160"/>
        </w:tabs>
        <w:ind w:left="2160" w:hanging="180"/>
      </w:pPr>
    </w:lvl>
    <w:lvl w:ilvl="3" w:tplc="3E48A900" w:tentative="1">
      <w:start w:val="1"/>
      <w:numFmt w:val="decimal"/>
      <w:lvlText w:val="%4."/>
      <w:lvlJc w:val="left"/>
      <w:pPr>
        <w:tabs>
          <w:tab w:val="num" w:pos="2880"/>
        </w:tabs>
        <w:ind w:left="2880" w:hanging="360"/>
      </w:pPr>
    </w:lvl>
    <w:lvl w:ilvl="4" w:tplc="0C021448" w:tentative="1">
      <w:start w:val="1"/>
      <w:numFmt w:val="lowerLetter"/>
      <w:lvlText w:val="%5."/>
      <w:lvlJc w:val="left"/>
      <w:pPr>
        <w:tabs>
          <w:tab w:val="num" w:pos="3600"/>
        </w:tabs>
        <w:ind w:left="3600" w:hanging="360"/>
      </w:pPr>
    </w:lvl>
    <w:lvl w:ilvl="5" w:tplc="70725A2A" w:tentative="1">
      <w:start w:val="1"/>
      <w:numFmt w:val="lowerRoman"/>
      <w:lvlText w:val="%6."/>
      <w:lvlJc w:val="right"/>
      <w:pPr>
        <w:tabs>
          <w:tab w:val="num" w:pos="4320"/>
        </w:tabs>
        <w:ind w:left="4320" w:hanging="180"/>
      </w:pPr>
    </w:lvl>
    <w:lvl w:ilvl="6" w:tplc="9392AF40" w:tentative="1">
      <w:start w:val="1"/>
      <w:numFmt w:val="decimal"/>
      <w:lvlText w:val="%7."/>
      <w:lvlJc w:val="left"/>
      <w:pPr>
        <w:tabs>
          <w:tab w:val="num" w:pos="5040"/>
        </w:tabs>
        <w:ind w:left="5040" w:hanging="360"/>
      </w:pPr>
    </w:lvl>
    <w:lvl w:ilvl="7" w:tplc="DD105DCC" w:tentative="1">
      <w:start w:val="1"/>
      <w:numFmt w:val="lowerLetter"/>
      <w:lvlText w:val="%8."/>
      <w:lvlJc w:val="left"/>
      <w:pPr>
        <w:tabs>
          <w:tab w:val="num" w:pos="5760"/>
        </w:tabs>
        <w:ind w:left="5760" w:hanging="360"/>
      </w:pPr>
    </w:lvl>
    <w:lvl w:ilvl="8" w:tplc="F7422ACA" w:tentative="1">
      <w:start w:val="1"/>
      <w:numFmt w:val="lowerRoman"/>
      <w:lvlText w:val="%9."/>
      <w:lvlJc w:val="right"/>
      <w:pPr>
        <w:tabs>
          <w:tab w:val="num" w:pos="6480"/>
        </w:tabs>
        <w:ind w:left="6480" w:hanging="180"/>
      </w:pPr>
    </w:lvl>
  </w:abstractNum>
  <w:abstractNum w:abstractNumId="10" w15:restartNumberingAfterBreak="0">
    <w:nsid w:val="3E143F13"/>
    <w:multiLevelType w:val="multilevel"/>
    <w:tmpl w:val="9AE00D96"/>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850"/>
        </w:tabs>
        <w:ind w:left="850" w:hanging="850"/>
      </w:pPr>
      <w:rPr>
        <w:rFonts w:hint="default"/>
      </w:rPr>
    </w:lvl>
    <w:lvl w:ilvl="2">
      <w:start w:val="1"/>
      <w:numFmt w:val="decimal"/>
      <w:pStyle w:val="CMSHeadL3"/>
      <w:lvlText w:val="%2.%3"/>
      <w:lvlJc w:val="left"/>
      <w:pPr>
        <w:tabs>
          <w:tab w:val="num" w:pos="1134"/>
        </w:tabs>
        <w:ind w:left="1134" w:hanging="850"/>
      </w:pPr>
      <w:rPr>
        <w:rFonts w:hint="default"/>
      </w:rPr>
    </w:lvl>
    <w:lvl w:ilvl="3">
      <w:start w:val="1"/>
      <w:numFmt w:val="decimal"/>
      <w:pStyle w:val="CMSHeadL4"/>
      <w:lvlText w:val="%2.%3.%4"/>
      <w:lvlJc w:val="left"/>
      <w:pPr>
        <w:tabs>
          <w:tab w:val="num" w:pos="1701"/>
        </w:tabs>
        <w:ind w:left="1701" w:hanging="851"/>
      </w:pPr>
      <w:rPr>
        <w:rFonts w:hint="default"/>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1" w15:restartNumberingAfterBreak="0">
    <w:nsid w:val="42DB167D"/>
    <w:multiLevelType w:val="hybridMultilevel"/>
    <w:tmpl w:val="44C237D6"/>
    <w:lvl w:ilvl="0" w:tplc="9A6812DA">
      <w:start w:val="1"/>
      <w:numFmt w:val="bullet"/>
      <w:pStyle w:val="Seznamsodrkami5"/>
      <w:lvlText w:val=""/>
      <w:lvlJc w:val="left"/>
      <w:pPr>
        <w:tabs>
          <w:tab w:val="num" w:pos="4253"/>
        </w:tabs>
        <w:ind w:left="4253" w:hanging="851"/>
      </w:pPr>
      <w:rPr>
        <w:rFonts w:ascii="Symbol" w:hAnsi="Symbol" w:hint="default"/>
      </w:rPr>
    </w:lvl>
    <w:lvl w:ilvl="1" w:tplc="AA4E26A8" w:tentative="1">
      <w:start w:val="1"/>
      <w:numFmt w:val="bullet"/>
      <w:lvlText w:val="o"/>
      <w:lvlJc w:val="left"/>
      <w:pPr>
        <w:tabs>
          <w:tab w:val="num" w:pos="1440"/>
        </w:tabs>
        <w:ind w:left="1440" w:hanging="360"/>
      </w:pPr>
      <w:rPr>
        <w:rFonts w:ascii="Courier New" w:hAnsi="Courier New" w:hint="default"/>
      </w:rPr>
    </w:lvl>
    <w:lvl w:ilvl="2" w:tplc="872622AA" w:tentative="1">
      <w:start w:val="1"/>
      <w:numFmt w:val="bullet"/>
      <w:lvlText w:val=""/>
      <w:lvlJc w:val="left"/>
      <w:pPr>
        <w:tabs>
          <w:tab w:val="num" w:pos="2160"/>
        </w:tabs>
        <w:ind w:left="2160" w:hanging="360"/>
      </w:pPr>
      <w:rPr>
        <w:rFonts w:ascii="Wingdings" w:hAnsi="Wingdings" w:hint="default"/>
      </w:rPr>
    </w:lvl>
    <w:lvl w:ilvl="3" w:tplc="365CC224" w:tentative="1">
      <w:start w:val="1"/>
      <w:numFmt w:val="bullet"/>
      <w:lvlText w:val=""/>
      <w:lvlJc w:val="left"/>
      <w:pPr>
        <w:tabs>
          <w:tab w:val="num" w:pos="2880"/>
        </w:tabs>
        <w:ind w:left="2880" w:hanging="360"/>
      </w:pPr>
      <w:rPr>
        <w:rFonts w:ascii="Symbol" w:hAnsi="Symbol" w:hint="default"/>
      </w:rPr>
    </w:lvl>
    <w:lvl w:ilvl="4" w:tplc="89C49D70" w:tentative="1">
      <w:start w:val="1"/>
      <w:numFmt w:val="bullet"/>
      <w:lvlText w:val="o"/>
      <w:lvlJc w:val="left"/>
      <w:pPr>
        <w:tabs>
          <w:tab w:val="num" w:pos="3600"/>
        </w:tabs>
        <w:ind w:left="3600" w:hanging="360"/>
      </w:pPr>
      <w:rPr>
        <w:rFonts w:ascii="Courier New" w:hAnsi="Courier New" w:hint="default"/>
      </w:rPr>
    </w:lvl>
    <w:lvl w:ilvl="5" w:tplc="470AD422" w:tentative="1">
      <w:start w:val="1"/>
      <w:numFmt w:val="bullet"/>
      <w:lvlText w:val=""/>
      <w:lvlJc w:val="left"/>
      <w:pPr>
        <w:tabs>
          <w:tab w:val="num" w:pos="4320"/>
        </w:tabs>
        <w:ind w:left="4320" w:hanging="360"/>
      </w:pPr>
      <w:rPr>
        <w:rFonts w:ascii="Wingdings" w:hAnsi="Wingdings" w:hint="default"/>
      </w:rPr>
    </w:lvl>
    <w:lvl w:ilvl="6" w:tplc="CB8E8A70" w:tentative="1">
      <w:start w:val="1"/>
      <w:numFmt w:val="bullet"/>
      <w:lvlText w:val=""/>
      <w:lvlJc w:val="left"/>
      <w:pPr>
        <w:tabs>
          <w:tab w:val="num" w:pos="5040"/>
        </w:tabs>
        <w:ind w:left="5040" w:hanging="360"/>
      </w:pPr>
      <w:rPr>
        <w:rFonts w:ascii="Symbol" w:hAnsi="Symbol" w:hint="default"/>
      </w:rPr>
    </w:lvl>
    <w:lvl w:ilvl="7" w:tplc="90D2408A" w:tentative="1">
      <w:start w:val="1"/>
      <w:numFmt w:val="bullet"/>
      <w:lvlText w:val="o"/>
      <w:lvlJc w:val="left"/>
      <w:pPr>
        <w:tabs>
          <w:tab w:val="num" w:pos="5760"/>
        </w:tabs>
        <w:ind w:left="5760" w:hanging="360"/>
      </w:pPr>
      <w:rPr>
        <w:rFonts w:ascii="Courier New" w:hAnsi="Courier New" w:hint="default"/>
      </w:rPr>
    </w:lvl>
    <w:lvl w:ilvl="8" w:tplc="3F3C47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ED6A63"/>
    <w:multiLevelType w:val="multilevel"/>
    <w:tmpl w:val="A35A37B8"/>
    <w:styleLink w:val="CMS-ANParties"/>
    <w:lvl w:ilvl="0">
      <w:start w:val="1"/>
      <w:numFmt w:val="decimal"/>
      <w:pStyle w:val="CMSANParties"/>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AE61ACD"/>
    <w:multiLevelType w:val="hybridMultilevel"/>
    <w:tmpl w:val="E2FED1F8"/>
    <w:lvl w:ilvl="0" w:tplc="CD50331E">
      <w:start w:val="1"/>
      <w:numFmt w:val="lowerLetter"/>
      <w:lvlText w:val="(%1)"/>
      <w:lvlJc w:val="left"/>
      <w:pPr>
        <w:ind w:left="927" w:hanging="360"/>
      </w:pPr>
      <w:rPr>
        <w:rFonts w:ascii="Times New Roman" w:hAnsi="Times New Roman"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50785FB2"/>
    <w:multiLevelType w:val="hybridMultilevel"/>
    <w:tmpl w:val="84AAE63A"/>
    <w:lvl w:ilvl="0" w:tplc="AD4E226E">
      <w:start w:val="1"/>
      <w:numFmt w:val="bullet"/>
      <w:pStyle w:val="Seznamsodrkami"/>
      <w:lvlText w:val=""/>
      <w:lvlJc w:val="left"/>
      <w:pPr>
        <w:tabs>
          <w:tab w:val="num" w:pos="851"/>
        </w:tabs>
        <w:ind w:left="851" w:hanging="851"/>
      </w:pPr>
      <w:rPr>
        <w:rFonts w:ascii="Symbol" w:hAnsi="Symbol" w:hint="default"/>
      </w:rPr>
    </w:lvl>
    <w:lvl w:ilvl="1" w:tplc="1F6E2BF4" w:tentative="1">
      <w:start w:val="1"/>
      <w:numFmt w:val="bullet"/>
      <w:lvlText w:val="o"/>
      <w:lvlJc w:val="left"/>
      <w:pPr>
        <w:tabs>
          <w:tab w:val="num" w:pos="1440"/>
        </w:tabs>
        <w:ind w:left="1440" w:hanging="360"/>
      </w:pPr>
      <w:rPr>
        <w:rFonts w:ascii="Courier New" w:hAnsi="Courier New" w:hint="default"/>
      </w:rPr>
    </w:lvl>
    <w:lvl w:ilvl="2" w:tplc="83528860" w:tentative="1">
      <w:start w:val="1"/>
      <w:numFmt w:val="bullet"/>
      <w:lvlText w:val=""/>
      <w:lvlJc w:val="left"/>
      <w:pPr>
        <w:tabs>
          <w:tab w:val="num" w:pos="2160"/>
        </w:tabs>
        <w:ind w:left="2160" w:hanging="360"/>
      </w:pPr>
      <w:rPr>
        <w:rFonts w:ascii="Wingdings" w:hAnsi="Wingdings" w:hint="default"/>
      </w:rPr>
    </w:lvl>
    <w:lvl w:ilvl="3" w:tplc="493836D2" w:tentative="1">
      <w:start w:val="1"/>
      <w:numFmt w:val="bullet"/>
      <w:lvlText w:val=""/>
      <w:lvlJc w:val="left"/>
      <w:pPr>
        <w:tabs>
          <w:tab w:val="num" w:pos="2880"/>
        </w:tabs>
        <w:ind w:left="2880" w:hanging="360"/>
      </w:pPr>
      <w:rPr>
        <w:rFonts w:ascii="Symbol" w:hAnsi="Symbol" w:hint="default"/>
      </w:rPr>
    </w:lvl>
    <w:lvl w:ilvl="4" w:tplc="9D9291F4" w:tentative="1">
      <w:start w:val="1"/>
      <w:numFmt w:val="bullet"/>
      <w:lvlText w:val="o"/>
      <w:lvlJc w:val="left"/>
      <w:pPr>
        <w:tabs>
          <w:tab w:val="num" w:pos="3600"/>
        </w:tabs>
        <w:ind w:left="3600" w:hanging="360"/>
      </w:pPr>
      <w:rPr>
        <w:rFonts w:ascii="Courier New" w:hAnsi="Courier New" w:hint="default"/>
      </w:rPr>
    </w:lvl>
    <w:lvl w:ilvl="5" w:tplc="D27EEC76" w:tentative="1">
      <w:start w:val="1"/>
      <w:numFmt w:val="bullet"/>
      <w:lvlText w:val=""/>
      <w:lvlJc w:val="left"/>
      <w:pPr>
        <w:tabs>
          <w:tab w:val="num" w:pos="4320"/>
        </w:tabs>
        <w:ind w:left="4320" w:hanging="360"/>
      </w:pPr>
      <w:rPr>
        <w:rFonts w:ascii="Wingdings" w:hAnsi="Wingdings" w:hint="default"/>
      </w:rPr>
    </w:lvl>
    <w:lvl w:ilvl="6" w:tplc="0A6295F0" w:tentative="1">
      <w:start w:val="1"/>
      <w:numFmt w:val="bullet"/>
      <w:lvlText w:val=""/>
      <w:lvlJc w:val="left"/>
      <w:pPr>
        <w:tabs>
          <w:tab w:val="num" w:pos="5040"/>
        </w:tabs>
        <w:ind w:left="5040" w:hanging="360"/>
      </w:pPr>
      <w:rPr>
        <w:rFonts w:ascii="Symbol" w:hAnsi="Symbol" w:hint="default"/>
      </w:rPr>
    </w:lvl>
    <w:lvl w:ilvl="7" w:tplc="9640A9C0" w:tentative="1">
      <w:start w:val="1"/>
      <w:numFmt w:val="bullet"/>
      <w:lvlText w:val="o"/>
      <w:lvlJc w:val="left"/>
      <w:pPr>
        <w:tabs>
          <w:tab w:val="num" w:pos="5760"/>
        </w:tabs>
        <w:ind w:left="5760" w:hanging="360"/>
      </w:pPr>
      <w:rPr>
        <w:rFonts w:ascii="Courier New" w:hAnsi="Courier New" w:hint="default"/>
      </w:rPr>
    </w:lvl>
    <w:lvl w:ilvl="8" w:tplc="AB5EDD2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00CA6"/>
    <w:multiLevelType w:val="hybridMultilevel"/>
    <w:tmpl w:val="4C8C01BC"/>
    <w:lvl w:ilvl="0" w:tplc="C24A310C">
      <w:start w:val="1"/>
      <w:numFmt w:val="bullet"/>
      <w:pStyle w:val="Seznamsodrkami3"/>
      <w:lvlText w:val=""/>
      <w:lvlJc w:val="left"/>
      <w:pPr>
        <w:tabs>
          <w:tab w:val="num" w:pos="2552"/>
        </w:tabs>
        <w:ind w:left="2552" w:hanging="851"/>
      </w:pPr>
      <w:rPr>
        <w:rFonts w:ascii="Symbol" w:hAnsi="Symbol" w:hint="default"/>
      </w:rPr>
    </w:lvl>
    <w:lvl w:ilvl="1" w:tplc="F6F0F3CC" w:tentative="1">
      <w:start w:val="1"/>
      <w:numFmt w:val="bullet"/>
      <w:lvlText w:val="o"/>
      <w:lvlJc w:val="left"/>
      <w:pPr>
        <w:tabs>
          <w:tab w:val="num" w:pos="1440"/>
        </w:tabs>
        <w:ind w:left="1440" w:hanging="360"/>
      </w:pPr>
      <w:rPr>
        <w:rFonts w:ascii="Courier New" w:hAnsi="Courier New" w:hint="default"/>
      </w:rPr>
    </w:lvl>
    <w:lvl w:ilvl="2" w:tplc="69EE26C8" w:tentative="1">
      <w:start w:val="1"/>
      <w:numFmt w:val="bullet"/>
      <w:lvlText w:val=""/>
      <w:lvlJc w:val="left"/>
      <w:pPr>
        <w:tabs>
          <w:tab w:val="num" w:pos="2160"/>
        </w:tabs>
        <w:ind w:left="2160" w:hanging="360"/>
      </w:pPr>
      <w:rPr>
        <w:rFonts w:ascii="Wingdings" w:hAnsi="Wingdings" w:hint="default"/>
      </w:rPr>
    </w:lvl>
    <w:lvl w:ilvl="3" w:tplc="2B6A0E64" w:tentative="1">
      <w:start w:val="1"/>
      <w:numFmt w:val="bullet"/>
      <w:lvlText w:val=""/>
      <w:lvlJc w:val="left"/>
      <w:pPr>
        <w:tabs>
          <w:tab w:val="num" w:pos="2880"/>
        </w:tabs>
        <w:ind w:left="2880" w:hanging="360"/>
      </w:pPr>
      <w:rPr>
        <w:rFonts w:ascii="Symbol" w:hAnsi="Symbol" w:hint="default"/>
      </w:rPr>
    </w:lvl>
    <w:lvl w:ilvl="4" w:tplc="534AD4D6" w:tentative="1">
      <w:start w:val="1"/>
      <w:numFmt w:val="bullet"/>
      <w:lvlText w:val="o"/>
      <w:lvlJc w:val="left"/>
      <w:pPr>
        <w:tabs>
          <w:tab w:val="num" w:pos="3600"/>
        </w:tabs>
        <w:ind w:left="3600" w:hanging="360"/>
      </w:pPr>
      <w:rPr>
        <w:rFonts w:ascii="Courier New" w:hAnsi="Courier New" w:hint="default"/>
      </w:rPr>
    </w:lvl>
    <w:lvl w:ilvl="5" w:tplc="A606D73A" w:tentative="1">
      <w:start w:val="1"/>
      <w:numFmt w:val="bullet"/>
      <w:lvlText w:val=""/>
      <w:lvlJc w:val="left"/>
      <w:pPr>
        <w:tabs>
          <w:tab w:val="num" w:pos="4320"/>
        </w:tabs>
        <w:ind w:left="4320" w:hanging="360"/>
      </w:pPr>
      <w:rPr>
        <w:rFonts w:ascii="Wingdings" w:hAnsi="Wingdings" w:hint="default"/>
      </w:rPr>
    </w:lvl>
    <w:lvl w:ilvl="6" w:tplc="7EB086C6" w:tentative="1">
      <w:start w:val="1"/>
      <w:numFmt w:val="bullet"/>
      <w:lvlText w:val=""/>
      <w:lvlJc w:val="left"/>
      <w:pPr>
        <w:tabs>
          <w:tab w:val="num" w:pos="5040"/>
        </w:tabs>
        <w:ind w:left="5040" w:hanging="360"/>
      </w:pPr>
      <w:rPr>
        <w:rFonts w:ascii="Symbol" w:hAnsi="Symbol" w:hint="default"/>
      </w:rPr>
    </w:lvl>
    <w:lvl w:ilvl="7" w:tplc="E56CE2DC" w:tentative="1">
      <w:start w:val="1"/>
      <w:numFmt w:val="bullet"/>
      <w:lvlText w:val="o"/>
      <w:lvlJc w:val="left"/>
      <w:pPr>
        <w:tabs>
          <w:tab w:val="num" w:pos="5760"/>
        </w:tabs>
        <w:ind w:left="5760" w:hanging="360"/>
      </w:pPr>
      <w:rPr>
        <w:rFonts w:ascii="Courier New" w:hAnsi="Courier New" w:hint="default"/>
      </w:rPr>
    </w:lvl>
    <w:lvl w:ilvl="8" w:tplc="8C1CA0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820DEB"/>
    <w:multiLevelType w:val="hybridMultilevel"/>
    <w:tmpl w:val="E8DE3816"/>
    <w:lvl w:ilvl="0" w:tplc="DC1A589E">
      <w:start w:val="1"/>
      <w:numFmt w:val="lowerRoman"/>
      <w:pStyle w:val="slovanseznam3"/>
      <w:lvlText w:val="(%1)"/>
      <w:lvlJc w:val="left"/>
      <w:pPr>
        <w:tabs>
          <w:tab w:val="num" w:pos="851"/>
        </w:tabs>
        <w:ind w:left="851" w:hanging="851"/>
      </w:pPr>
      <w:rPr>
        <w:rFonts w:hint="default"/>
      </w:rPr>
    </w:lvl>
    <w:lvl w:ilvl="1" w:tplc="04966A6A" w:tentative="1">
      <w:start w:val="1"/>
      <w:numFmt w:val="lowerLetter"/>
      <w:lvlText w:val="%2."/>
      <w:lvlJc w:val="left"/>
      <w:pPr>
        <w:tabs>
          <w:tab w:val="num" w:pos="1440"/>
        </w:tabs>
        <w:ind w:left="1440" w:hanging="360"/>
      </w:pPr>
    </w:lvl>
    <w:lvl w:ilvl="2" w:tplc="E9D64B9E" w:tentative="1">
      <w:start w:val="1"/>
      <w:numFmt w:val="lowerRoman"/>
      <w:lvlText w:val="%3."/>
      <w:lvlJc w:val="right"/>
      <w:pPr>
        <w:tabs>
          <w:tab w:val="num" w:pos="2160"/>
        </w:tabs>
        <w:ind w:left="2160" w:hanging="180"/>
      </w:pPr>
    </w:lvl>
    <w:lvl w:ilvl="3" w:tplc="6F6278B6" w:tentative="1">
      <w:start w:val="1"/>
      <w:numFmt w:val="decimal"/>
      <w:lvlText w:val="%4."/>
      <w:lvlJc w:val="left"/>
      <w:pPr>
        <w:tabs>
          <w:tab w:val="num" w:pos="2880"/>
        </w:tabs>
        <w:ind w:left="2880" w:hanging="360"/>
      </w:pPr>
    </w:lvl>
    <w:lvl w:ilvl="4" w:tplc="6CAC6BDC" w:tentative="1">
      <w:start w:val="1"/>
      <w:numFmt w:val="lowerLetter"/>
      <w:lvlText w:val="%5."/>
      <w:lvlJc w:val="left"/>
      <w:pPr>
        <w:tabs>
          <w:tab w:val="num" w:pos="3600"/>
        </w:tabs>
        <w:ind w:left="3600" w:hanging="360"/>
      </w:pPr>
    </w:lvl>
    <w:lvl w:ilvl="5" w:tplc="5900DD4A" w:tentative="1">
      <w:start w:val="1"/>
      <w:numFmt w:val="lowerRoman"/>
      <w:lvlText w:val="%6."/>
      <w:lvlJc w:val="right"/>
      <w:pPr>
        <w:tabs>
          <w:tab w:val="num" w:pos="4320"/>
        </w:tabs>
        <w:ind w:left="4320" w:hanging="180"/>
      </w:pPr>
    </w:lvl>
    <w:lvl w:ilvl="6" w:tplc="05F4AACA" w:tentative="1">
      <w:start w:val="1"/>
      <w:numFmt w:val="decimal"/>
      <w:lvlText w:val="%7."/>
      <w:lvlJc w:val="left"/>
      <w:pPr>
        <w:tabs>
          <w:tab w:val="num" w:pos="5040"/>
        </w:tabs>
        <w:ind w:left="5040" w:hanging="360"/>
      </w:pPr>
    </w:lvl>
    <w:lvl w:ilvl="7" w:tplc="87E02F84" w:tentative="1">
      <w:start w:val="1"/>
      <w:numFmt w:val="lowerLetter"/>
      <w:lvlText w:val="%8."/>
      <w:lvlJc w:val="left"/>
      <w:pPr>
        <w:tabs>
          <w:tab w:val="num" w:pos="5760"/>
        </w:tabs>
        <w:ind w:left="5760" w:hanging="360"/>
      </w:pPr>
    </w:lvl>
    <w:lvl w:ilvl="8" w:tplc="3BD0EF2C" w:tentative="1">
      <w:start w:val="1"/>
      <w:numFmt w:val="lowerRoman"/>
      <w:lvlText w:val="%9."/>
      <w:lvlJc w:val="right"/>
      <w:pPr>
        <w:tabs>
          <w:tab w:val="num" w:pos="6480"/>
        </w:tabs>
        <w:ind w:left="6480" w:hanging="180"/>
      </w:pPr>
    </w:lvl>
  </w:abstractNum>
  <w:abstractNum w:abstractNumId="18" w15:restartNumberingAfterBreak="0">
    <w:nsid w:val="57103FC1"/>
    <w:multiLevelType w:val="hybridMultilevel"/>
    <w:tmpl w:val="C1B868C2"/>
    <w:lvl w:ilvl="0" w:tplc="3DF8A058">
      <w:start w:val="1"/>
      <w:numFmt w:val="decimal"/>
      <w:pStyle w:val="slovanseznam"/>
      <w:lvlText w:val="%1."/>
      <w:lvlJc w:val="left"/>
      <w:pPr>
        <w:tabs>
          <w:tab w:val="num" w:pos="851"/>
        </w:tabs>
        <w:ind w:left="851" w:hanging="851"/>
      </w:pPr>
      <w:rPr>
        <w:rFonts w:hint="default"/>
      </w:rPr>
    </w:lvl>
    <w:lvl w:ilvl="1" w:tplc="F1C82A48" w:tentative="1">
      <w:start w:val="1"/>
      <w:numFmt w:val="lowerLetter"/>
      <w:lvlText w:val="%2."/>
      <w:lvlJc w:val="left"/>
      <w:pPr>
        <w:tabs>
          <w:tab w:val="num" w:pos="1440"/>
        </w:tabs>
        <w:ind w:left="1440" w:hanging="360"/>
      </w:pPr>
    </w:lvl>
    <w:lvl w:ilvl="2" w:tplc="5B82E7CE" w:tentative="1">
      <w:start w:val="1"/>
      <w:numFmt w:val="lowerRoman"/>
      <w:lvlText w:val="%3."/>
      <w:lvlJc w:val="right"/>
      <w:pPr>
        <w:tabs>
          <w:tab w:val="num" w:pos="2160"/>
        </w:tabs>
        <w:ind w:left="2160" w:hanging="180"/>
      </w:pPr>
    </w:lvl>
    <w:lvl w:ilvl="3" w:tplc="64462FEA" w:tentative="1">
      <w:start w:val="1"/>
      <w:numFmt w:val="decimal"/>
      <w:lvlText w:val="%4."/>
      <w:lvlJc w:val="left"/>
      <w:pPr>
        <w:tabs>
          <w:tab w:val="num" w:pos="2880"/>
        </w:tabs>
        <w:ind w:left="2880" w:hanging="360"/>
      </w:pPr>
    </w:lvl>
    <w:lvl w:ilvl="4" w:tplc="803880EA" w:tentative="1">
      <w:start w:val="1"/>
      <w:numFmt w:val="lowerLetter"/>
      <w:lvlText w:val="%5."/>
      <w:lvlJc w:val="left"/>
      <w:pPr>
        <w:tabs>
          <w:tab w:val="num" w:pos="3600"/>
        </w:tabs>
        <w:ind w:left="3600" w:hanging="360"/>
      </w:pPr>
    </w:lvl>
    <w:lvl w:ilvl="5" w:tplc="02C45838" w:tentative="1">
      <w:start w:val="1"/>
      <w:numFmt w:val="lowerRoman"/>
      <w:lvlText w:val="%6."/>
      <w:lvlJc w:val="right"/>
      <w:pPr>
        <w:tabs>
          <w:tab w:val="num" w:pos="4320"/>
        </w:tabs>
        <w:ind w:left="4320" w:hanging="180"/>
      </w:pPr>
    </w:lvl>
    <w:lvl w:ilvl="6" w:tplc="F90279DA" w:tentative="1">
      <w:start w:val="1"/>
      <w:numFmt w:val="decimal"/>
      <w:lvlText w:val="%7."/>
      <w:lvlJc w:val="left"/>
      <w:pPr>
        <w:tabs>
          <w:tab w:val="num" w:pos="5040"/>
        </w:tabs>
        <w:ind w:left="5040" w:hanging="360"/>
      </w:pPr>
    </w:lvl>
    <w:lvl w:ilvl="7" w:tplc="3586B57A" w:tentative="1">
      <w:start w:val="1"/>
      <w:numFmt w:val="lowerLetter"/>
      <w:lvlText w:val="%8."/>
      <w:lvlJc w:val="left"/>
      <w:pPr>
        <w:tabs>
          <w:tab w:val="num" w:pos="5760"/>
        </w:tabs>
        <w:ind w:left="5760" w:hanging="360"/>
      </w:pPr>
    </w:lvl>
    <w:lvl w:ilvl="8" w:tplc="8D825172" w:tentative="1">
      <w:start w:val="1"/>
      <w:numFmt w:val="lowerRoman"/>
      <w:lvlText w:val="%9."/>
      <w:lvlJc w:val="right"/>
      <w:pPr>
        <w:tabs>
          <w:tab w:val="num" w:pos="6480"/>
        </w:tabs>
        <w:ind w:left="6480" w:hanging="180"/>
      </w:pPr>
    </w:lvl>
  </w:abstractNum>
  <w:abstractNum w:abstractNumId="19" w15:restartNumberingAfterBreak="0">
    <w:nsid w:val="5A5D5FE1"/>
    <w:multiLevelType w:val="hybridMultilevel"/>
    <w:tmpl w:val="97CC014C"/>
    <w:lvl w:ilvl="0" w:tplc="4FCE0660">
      <w:start w:val="1"/>
      <w:numFmt w:val="bullet"/>
      <w:pStyle w:val="Seznamsodrkami4"/>
      <w:lvlText w:val=""/>
      <w:lvlJc w:val="left"/>
      <w:pPr>
        <w:tabs>
          <w:tab w:val="num" w:pos="3402"/>
        </w:tabs>
        <w:ind w:left="3402" w:hanging="850"/>
      </w:pPr>
      <w:rPr>
        <w:rFonts w:ascii="Symbol" w:hAnsi="Symbol" w:hint="default"/>
      </w:rPr>
    </w:lvl>
    <w:lvl w:ilvl="1" w:tplc="E0B2A304" w:tentative="1">
      <w:start w:val="1"/>
      <w:numFmt w:val="bullet"/>
      <w:lvlText w:val="o"/>
      <w:lvlJc w:val="left"/>
      <w:pPr>
        <w:tabs>
          <w:tab w:val="num" w:pos="1440"/>
        </w:tabs>
        <w:ind w:left="1440" w:hanging="360"/>
      </w:pPr>
      <w:rPr>
        <w:rFonts w:ascii="Courier New" w:hAnsi="Courier New" w:hint="default"/>
      </w:rPr>
    </w:lvl>
    <w:lvl w:ilvl="2" w:tplc="510CB3BA" w:tentative="1">
      <w:start w:val="1"/>
      <w:numFmt w:val="bullet"/>
      <w:lvlText w:val=""/>
      <w:lvlJc w:val="left"/>
      <w:pPr>
        <w:tabs>
          <w:tab w:val="num" w:pos="2160"/>
        </w:tabs>
        <w:ind w:left="2160" w:hanging="360"/>
      </w:pPr>
      <w:rPr>
        <w:rFonts w:ascii="Wingdings" w:hAnsi="Wingdings" w:hint="default"/>
      </w:rPr>
    </w:lvl>
    <w:lvl w:ilvl="3" w:tplc="8CD074C0" w:tentative="1">
      <w:start w:val="1"/>
      <w:numFmt w:val="bullet"/>
      <w:lvlText w:val=""/>
      <w:lvlJc w:val="left"/>
      <w:pPr>
        <w:tabs>
          <w:tab w:val="num" w:pos="2880"/>
        </w:tabs>
        <w:ind w:left="2880" w:hanging="360"/>
      </w:pPr>
      <w:rPr>
        <w:rFonts w:ascii="Symbol" w:hAnsi="Symbol" w:hint="default"/>
      </w:rPr>
    </w:lvl>
    <w:lvl w:ilvl="4" w:tplc="67B88A7C" w:tentative="1">
      <w:start w:val="1"/>
      <w:numFmt w:val="bullet"/>
      <w:lvlText w:val="o"/>
      <w:lvlJc w:val="left"/>
      <w:pPr>
        <w:tabs>
          <w:tab w:val="num" w:pos="3600"/>
        </w:tabs>
        <w:ind w:left="3600" w:hanging="360"/>
      </w:pPr>
      <w:rPr>
        <w:rFonts w:ascii="Courier New" w:hAnsi="Courier New" w:hint="default"/>
      </w:rPr>
    </w:lvl>
    <w:lvl w:ilvl="5" w:tplc="5F140AD2" w:tentative="1">
      <w:start w:val="1"/>
      <w:numFmt w:val="bullet"/>
      <w:lvlText w:val=""/>
      <w:lvlJc w:val="left"/>
      <w:pPr>
        <w:tabs>
          <w:tab w:val="num" w:pos="4320"/>
        </w:tabs>
        <w:ind w:left="4320" w:hanging="360"/>
      </w:pPr>
      <w:rPr>
        <w:rFonts w:ascii="Wingdings" w:hAnsi="Wingdings" w:hint="default"/>
      </w:rPr>
    </w:lvl>
    <w:lvl w:ilvl="6" w:tplc="7BFCFD3A" w:tentative="1">
      <w:start w:val="1"/>
      <w:numFmt w:val="bullet"/>
      <w:lvlText w:val=""/>
      <w:lvlJc w:val="left"/>
      <w:pPr>
        <w:tabs>
          <w:tab w:val="num" w:pos="5040"/>
        </w:tabs>
        <w:ind w:left="5040" w:hanging="360"/>
      </w:pPr>
      <w:rPr>
        <w:rFonts w:ascii="Symbol" w:hAnsi="Symbol" w:hint="default"/>
      </w:rPr>
    </w:lvl>
    <w:lvl w:ilvl="7" w:tplc="3C0E62F6" w:tentative="1">
      <w:start w:val="1"/>
      <w:numFmt w:val="bullet"/>
      <w:lvlText w:val="o"/>
      <w:lvlJc w:val="left"/>
      <w:pPr>
        <w:tabs>
          <w:tab w:val="num" w:pos="5760"/>
        </w:tabs>
        <w:ind w:left="5760" w:hanging="360"/>
      </w:pPr>
      <w:rPr>
        <w:rFonts w:ascii="Courier New" w:hAnsi="Courier New" w:hint="default"/>
      </w:rPr>
    </w:lvl>
    <w:lvl w:ilvl="8" w:tplc="0BC4CF9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21" w15:restartNumberingAfterBreak="0">
    <w:nsid w:val="6F4B5D6A"/>
    <w:multiLevelType w:val="multilevel"/>
    <w:tmpl w:val="28A8F7F4"/>
    <w:lvl w:ilvl="0">
      <w:start w:val="1"/>
      <w:numFmt w:val="decimal"/>
      <w:lvlText w:val="%1."/>
      <w:lvlJc w:val="left"/>
      <w:pPr>
        <w:tabs>
          <w:tab w:val="num" w:pos="567"/>
        </w:tabs>
        <w:ind w:left="567" w:hanging="567"/>
      </w:pPr>
      <w:rPr>
        <w:rFonts w:ascii="Imago" w:hAnsi="Imago" w:hint="default"/>
        <w:b/>
        <w:i w:val="0"/>
        <w:sz w:val="20"/>
        <w:szCs w:val="20"/>
      </w:rPr>
    </w:lvl>
    <w:lvl w:ilvl="1">
      <w:start w:val="1"/>
      <w:numFmt w:val="decimal"/>
      <w:lvlText w:val="%1.%2"/>
      <w:lvlJc w:val="left"/>
      <w:pPr>
        <w:tabs>
          <w:tab w:val="num" w:pos="567"/>
        </w:tabs>
        <w:ind w:left="567" w:hanging="567"/>
      </w:pPr>
      <w:rPr>
        <w:rFonts w:ascii="Imago" w:hAnsi="Imago" w:hint="default"/>
        <w:b/>
        <w:i w:val="0"/>
        <w:sz w:val="20"/>
        <w:szCs w:val="20"/>
      </w:rPr>
    </w:lvl>
    <w:lvl w:ilvl="2">
      <w:start w:val="1"/>
      <w:numFmt w:val="lowerLetter"/>
      <w:lvlText w:val="(%3)"/>
      <w:lvlJc w:val="left"/>
      <w:pPr>
        <w:tabs>
          <w:tab w:val="num" w:pos="992"/>
        </w:tabs>
        <w:ind w:left="992" w:hanging="425"/>
      </w:pPr>
      <w:rPr>
        <w:rFonts w:ascii="Times New Roman" w:hAnsi="Times New Roman" w:cs="Times New Roman"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abstractNumId w:val="10"/>
  </w:num>
  <w:num w:numId="2">
    <w:abstractNumId w:val="20"/>
  </w:num>
  <w:num w:numId="3">
    <w:abstractNumId w:val="2"/>
  </w:num>
  <w:num w:numId="4">
    <w:abstractNumId w:val="14"/>
  </w:num>
  <w:num w:numId="5">
    <w:abstractNumId w:val="8"/>
  </w:num>
  <w:num w:numId="6">
    <w:abstractNumId w:val="15"/>
  </w:num>
  <w:num w:numId="7">
    <w:abstractNumId w:val="19"/>
  </w:num>
  <w:num w:numId="8">
    <w:abstractNumId w:val="11"/>
  </w:num>
  <w:num w:numId="9">
    <w:abstractNumId w:val="18"/>
  </w:num>
  <w:num w:numId="10">
    <w:abstractNumId w:val="3"/>
  </w:num>
  <w:num w:numId="11">
    <w:abstractNumId w:val="17"/>
  </w:num>
  <w:num w:numId="12">
    <w:abstractNumId w:val="1"/>
  </w:num>
  <w:num w:numId="13">
    <w:abstractNumId w:val="0"/>
  </w:num>
  <w:num w:numId="14">
    <w:abstractNumId w:val="9"/>
  </w:num>
  <w:num w:numId="15">
    <w:abstractNumId w:val="16"/>
  </w:num>
  <w:num w:numId="16">
    <w:abstractNumId w:val="12"/>
    <w:lvlOverride w:ilvl="0">
      <w:lvl w:ilvl="0">
        <w:start w:val="1"/>
        <w:numFmt w:val="decimal"/>
        <w:pStyle w:val="CMSANParties"/>
        <w:lvlText w:val="(%1)"/>
        <w:lvlJc w:val="left"/>
        <w:pPr>
          <w:tabs>
            <w:tab w:val="num" w:pos="851"/>
          </w:tabs>
          <w:ind w:left="851" w:hanging="851"/>
        </w:pPr>
        <w:rPr>
          <w:rFonts w:hint="default"/>
          <w:b w:val="0"/>
        </w:rPr>
      </w:lvl>
    </w:lvlOverride>
  </w:num>
  <w:num w:numId="17">
    <w:abstractNumId w:val="12"/>
  </w:num>
  <w:num w:numId="18">
    <w:abstractNumId w:val="21"/>
  </w:num>
  <w:num w:numId="19">
    <w:abstractNumId w:val="4"/>
  </w:num>
  <w:num w:numId="20">
    <w:abstractNumId w:val="6"/>
  </w:num>
  <w:num w:numId="21">
    <w:abstractNumId w:val="13"/>
  </w:num>
  <w:num w:numId="22">
    <w:abstractNumId w:val="7"/>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F7"/>
    <w:rsid w:val="00013C05"/>
    <w:rsid w:val="00020E4A"/>
    <w:rsid w:val="00020F68"/>
    <w:rsid w:val="000322EF"/>
    <w:rsid w:val="000331F7"/>
    <w:rsid w:val="00040209"/>
    <w:rsid w:val="00073114"/>
    <w:rsid w:val="00074AB1"/>
    <w:rsid w:val="00081E58"/>
    <w:rsid w:val="00085A74"/>
    <w:rsid w:val="000972F3"/>
    <w:rsid w:val="000A5058"/>
    <w:rsid w:val="000B278D"/>
    <w:rsid w:val="000B77FD"/>
    <w:rsid w:val="000C2C88"/>
    <w:rsid w:val="000E25FB"/>
    <w:rsid w:val="000E49F4"/>
    <w:rsid w:val="000E65E2"/>
    <w:rsid w:val="000E7866"/>
    <w:rsid w:val="000F012C"/>
    <w:rsid w:val="000F4BB0"/>
    <w:rsid w:val="00100199"/>
    <w:rsid w:val="00111101"/>
    <w:rsid w:val="00111E17"/>
    <w:rsid w:val="00131962"/>
    <w:rsid w:val="00134BE0"/>
    <w:rsid w:val="00144472"/>
    <w:rsid w:val="00173EB2"/>
    <w:rsid w:val="00181C22"/>
    <w:rsid w:val="001833AE"/>
    <w:rsid w:val="0018533F"/>
    <w:rsid w:val="00192010"/>
    <w:rsid w:val="001932E2"/>
    <w:rsid w:val="00196FFD"/>
    <w:rsid w:val="001C0534"/>
    <w:rsid w:val="001C237B"/>
    <w:rsid w:val="001C33AF"/>
    <w:rsid w:val="001C7C75"/>
    <w:rsid w:val="001D11D5"/>
    <w:rsid w:val="001D4E12"/>
    <w:rsid w:val="001E7A1A"/>
    <w:rsid w:val="00203235"/>
    <w:rsid w:val="00205551"/>
    <w:rsid w:val="00205BD3"/>
    <w:rsid w:val="00226945"/>
    <w:rsid w:val="00251C0F"/>
    <w:rsid w:val="00253605"/>
    <w:rsid w:val="002573E6"/>
    <w:rsid w:val="00285768"/>
    <w:rsid w:val="00286FE8"/>
    <w:rsid w:val="00287B0C"/>
    <w:rsid w:val="002A2EB1"/>
    <w:rsid w:val="002A3820"/>
    <w:rsid w:val="002B3404"/>
    <w:rsid w:val="002B35CE"/>
    <w:rsid w:val="002C465F"/>
    <w:rsid w:val="002D3649"/>
    <w:rsid w:val="002D63C2"/>
    <w:rsid w:val="002D6E31"/>
    <w:rsid w:val="002D784A"/>
    <w:rsid w:val="002E0B11"/>
    <w:rsid w:val="002E2859"/>
    <w:rsid w:val="002E668A"/>
    <w:rsid w:val="002F0370"/>
    <w:rsid w:val="00300A08"/>
    <w:rsid w:val="00343DCA"/>
    <w:rsid w:val="00344AF6"/>
    <w:rsid w:val="00345BF9"/>
    <w:rsid w:val="0034662E"/>
    <w:rsid w:val="00356ACF"/>
    <w:rsid w:val="0036119E"/>
    <w:rsid w:val="00365719"/>
    <w:rsid w:val="00370F94"/>
    <w:rsid w:val="00372825"/>
    <w:rsid w:val="003A6959"/>
    <w:rsid w:val="003B488B"/>
    <w:rsid w:val="003C14ED"/>
    <w:rsid w:val="003C7FB9"/>
    <w:rsid w:val="003D21C7"/>
    <w:rsid w:val="003E5B59"/>
    <w:rsid w:val="003E7EF9"/>
    <w:rsid w:val="003F712B"/>
    <w:rsid w:val="00423FB7"/>
    <w:rsid w:val="00454D5C"/>
    <w:rsid w:val="00455267"/>
    <w:rsid w:val="0052070E"/>
    <w:rsid w:val="00533CAB"/>
    <w:rsid w:val="0054341A"/>
    <w:rsid w:val="00544B42"/>
    <w:rsid w:val="0055411C"/>
    <w:rsid w:val="00570B61"/>
    <w:rsid w:val="005742A5"/>
    <w:rsid w:val="005814E7"/>
    <w:rsid w:val="00587542"/>
    <w:rsid w:val="0059584B"/>
    <w:rsid w:val="005C2197"/>
    <w:rsid w:val="005C4396"/>
    <w:rsid w:val="005D39FC"/>
    <w:rsid w:val="005D52B3"/>
    <w:rsid w:val="005D6C31"/>
    <w:rsid w:val="006015F5"/>
    <w:rsid w:val="00607300"/>
    <w:rsid w:val="006114E5"/>
    <w:rsid w:val="006256FA"/>
    <w:rsid w:val="00635322"/>
    <w:rsid w:val="00641AE5"/>
    <w:rsid w:val="00646B17"/>
    <w:rsid w:val="006540D8"/>
    <w:rsid w:val="00670E60"/>
    <w:rsid w:val="00673600"/>
    <w:rsid w:val="00676A6C"/>
    <w:rsid w:val="00692DC0"/>
    <w:rsid w:val="00693E4D"/>
    <w:rsid w:val="006966B1"/>
    <w:rsid w:val="006A045B"/>
    <w:rsid w:val="006A7702"/>
    <w:rsid w:val="006C26A6"/>
    <w:rsid w:val="006D01B0"/>
    <w:rsid w:val="006D7F07"/>
    <w:rsid w:val="006E34DD"/>
    <w:rsid w:val="00701139"/>
    <w:rsid w:val="0070623A"/>
    <w:rsid w:val="00713D3E"/>
    <w:rsid w:val="00715390"/>
    <w:rsid w:val="0071588A"/>
    <w:rsid w:val="00747160"/>
    <w:rsid w:val="0078106A"/>
    <w:rsid w:val="00783C1F"/>
    <w:rsid w:val="007955CA"/>
    <w:rsid w:val="007A53CE"/>
    <w:rsid w:val="007B02DE"/>
    <w:rsid w:val="007B7A4D"/>
    <w:rsid w:val="007C63BD"/>
    <w:rsid w:val="007D29A6"/>
    <w:rsid w:val="007D680F"/>
    <w:rsid w:val="007D751D"/>
    <w:rsid w:val="007E4669"/>
    <w:rsid w:val="007F2F51"/>
    <w:rsid w:val="007F41F5"/>
    <w:rsid w:val="008139F0"/>
    <w:rsid w:val="00816836"/>
    <w:rsid w:val="008313AB"/>
    <w:rsid w:val="008421DF"/>
    <w:rsid w:val="0084522E"/>
    <w:rsid w:val="00853FA2"/>
    <w:rsid w:val="00860525"/>
    <w:rsid w:val="008633D0"/>
    <w:rsid w:val="00864CCF"/>
    <w:rsid w:val="00883A95"/>
    <w:rsid w:val="008C779E"/>
    <w:rsid w:val="008E2D03"/>
    <w:rsid w:val="0092461A"/>
    <w:rsid w:val="00930AF9"/>
    <w:rsid w:val="00930C38"/>
    <w:rsid w:val="009360F5"/>
    <w:rsid w:val="00937415"/>
    <w:rsid w:val="00937D98"/>
    <w:rsid w:val="00941016"/>
    <w:rsid w:val="00941DA8"/>
    <w:rsid w:val="009460B1"/>
    <w:rsid w:val="0095062D"/>
    <w:rsid w:val="00960A0B"/>
    <w:rsid w:val="00972EA6"/>
    <w:rsid w:val="009A3EDD"/>
    <w:rsid w:val="009B1545"/>
    <w:rsid w:val="009C2E3A"/>
    <w:rsid w:val="009E6770"/>
    <w:rsid w:val="009E7DBC"/>
    <w:rsid w:val="009F0CAF"/>
    <w:rsid w:val="009F6170"/>
    <w:rsid w:val="009F6601"/>
    <w:rsid w:val="00A03B37"/>
    <w:rsid w:val="00A055A7"/>
    <w:rsid w:val="00A0791F"/>
    <w:rsid w:val="00A161E1"/>
    <w:rsid w:val="00A23602"/>
    <w:rsid w:val="00A2588D"/>
    <w:rsid w:val="00A50A3F"/>
    <w:rsid w:val="00A64CF0"/>
    <w:rsid w:val="00A82BA1"/>
    <w:rsid w:val="00AA2E9D"/>
    <w:rsid w:val="00AA7706"/>
    <w:rsid w:val="00AB23DB"/>
    <w:rsid w:val="00AF2193"/>
    <w:rsid w:val="00B04B68"/>
    <w:rsid w:val="00B10AB2"/>
    <w:rsid w:val="00B10DF9"/>
    <w:rsid w:val="00B14D87"/>
    <w:rsid w:val="00B16CE1"/>
    <w:rsid w:val="00B173A0"/>
    <w:rsid w:val="00B174C7"/>
    <w:rsid w:val="00B21502"/>
    <w:rsid w:val="00B23D67"/>
    <w:rsid w:val="00B5305A"/>
    <w:rsid w:val="00B677FC"/>
    <w:rsid w:val="00B704C4"/>
    <w:rsid w:val="00B71B0D"/>
    <w:rsid w:val="00B76CF4"/>
    <w:rsid w:val="00B80DB9"/>
    <w:rsid w:val="00B833FC"/>
    <w:rsid w:val="00B85089"/>
    <w:rsid w:val="00B9153E"/>
    <w:rsid w:val="00BB7A49"/>
    <w:rsid w:val="00BE7F67"/>
    <w:rsid w:val="00BE7FF5"/>
    <w:rsid w:val="00BF3CD2"/>
    <w:rsid w:val="00C10483"/>
    <w:rsid w:val="00C32529"/>
    <w:rsid w:val="00C3443D"/>
    <w:rsid w:val="00C35011"/>
    <w:rsid w:val="00C404DC"/>
    <w:rsid w:val="00C4666C"/>
    <w:rsid w:val="00C51AEE"/>
    <w:rsid w:val="00C60765"/>
    <w:rsid w:val="00C654B6"/>
    <w:rsid w:val="00C86BA8"/>
    <w:rsid w:val="00C95AC8"/>
    <w:rsid w:val="00CC7973"/>
    <w:rsid w:val="00CD51D2"/>
    <w:rsid w:val="00CD5CFB"/>
    <w:rsid w:val="00D0181B"/>
    <w:rsid w:val="00D01E22"/>
    <w:rsid w:val="00D056FE"/>
    <w:rsid w:val="00D22EFC"/>
    <w:rsid w:val="00D23DF1"/>
    <w:rsid w:val="00D27BF6"/>
    <w:rsid w:val="00D301CB"/>
    <w:rsid w:val="00D32FAB"/>
    <w:rsid w:val="00D36F86"/>
    <w:rsid w:val="00D52249"/>
    <w:rsid w:val="00D52A99"/>
    <w:rsid w:val="00D55699"/>
    <w:rsid w:val="00D57569"/>
    <w:rsid w:val="00D606A9"/>
    <w:rsid w:val="00D616CD"/>
    <w:rsid w:val="00D639E9"/>
    <w:rsid w:val="00D73738"/>
    <w:rsid w:val="00DB2827"/>
    <w:rsid w:val="00DC3BB7"/>
    <w:rsid w:val="00DC4F7F"/>
    <w:rsid w:val="00DD64CD"/>
    <w:rsid w:val="00DD6F97"/>
    <w:rsid w:val="00DE6953"/>
    <w:rsid w:val="00DF5FEB"/>
    <w:rsid w:val="00E06B0F"/>
    <w:rsid w:val="00E142DB"/>
    <w:rsid w:val="00E17519"/>
    <w:rsid w:val="00E17651"/>
    <w:rsid w:val="00E211CE"/>
    <w:rsid w:val="00E21356"/>
    <w:rsid w:val="00E270D0"/>
    <w:rsid w:val="00E33F12"/>
    <w:rsid w:val="00E377E6"/>
    <w:rsid w:val="00E40A49"/>
    <w:rsid w:val="00E46EC6"/>
    <w:rsid w:val="00E602D8"/>
    <w:rsid w:val="00E6566A"/>
    <w:rsid w:val="00E6569B"/>
    <w:rsid w:val="00E77469"/>
    <w:rsid w:val="00E8615D"/>
    <w:rsid w:val="00E874EE"/>
    <w:rsid w:val="00EA0C48"/>
    <w:rsid w:val="00EA10B3"/>
    <w:rsid w:val="00EB32BE"/>
    <w:rsid w:val="00EB6111"/>
    <w:rsid w:val="00EC5A94"/>
    <w:rsid w:val="00ED1AD9"/>
    <w:rsid w:val="00ED38A7"/>
    <w:rsid w:val="00ED7179"/>
    <w:rsid w:val="00EE4DB1"/>
    <w:rsid w:val="00EF3006"/>
    <w:rsid w:val="00F07B6B"/>
    <w:rsid w:val="00F1128D"/>
    <w:rsid w:val="00F16B55"/>
    <w:rsid w:val="00F20036"/>
    <w:rsid w:val="00F22426"/>
    <w:rsid w:val="00F269EC"/>
    <w:rsid w:val="00F304FB"/>
    <w:rsid w:val="00F46BFA"/>
    <w:rsid w:val="00F47E11"/>
    <w:rsid w:val="00F53F7A"/>
    <w:rsid w:val="00F65CE7"/>
    <w:rsid w:val="00F8396B"/>
    <w:rsid w:val="00F8439F"/>
    <w:rsid w:val="00FA32B7"/>
    <w:rsid w:val="00FA4842"/>
    <w:rsid w:val="00FB055C"/>
    <w:rsid w:val="00FB4C95"/>
    <w:rsid w:val="00FB5CD4"/>
    <w:rsid w:val="00FB7969"/>
    <w:rsid w:val="00FD7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4A6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2"/>
      <w:szCs w:val="24"/>
      <w:lang w:val="en-GB" w:eastAsia="en-US"/>
    </w:rPr>
  </w:style>
  <w:style w:type="paragraph" w:styleId="Nadpis1">
    <w:name w:val="heading 1"/>
    <w:aliases w:val="_Nadpis 1,Hoofdstukkop,Section Heading,H1,Základní kapitola,Článek,No numbers,Clause,Kapitola,V_Head1,Záhlaví 1,ASAPHeading 1,1,section,0Überschrift 1,1Überschrift 1,2Überschrift 1,3Überschrift 1,4Überschrift 1,5Überschrift 1,6Überschrift 1"/>
    <w:basedOn w:val="Normln"/>
    <w:next w:val="Nadpis2"/>
    <w:qFormat/>
    <w:pPr>
      <w:keepNext/>
      <w:pageBreakBefore/>
      <w:numPr>
        <w:numId w:val="3"/>
      </w:numPr>
      <w:spacing w:before="240" w:after="240"/>
      <w:jc w:val="center"/>
      <w:outlineLvl w:val="0"/>
    </w:pPr>
    <w:rPr>
      <w:b/>
      <w:sz w:val="28"/>
    </w:rPr>
  </w:style>
  <w:style w:type="paragraph" w:styleId="Nadpis2">
    <w:name w:val="heading 2"/>
    <w:basedOn w:val="Normln"/>
    <w:next w:val="Nadpis3"/>
    <w:qFormat/>
    <w:pPr>
      <w:keepNext/>
      <w:numPr>
        <w:ilvl w:val="1"/>
        <w:numId w:val="3"/>
      </w:numPr>
      <w:spacing w:before="240" w:after="240"/>
      <w:outlineLvl w:val="1"/>
    </w:pPr>
    <w:rPr>
      <w:b/>
    </w:rPr>
  </w:style>
  <w:style w:type="paragraph" w:styleId="Nadpis3">
    <w:name w:val="heading 3"/>
    <w:basedOn w:val="Normln"/>
    <w:qFormat/>
    <w:pPr>
      <w:numPr>
        <w:ilvl w:val="2"/>
        <w:numId w:val="3"/>
      </w:numPr>
      <w:spacing w:after="240"/>
      <w:outlineLvl w:val="2"/>
    </w:pPr>
  </w:style>
  <w:style w:type="paragraph" w:styleId="Nadpis4">
    <w:name w:val="heading 4"/>
    <w:basedOn w:val="Normln"/>
    <w:qFormat/>
    <w:pPr>
      <w:numPr>
        <w:ilvl w:val="3"/>
        <w:numId w:val="3"/>
      </w:numPr>
      <w:spacing w:after="240"/>
      <w:ind w:left="1702" w:hanging="851"/>
      <w:outlineLvl w:val="3"/>
    </w:pPr>
  </w:style>
  <w:style w:type="paragraph" w:styleId="Nadpis5">
    <w:name w:val="heading 5"/>
    <w:basedOn w:val="Normln"/>
    <w:qFormat/>
    <w:pPr>
      <w:numPr>
        <w:ilvl w:val="4"/>
        <w:numId w:val="3"/>
      </w:numPr>
      <w:spacing w:after="240"/>
      <w:outlineLvl w:val="4"/>
    </w:pPr>
  </w:style>
  <w:style w:type="paragraph" w:styleId="Nadpis6">
    <w:name w:val="heading 6"/>
    <w:basedOn w:val="Normln"/>
    <w:qFormat/>
    <w:pPr>
      <w:numPr>
        <w:ilvl w:val="5"/>
        <w:numId w:val="3"/>
      </w:numPr>
      <w:spacing w:after="240"/>
      <w:ind w:left="3403" w:hanging="851"/>
      <w:outlineLvl w:val="5"/>
    </w:pPr>
  </w:style>
  <w:style w:type="paragraph" w:styleId="Nadpis7">
    <w:name w:val="heading 7"/>
    <w:basedOn w:val="Normln"/>
    <w:qFormat/>
    <w:pPr>
      <w:numPr>
        <w:ilvl w:val="6"/>
        <w:numId w:val="3"/>
      </w:numPr>
      <w:spacing w:after="240"/>
      <w:outlineLvl w:val="6"/>
    </w:pPr>
  </w:style>
  <w:style w:type="paragraph" w:styleId="Nadpis8">
    <w:name w:val="heading 8"/>
    <w:basedOn w:val="Normln"/>
    <w:qFormat/>
    <w:pPr>
      <w:numPr>
        <w:ilvl w:val="7"/>
        <w:numId w:val="3"/>
      </w:numPr>
      <w:spacing w:after="240"/>
      <w:ind w:left="1702" w:hanging="851"/>
      <w:outlineLvl w:val="7"/>
    </w:pPr>
  </w:style>
  <w:style w:type="paragraph" w:styleId="Nadpis9">
    <w:name w:val="heading 9"/>
    <w:basedOn w:val="Normln"/>
    <w:qFormat/>
    <w:pPr>
      <w:numPr>
        <w:ilvl w:val="8"/>
        <w:numId w:val="3"/>
      </w:numPr>
      <w:spacing w:after="24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rPr>
      <w:sz w:val="22"/>
      <w:lang w:val="en-GB" w:eastAsia="en-US"/>
    </w:rPr>
  </w:style>
  <w:style w:type="paragraph" w:styleId="Zpat">
    <w:name w:val="footer"/>
    <w:rPr>
      <w:lang w:val="en-GB" w:eastAsia="en-US"/>
    </w:rPr>
  </w:style>
  <w:style w:type="paragraph" w:customStyle="1" w:styleId="LogoCaption">
    <w:name w:val="Logo Caption"/>
    <w:basedOn w:val="Zhlav"/>
    <w:next w:val="Normln"/>
    <w:rPr>
      <w:sz w:val="13"/>
    </w:rPr>
  </w:style>
  <w:style w:type="paragraph" w:customStyle="1" w:styleId="HeadMinimalSpacer">
    <w:name w:val="Head Minimal Spacer"/>
    <w:basedOn w:val="Zhlav"/>
    <w:rPr>
      <w:color w:val="FFFFFF"/>
      <w:sz w:val="2"/>
    </w:rPr>
  </w:style>
  <w:style w:type="paragraph" w:customStyle="1" w:styleId="AddressInfo">
    <w:name w:val="AddressInfo"/>
    <w:basedOn w:val="Normln"/>
    <w:pPr>
      <w:tabs>
        <w:tab w:val="left" w:pos="284"/>
        <w:tab w:val="left" w:pos="454"/>
        <w:tab w:val="left" w:pos="624"/>
        <w:tab w:val="left" w:pos="794"/>
        <w:tab w:val="left" w:pos="964"/>
        <w:tab w:val="left" w:pos="1134"/>
      </w:tabs>
      <w:spacing w:line="264" w:lineRule="auto"/>
    </w:pPr>
    <w:rPr>
      <w:rFonts w:ascii="Arial" w:hAnsi="Arial"/>
      <w:noProof/>
      <w:sz w:val="17"/>
    </w:rPr>
  </w:style>
  <w:style w:type="paragraph" w:customStyle="1" w:styleId="AddressInfoBold">
    <w:name w:val="AddressInfo Bold"/>
    <w:basedOn w:val="Normln"/>
    <w:rPr>
      <w:rFonts w:ascii="Arial" w:hAnsi="Arial"/>
      <w:b/>
      <w:noProof/>
      <w:sz w:val="17"/>
    </w:rPr>
  </w:style>
  <w:style w:type="paragraph" w:styleId="Zkladntext">
    <w:name w:val="Body Text"/>
    <w:aliases w:val="b"/>
    <w:basedOn w:val="Normln"/>
    <w:link w:val="ZkladntextChar"/>
    <w:pPr>
      <w:spacing w:after="240"/>
    </w:pPr>
  </w:style>
  <w:style w:type="paragraph" w:styleId="Titulek">
    <w:name w:val="caption"/>
    <w:basedOn w:val="Normln"/>
    <w:next w:val="Normln"/>
    <w:qFormat/>
    <w:pPr>
      <w:spacing w:before="120" w:after="120"/>
    </w:pPr>
    <w:rPr>
      <w:b/>
      <w:bCs/>
      <w:szCs w:val="20"/>
    </w:rPr>
  </w:style>
  <w:style w:type="paragraph" w:customStyle="1" w:styleId="clauseindent">
    <w:name w:val="clauseindent"/>
    <w:basedOn w:val="Normln"/>
    <w:pPr>
      <w:spacing w:after="240"/>
      <w:ind w:left="851"/>
    </w:pPr>
  </w:style>
  <w:style w:type="paragraph" w:styleId="Zvr">
    <w:name w:val="Closing"/>
    <w:basedOn w:val="Normln"/>
  </w:style>
  <w:style w:type="paragraph" w:customStyle="1" w:styleId="CMSHeadL1">
    <w:name w:val="CMS Head L1"/>
    <w:basedOn w:val="Normln"/>
    <w:next w:val="CMSHeadL2"/>
    <w:pPr>
      <w:pageBreakBefore/>
      <w:numPr>
        <w:numId w:val="1"/>
      </w:numPr>
      <w:spacing w:before="240" w:after="240"/>
      <w:jc w:val="center"/>
      <w:outlineLvl w:val="0"/>
    </w:pPr>
    <w:rPr>
      <w:b/>
      <w:sz w:val="28"/>
    </w:rPr>
  </w:style>
  <w:style w:type="paragraph" w:customStyle="1" w:styleId="CMSHeadL2">
    <w:name w:val="CMS Head L2"/>
    <w:basedOn w:val="Normln"/>
    <w:next w:val="CMSHeadL3"/>
    <w:pPr>
      <w:keepNext/>
      <w:keepLines/>
      <w:numPr>
        <w:ilvl w:val="1"/>
        <w:numId w:val="1"/>
      </w:numPr>
      <w:spacing w:before="240" w:after="240"/>
      <w:outlineLvl w:val="1"/>
    </w:pPr>
    <w:rPr>
      <w:b/>
    </w:rPr>
  </w:style>
  <w:style w:type="paragraph" w:customStyle="1" w:styleId="CMSHeadL3">
    <w:name w:val="CMS Head L3"/>
    <w:basedOn w:val="Normln"/>
    <w:link w:val="CMSHeadL3Char"/>
    <w:pPr>
      <w:numPr>
        <w:ilvl w:val="2"/>
        <w:numId w:val="1"/>
      </w:numPr>
      <w:spacing w:after="240"/>
      <w:outlineLvl w:val="2"/>
    </w:pPr>
  </w:style>
  <w:style w:type="paragraph" w:customStyle="1" w:styleId="CMSHeadL4">
    <w:name w:val="CMS Head L4"/>
    <w:basedOn w:val="Normln"/>
    <w:pPr>
      <w:numPr>
        <w:ilvl w:val="3"/>
        <w:numId w:val="1"/>
      </w:numPr>
      <w:spacing w:after="240"/>
      <w:outlineLvl w:val="3"/>
    </w:pPr>
  </w:style>
  <w:style w:type="paragraph" w:customStyle="1" w:styleId="CMSHeadL5">
    <w:name w:val="CMS Head L5"/>
    <w:basedOn w:val="Normln"/>
    <w:pPr>
      <w:numPr>
        <w:ilvl w:val="4"/>
        <w:numId w:val="1"/>
      </w:numPr>
      <w:spacing w:after="240"/>
      <w:outlineLvl w:val="4"/>
    </w:pPr>
  </w:style>
  <w:style w:type="paragraph" w:customStyle="1" w:styleId="CMSHeadL6">
    <w:name w:val="CMS Head L6"/>
    <w:basedOn w:val="Normln"/>
    <w:pPr>
      <w:numPr>
        <w:ilvl w:val="5"/>
        <w:numId w:val="1"/>
      </w:numPr>
      <w:spacing w:after="240"/>
      <w:outlineLvl w:val="5"/>
    </w:pPr>
  </w:style>
  <w:style w:type="paragraph" w:customStyle="1" w:styleId="CMSHeadL7">
    <w:name w:val="CMS Head L7"/>
    <w:basedOn w:val="Normln"/>
    <w:pPr>
      <w:numPr>
        <w:ilvl w:val="6"/>
        <w:numId w:val="1"/>
      </w:numPr>
      <w:spacing w:after="240"/>
      <w:outlineLvl w:val="6"/>
    </w:pPr>
  </w:style>
  <w:style w:type="paragraph" w:customStyle="1" w:styleId="CMSHeadL8">
    <w:name w:val="CMS Head L8"/>
    <w:basedOn w:val="Normln"/>
    <w:pPr>
      <w:numPr>
        <w:ilvl w:val="7"/>
        <w:numId w:val="1"/>
      </w:numPr>
      <w:spacing w:after="240"/>
      <w:outlineLvl w:val="7"/>
    </w:pPr>
  </w:style>
  <w:style w:type="paragraph" w:customStyle="1" w:styleId="CMSHeadL9">
    <w:name w:val="CMS Head L9"/>
    <w:basedOn w:val="Normln"/>
    <w:pPr>
      <w:numPr>
        <w:ilvl w:val="8"/>
        <w:numId w:val="1"/>
      </w:numPr>
      <w:spacing w:after="240"/>
      <w:outlineLvl w:val="8"/>
    </w:pPr>
  </w:style>
  <w:style w:type="paragraph" w:customStyle="1" w:styleId="CMSIndentL3">
    <w:name w:val="CMS Indent L3"/>
    <w:basedOn w:val="Normln"/>
    <w:pPr>
      <w:spacing w:after="240"/>
      <w:ind w:left="851"/>
    </w:pPr>
  </w:style>
  <w:style w:type="paragraph" w:customStyle="1" w:styleId="CMSIndentL4">
    <w:name w:val="CMS Indent L4"/>
    <w:basedOn w:val="Normln"/>
    <w:pPr>
      <w:spacing w:after="240"/>
      <w:ind w:left="1701"/>
    </w:pPr>
  </w:style>
  <w:style w:type="paragraph" w:customStyle="1" w:styleId="CMSIndentL5">
    <w:name w:val="CMS Indent L5"/>
    <w:basedOn w:val="Normln"/>
    <w:pPr>
      <w:spacing w:after="240"/>
      <w:ind w:left="2552"/>
    </w:pPr>
  </w:style>
  <w:style w:type="paragraph" w:customStyle="1" w:styleId="CMSIndentL6">
    <w:name w:val="CMS Indent L6"/>
    <w:basedOn w:val="Normln"/>
    <w:pPr>
      <w:spacing w:after="240"/>
      <w:ind w:left="3402"/>
    </w:pPr>
  </w:style>
  <w:style w:type="paragraph" w:customStyle="1" w:styleId="CMSNormalHighlight">
    <w:name w:val="CMS Normal Highlight"/>
    <w:basedOn w:val="Normln"/>
    <w:next w:val="Normln"/>
    <w:pPr>
      <w:shd w:val="clear" w:color="auto" w:fill="00FF00"/>
      <w:spacing w:before="240" w:after="240"/>
    </w:pPr>
    <w:rPr>
      <w:b/>
      <w:color w:val="000000"/>
    </w:rPr>
  </w:style>
  <w:style w:type="paragraph" w:customStyle="1" w:styleId="CMSSchL1">
    <w:name w:val="CMS Sch L1"/>
    <w:basedOn w:val="Normln"/>
    <w:next w:val="CMSSchPart"/>
    <w:pPr>
      <w:keepNext/>
      <w:pageBreakBefore/>
      <w:numPr>
        <w:numId w:val="2"/>
      </w:numPr>
      <w:spacing w:before="240" w:after="240"/>
      <w:jc w:val="center"/>
      <w:outlineLvl w:val="0"/>
    </w:pPr>
    <w:rPr>
      <w:b/>
      <w:sz w:val="28"/>
    </w:rPr>
  </w:style>
  <w:style w:type="paragraph" w:customStyle="1" w:styleId="CMSSchPart">
    <w:name w:val="CMS Sch Part"/>
    <w:basedOn w:val="Normln"/>
    <w:next w:val="CMSSchL2"/>
    <w:pPr>
      <w:spacing w:after="240"/>
      <w:jc w:val="center"/>
      <w:outlineLvl w:val="0"/>
    </w:pPr>
    <w:rPr>
      <w:b/>
    </w:rPr>
  </w:style>
  <w:style w:type="paragraph" w:customStyle="1" w:styleId="CMSSchL2">
    <w:name w:val="CMS Sch L2"/>
    <w:basedOn w:val="Normln"/>
    <w:next w:val="CMSSchL3"/>
    <w:pPr>
      <w:numPr>
        <w:ilvl w:val="1"/>
        <w:numId w:val="2"/>
      </w:numPr>
      <w:tabs>
        <w:tab w:val="clear" w:pos="0"/>
      </w:tabs>
      <w:spacing w:before="240" w:after="240"/>
      <w:ind w:left="851" w:hanging="851"/>
      <w:outlineLvl w:val="1"/>
    </w:pPr>
  </w:style>
  <w:style w:type="paragraph" w:customStyle="1" w:styleId="CMSSchL3">
    <w:name w:val="CMS Sch L3"/>
    <w:basedOn w:val="Normln"/>
    <w:pPr>
      <w:numPr>
        <w:ilvl w:val="2"/>
        <w:numId w:val="2"/>
      </w:numPr>
      <w:spacing w:after="240"/>
      <w:ind w:left="851" w:hanging="851"/>
      <w:outlineLvl w:val="2"/>
    </w:pPr>
  </w:style>
  <w:style w:type="paragraph" w:customStyle="1" w:styleId="CMSSchL4">
    <w:name w:val="CMS Sch L4"/>
    <w:basedOn w:val="Normln"/>
    <w:pPr>
      <w:numPr>
        <w:ilvl w:val="3"/>
        <w:numId w:val="2"/>
      </w:numPr>
      <w:tabs>
        <w:tab w:val="clear" w:pos="0"/>
        <w:tab w:val="left" w:pos="1701"/>
      </w:tabs>
      <w:spacing w:after="240"/>
      <w:ind w:left="1702"/>
      <w:outlineLvl w:val="3"/>
    </w:pPr>
  </w:style>
  <w:style w:type="paragraph" w:customStyle="1" w:styleId="CMSSchL5">
    <w:name w:val="CMS Sch L5"/>
    <w:basedOn w:val="Normln"/>
    <w:pPr>
      <w:numPr>
        <w:ilvl w:val="4"/>
        <w:numId w:val="2"/>
      </w:numPr>
      <w:tabs>
        <w:tab w:val="clear" w:pos="0"/>
        <w:tab w:val="left" w:pos="2552"/>
      </w:tabs>
      <w:spacing w:after="240"/>
      <w:ind w:left="2552" w:hanging="851"/>
      <w:outlineLvl w:val="4"/>
    </w:pPr>
  </w:style>
  <w:style w:type="paragraph" w:customStyle="1" w:styleId="CMSSchL6">
    <w:name w:val="CMS Sch L6"/>
    <w:basedOn w:val="Normln"/>
    <w:pPr>
      <w:numPr>
        <w:ilvl w:val="5"/>
        <w:numId w:val="2"/>
      </w:numPr>
      <w:spacing w:after="240"/>
      <w:ind w:left="3403"/>
      <w:outlineLvl w:val="5"/>
    </w:pPr>
  </w:style>
  <w:style w:type="paragraph" w:customStyle="1" w:styleId="CMSSchL7">
    <w:name w:val="CMS Sch L7"/>
    <w:basedOn w:val="Normln"/>
    <w:pPr>
      <w:numPr>
        <w:ilvl w:val="6"/>
        <w:numId w:val="2"/>
      </w:numPr>
      <w:spacing w:after="240"/>
      <w:ind w:left="851"/>
      <w:outlineLvl w:val="6"/>
    </w:pPr>
  </w:style>
  <w:style w:type="paragraph" w:customStyle="1" w:styleId="CMSSchL8">
    <w:name w:val="CMS Sch L8"/>
    <w:basedOn w:val="Normln"/>
    <w:pPr>
      <w:numPr>
        <w:ilvl w:val="7"/>
        <w:numId w:val="2"/>
      </w:numPr>
      <w:spacing w:after="240"/>
      <w:ind w:left="1702"/>
      <w:outlineLvl w:val="7"/>
    </w:pPr>
  </w:style>
  <w:style w:type="paragraph" w:customStyle="1" w:styleId="CMSSchL9">
    <w:name w:val="CMS Sch L9"/>
    <w:basedOn w:val="Normln"/>
    <w:pPr>
      <w:numPr>
        <w:ilvl w:val="8"/>
        <w:numId w:val="2"/>
      </w:numPr>
      <w:spacing w:after="240"/>
      <w:ind w:left="2552" w:hanging="851"/>
      <w:outlineLvl w:val="8"/>
    </w:pPr>
  </w:style>
  <w:style w:type="paragraph" w:customStyle="1" w:styleId="CMSUnnumbered">
    <w:name w:val="CMS Unnumbered"/>
    <w:basedOn w:val="Normln"/>
    <w:pPr>
      <w:keepNext/>
      <w:keepLines/>
      <w:spacing w:after="240"/>
      <w:ind w:left="851"/>
    </w:pPr>
    <w:rPr>
      <w:b/>
      <w:i/>
    </w:rPr>
  </w:style>
  <w:style w:type="paragraph" w:customStyle="1" w:styleId="CMSFooter">
    <w:name w:val="CMSFooter"/>
    <w:basedOn w:val="Zpat"/>
    <w:pPr>
      <w:spacing w:before="90" w:line="180" w:lineRule="exact"/>
    </w:pPr>
    <w:rPr>
      <w:rFonts w:ascii="Arial" w:hAnsi="Arial"/>
      <w:noProof/>
      <w:sz w:val="13"/>
    </w:rPr>
  </w:style>
  <w:style w:type="paragraph" w:customStyle="1" w:styleId="CMSFooterBold">
    <w:name w:val="CMSFooter Bold"/>
    <w:basedOn w:val="Zpat"/>
    <w:pPr>
      <w:spacing w:before="90" w:line="180" w:lineRule="exact"/>
    </w:pPr>
    <w:rPr>
      <w:rFonts w:ascii="Arial" w:hAnsi="Arial"/>
      <w:b/>
      <w:noProof/>
      <w:sz w:val="13"/>
    </w:rPr>
  </w:style>
  <w:style w:type="character" w:styleId="Odkaznakoment">
    <w:name w:val="annotation reference"/>
    <w:semiHidden/>
    <w:rPr>
      <w:rFonts w:ascii="Times New Roman" w:hAnsi="Times New Roman"/>
      <w:sz w:val="22"/>
    </w:rPr>
  </w:style>
  <w:style w:type="paragraph" w:styleId="Textkomente">
    <w:name w:val="annotation text"/>
    <w:basedOn w:val="Normln"/>
    <w:semiHidden/>
    <w:rPr>
      <w:szCs w:val="20"/>
    </w:rPr>
  </w:style>
  <w:style w:type="paragraph" w:customStyle="1" w:styleId="CoverSheet1Party">
    <w:name w:val="CoverSheet (1) Party"/>
    <w:basedOn w:val="Normln"/>
    <w:pPr>
      <w:keepNext/>
      <w:spacing w:after="240"/>
    </w:pPr>
    <w:rPr>
      <w:rFonts w:eastAsia="SimSun"/>
      <w:b/>
      <w:sz w:val="28"/>
      <w:lang w:eastAsia="zh-CN"/>
    </w:rPr>
  </w:style>
  <w:style w:type="paragraph" w:customStyle="1" w:styleId="CoversheetAddress">
    <w:name w:val="Coversheet Address"/>
    <w:basedOn w:val="Normln"/>
    <w:pPr>
      <w:keepNext/>
      <w:jc w:val="center"/>
    </w:pPr>
    <w:rPr>
      <w:rFonts w:eastAsia="SimSun"/>
      <w:b/>
      <w:noProof/>
      <w:lang w:eastAsia="zh-CN"/>
    </w:rPr>
  </w:style>
  <w:style w:type="paragraph" w:customStyle="1" w:styleId="CoverSheetDate">
    <w:name w:val="CoverSheet Date"/>
    <w:basedOn w:val="Normln"/>
    <w:pPr>
      <w:keepNext/>
      <w:tabs>
        <w:tab w:val="right" w:pos="5387"/>
      </w:tabs>
    </w:pPr>
    <w:rPr>
      <w:rFonts w:eastAsia="SimSun"/>
      <w:b/>
      <w:lang w:eastAsia="zh-CN"/>
    </w:rPr>
  </w:style>
  <w:style w:type="paragraph" w:customStyle="1" w:styleId="CoverSheetParty">
    <w:name w:val="CoverSheet Party"/>
    <w:basedOn w:val="Normln"/>
    <w:pPr>
      <w:keepNext/>
      <w:spacing w:after="240"/>
      <w:jc w:val="center"/>
    </w:pPr>
    <w:rPr>
      <w:rFonts w:eastAsia="SimSun"/>
      <w:b/>
      <w:sz w:val="28"/>
      <w:lang w:eastAsia="zh-CN"/>
    </w:rPr>
  </w:style>
  <w:style w:type="paragraph" w:customStyle="1" w:styleId="CoverSheetTitle">
    <w:name w:val="CoverSheet Title"/>
    <w:basedOn w:val="Normln"/>
    <w:pPr>
      <w:keepNext/>
      <w:jc w:val="center"/>
    </w:pPr>
    <w:rPr>
      <w:rFonts w:eastAsia="SimSun"/>
      <w:b/>
      <w:sz w:val="28"/>
      <w:lang w:eastAsia="zh-CN"/>
    </w:rPr>
  </w:style>
  <w:style w:type="paragraph" w:styleId="Datum">
    <w:name w:val="Date"/>
    <w:basedOn w:val="Normln"/>
    <w:next w:val="Normln"/>
  </w:style>
  <w:style w:type="paragraph" w:customStyle="1" w:styleId="Definition">
    <w:name w:val="Definition"/>
    <w:basedOn w:val="Normln"/>
    <w:pPr>
      <w:spacing w:after="240"/>
      <w:ind w:left="851"/>
    </w:pPr>
    <w:rPr>
      <w:b/>
    </w:rPr>
  </w:style>
  <w:style w:type="paragraph" w:customStyle="1" w:styleId="Disclaimer">
    <w:name w:val="Disclaimer"/>
    <w:basedOn w:val="Normln"/>
    <w:pPr>
      <w:spacing w:before="180" w:line="180" w:lineRule="exact"/>
    </w:pPr>
    <w:rPr>
      <w:rFonts w:ascii="Arial" w:hAnsi="Arial"/>
      <w:b/>
      <w:sz w:val="17"/>
    </w:rPr>
  </w:style>
  <w:style w:type="paragraph" w:styleId="Rozloendokumentu">
    <w:name w:val="Document Map"/>
    <w:basedOn w:val="Normln"/>
    <w:semiHidden/>
    <w:pPr>
      <w:shd w:val="clear" w:color="auto" w:fill="000080"/>
    </w:pPr>
    <w:rPr>
      <w:rFonts w:ascii="Tahoma" w:hAnsi="Tahoma" w:cs="Tahoma"/>
    </w:rPr>
  </w:style>
  <w:style w:type="paragraph" w:customStyle="1" w:styleId="DueDiligence">
    <w:name w:val="Due Diligence"/>
    <w:basedOn w:val="Zvr"/>
    <w:pPr>
      <w:spacing w:before="60" w:after="60"/>
      <w:jc w:val="both"/>
    </w:pPr>
    <w:rPr>
      <w:rFonts w:eastAsia="SimSun"/>
      <w:lang w:eastAsia="zh-CN"/>
    </w:rPr>
  </w:style>
  <w:style w:type="paragraph" w:customStyle="1" w:styleId="DueDiligenceBold">
    <w:name w:val="Due Diligence Bold"/>
    <w:basedOn w:val="DueDiligence"/>
    <w:rPr>
      <w:b/>
      <w:bCs/>
    </w:rPr>
  </w:style>
  <w:style w:type="paragraph" w:styleId="Podpise-mailu">
    <w:name w:val="E-mail Signature"/>
    <w:basedOn w:val="Normln"/>
  </w:style>
  <w:style w:type="character" w:styleId="Zdraznn">
    <w:name w:val="Emphasis"/>
    <w:qFormat/>
    <w:rPr>
      <w:i/>
      <w:iCs/>
    </w:rPr>
  </w:style>
  <w:style w:type="character" w:styleId="Odkaznavysvtlivky">
    <w:name w:val="endnote reference"/>
    <w:semiHidden/>
    <w:rPr>
      <w:sz w:val="18"/>
      <w:vertAlign w:val="superscript"/>
    </w:rPr>
  </w:style>
  <w:style w:type="paragraph" w:styleId="Textvysvtlivek">
    <w:name w:val="endnote text"/>
    <w:basedOn w:val="Normln"/>
    <w:semiHidden/>
    <w:rPr>
      <w:sz w:val="18"/>
      <w:szCs w:val="20"/>
    </w:rPr>
  </w:style>
  <w:style w:type="paragraph" w:styleId="Adresanaoblku">
    <w:name w:val="envelope address"/>
    <w:basedOn w:val="Normln"/>
    <w:pPr>
      <w:framePr w:w="7920" w:h="1980" w:hRule="exact" w:hSpace="180" w:wrap="auto" w:hAnchor="page" w:xAlign="center" w:yAlign="bottom"/>
      <w:ind w:left="2880"/>
    </w:pPr>
    <w:rPr>
      <w:rFonts w:cs="Arial"/>
    </w:rPr>
  </w:style>
  <w:style w:type="paragraph" w:styleId="Zptenadresanaoblku">
    <w:name w:val="envelope return"/>
    <w:basedOn w:val="Normln"/>
    <w:rPr>
      <w:rFonts w:cs="Arial"/>
      <w:sz w:val="18"/>
      <w:szCs w:val="20"/>
    </w:rPr>
  </w:style>
  <w:style w:type="paragraph" w:customStyle="1" w:styleId="FAX">
    <w:name w:val="FAX"/>
    <w:basedOn w:val="Normln"/>
    <w:rPr>
      <w:rFonts w:ascii="Arial" w:hAnsi="Arial"/>
      <w:b/>
      <w:noProof/>
      <w:sz w:val="44"/>
    </w:rPr>
  </w:style>
  <w:style w:type="paragraph" w:customStyle="1" w:styleId="faxno">
    <w:name w:val="fax no"/>
    <w:basedOn w:val="Normln"/>
    <w:pPr>
      <w:spacing w:before="40"/>
    </w:pPr>
    <w:rPr>
      <w:rFonts w:ascii="Arial" w:hAnsi="Arial"/>
      <w:noProof/>
      <w:sz w:val="36"/>
    </w:rPr>
  </w:style>
  <w:style w:type="character" w:styleId="Sledovanodkaz">
    <w:name w:val="FollowedHyperlink"/>
    <w:rPr>
      <w:color w:val="800080"/>
      <w:u w:val="single"/>
    </w:rPr>
  </w:style>
  <w:style w:type="character" w:styleId="Znakapoznpodarou">
    <w:name w:val="footnote reference"/>
    <w:semiHidden/>
    <w:rPr>
      <w:sz w:val="18"/>
      <w:vertAlign w:val="superscript"/>
    </w:rPr>
  </w:style>
  <w:style w:type="paragraph" w:styleId="Textpoznpodarou">
    <w:name w:val="footnote text"/>
    <w:basedOn w:val="Normln"/>
    <w:semiHidden/>
    <w:rPr>
      <w:sz w:val="18"/>
      <w:szCs w:val="20"/>
    </w:rPr>
  </w:style>
  <w:style w:type="paragraph" w:customStyle="1" w:styleId="Hidden">
    <w:name w:val="Hidden"/>
    <w:basedOn w:val="Normln"/>
    <w:next w:val="Normln"/>
    <w:rPr>
      <w:vanish/>
      <w:color w:val="FF0000"/>
    </w:rPr>
  </w:style>
  <w:style w:type="character" w:styleId="Hypertextovodkaz">
    <w:name w:val="Hyperlink"/>
    <w:rPr>
      <w:color w:val="0000FF"/>
      <w:u w:val="single"/>
    </w:rPr>
  </w:style>
  <w:style w:type="paragraph" w:styleId="Rejstk1">
    <w:name w:val="index 1"/>
    <w:basedOn w:val="Normln"/>
    <w:next w:val="Normln"/>
    <w:semiHidden/>
    <w:pPr>
      <w:ind w:left="220" w:hanging="220"/>
    </w:pPr>
  </w:style>
  <w:style w:type="paragraph" w:styleId="Rejstk2">
    <w:name w:val="index 2"/>
    <w:basedOn w:val="Normln"/>
    <w:next w:val="Normln"/>
    <w:semiHidden/>
    <w:pPr>
      <w:ind w:left="440" w:hanging="220"/>
    </w:pPr>
  </w:style>
  <w:style w:type="paragraph" w:styleId="Rejstk3">
    <w:name w:val="index 3"/>
    <w:basedOn w:val="Normln"/>
    <w:next w:val="Normln"/>
    <w:semiHidden/>
    <w:pPr>
      <w:ind w:left="660" w:hanging="220"/>
    </w:pPr>
  </w:style>
  <w:style w:type="paragraph" w:styleId="Rejstk4">
    <w:name w:val="index 4"/>
    <w:basedOn w:val="Normln"/>
    <w:next w:val="Normln"/>
    <w:semiHidden/>
    <w:pPr>
      <w:ind w:left="880" w:hanging="220"/>
    </w:pPr>
  </w:style>
  <w:style w:type="paragraph" w:styleId="Rejstk5">
    <w:name w:val="index 5"/>
    <w:basedOn w:val="Normln"/>
    <w:next w:val="Normln"/>
    <w:semiHidden/>
    <w:pPr>
      <w:ind w:left="1100" w:hanging="220"/>
    </w:pPr>
  </w:style>
  <w:style w:type="paragraph" w:styleId="Rejstk6">
    <w:name w:val="index 6"/>
    <w:basedOn w:val="Normln"/>
    <w:next w:val="Normln"/>
    <w:semiHidden/>
    <w:pPr>
      <w:ind w:left="1320" w:hanging="220"/>
    </w:pPr>
  </w:style>
  <w:style w:type="paragraph" w:styleId="Rejstk7">
    <w:name w:val="index 7"/>
    <w:basedOn w:val="Normln"/>
    <w:next w:val="Normln"/>
    <w:semiHidden/>
    <w:pPr>
      <w:ind w:left="1540" w:hanging="220"/>
    </w:pPr>
  </w:style>
  <w:style w:type="paragraph" w:styleId="Rejstk8">
    <w:name w:val="index 8"/>
    <w:basedOn w:val="Normln"/>
    <w:next w:val="Normln"/>
    <w:semiHidden/>
    <w:pPr>
      <w:ind w:left="1760" w:hanging="220"/>
    </w:pPr>
  </w:style>
  <w:style w:type="paragraph" w:styleId="Rejstk9">
    <w:name w:val="index 9"/>
    <w:basedOn w:val="Normln"/>
    <w:next w:val="Normln"/>
    <w:semiHidden/>
    <w:pPr>
      <w:ind w:left="1980" w:hanging="220"/>
    </w:pPr>
  </w:style>
  <w:style w:type="paragraph" w:styleId="Hlavikarejstku">
    <w:name w:val="index heading"/>
    <w:basedOn w:val="Normln"/>
    <w:next w:val="Rejstk1"/>
    <w:semiHidden/>
    <w:rPr>
      <w:rFonts w:ascii="Arial" w:hAnsi="Arial" w:cs="Arial"/>
      <w:b/>
      <w:bCs/>
    </w:rPr>
  </w:style>
  <w:style w:type="paragraph" w:customStyle="1" w:styleId="InvisibleText">
    <w:name w:val="Invisible Text"/>
    <w:basedOn w:val="Normln"/>
    <w:next w:val="Normln"/>
    <w:rPr>
      <w:vanish/>
      <w:color w:val="FFFFFF"/>
    </w:rPr>
  </w:style>
  <w:style w:type="character" w:customStyle="1" w:styleId="invisiblechar">
    <w:name w:val="invisiblechar"/>
    <w:rPr>
      <w:vanish/>
      <w:color w:val="FFFFFF"/>
    </w:rPr>
  </w:style>
  <w:style w:type="character" w:styleId="slodku">
    <w:name w:val="line number"/>
    <w:basedOn w:val="Standardnpsmoodstavce"/>
  </w:style>
  <w:style w:type="paragraph" w:styleId="Seznam">
    <w:name w:val="List"/>
    <w:basedOn w:val="Normln"/>
    <w:pPr>
      <w:spacing w:after="240"/>
      <w:ind w:left="851" w:hanging="851"/>
    </w:pPr>
  </w:style>
  <w:style w:type="paragraph" w:styleId="Seznam2">
    <w:name w:val="List 2"/>
    <w:basedOn w:val="Normln"/>
    <w:pPr>
      <w:spacing w:after="240"/>
      <w:ind w:left="1702" w:hanging="851"/>
    </w:pPr>
  </w:style>
  <w:style w:type="paragraph" w:styleId="Seznam3">
    <w:name w:val="List 3"/>
    <w:basedOn w:val="Normln"/>
    <w:pPr>
      <w:spacing w:after="240"/>
      <w:ind w:left="2552" w:hanging="851"/>
    </w:pPr>
  </w:style>
  <w:style w:type="paragraph" w:styleId="Seznam4">
    <w:name w:val="List 4"/>
    <w:basedOn w:val="Normln"/>
    <w:pPr>
      <w:spacing w:after="240"/>
      <w:ind w:left="3403" w:hanging="851"/>
    </w:pPr>
  </w:style>
  <w:style w:type="paragraph" w:styleId="Seznam5">
    <w:name w:val="List 5"/>
    <w:basedOn w:val="Normln"/>
    <w:pPr>
      <w:spacing w:after="240"/>
      <w:ind w:left="4253" w:hanging="851"/>
    </w:pPr>
  </w:style>
  <w:style w:type="paragraph" w:styleId="Seznamsodrkami">
    <w:name w:val="List Bullet"/>
    <w:basedOn w:val="Normln"/>
    <w:pPr>
      <w:numPr>
        <w:numId w:val="4"/>
      </w:numPr>
      <w:spacing w:after="240"/>
    </w:pPr>
  </w:style>
  <w:style w:type="paragraph" w:styleId="Seznamsodrkami2">
    <w:name w:val="List Bullet 2"/>
    <w:basedOn w:val="Normln"/>
    <w:pPr>
      <w:numPr>
        <w:numId w:val="5"/>
      </w:numPr>
      <w:spacing w:after="240"/>
      <w:ind w:left="1702" w:hanging="851"/>
    </w:pPr>
  </w:style>
  <w:style w:type="paragraph" w:styleId="Seznamsodrkami3">
    <w:name w:val="List Bullet 3"/>
    <w:basedOn w:val="Normln"/>
    <w:pPr>
      <w:numPr>
        <w:numId w:val="6"/>
      </w:numPr>
      <w:spacing w:after="240"/>
    </w:pPr>
  </w:style>
  <w:style w:type="paragraph" w:styleId="Seznamsodrkami4">
    <w:name w:val="List Bullet 4"/>
    <w:basedOn w:val="Normln"/>
    <w:pPr>
      <w:numPr>
        <w:numId w:val="7"/>
      </w:numPr>
      <w:spacing w:after="240"/>
      <w:ind w:left="3403" w:hanging="851"/>
    </w:pPr>
  </w:style>
  <w:style w:type="paragraph" w:styleId="Seznamsodrkami5">
    <w:name w:val="List Bullet 5"/>
    <w:basedOn w:val="Normln"/>
    <w:pPr>
      <w:numPr>
        <w:numId w:val="8"/>
      </w:numPr>
      <w:spacing w:after="240"/>
    </w:pPr>
  </w:style>
  <w:style w:type="paragraph" w:styleId="Pokraovnseznamu">
    <w:name w:val="List Continue"/>
    <w:basedOn w:val="Normln"/>
    <w:pPr>
      <w:spacing w:after="240"/>
    </w:pPr>
  </w:style>
  <w:style w:type="paragraph" w:styleId="Pokraovnseznamu2">
    <w:name w:val="List Continue 2"/>
    <w:basedOn w:val="Normln"/>
    <w:pPr>
      <w:spacing w:after="240"/>
      <w:ind w:left="851"/>
    </w:pPr>
  </w:style>
  <w:style w:type="paragraph" w:styleId="Pokraovnseznamu3">
    <w:name w:val="List Continue 3"/>
    <w:basedOn w:val="Normln"/>
    <w:pPr>
      <w:spacing w:after="240"/>
      <w:ind w:left="1701"/>
    </w:pPr>
  </w:style>
  <w:style w:type="paragraph" w:styleId="Pokraovnseznamu4">
    <w:name w:val="List Continue 4"/>
    <w:basedOn w:val="Normln"/>
    <w:pPr>
      <w:spacing w:after="240"/>
      <w:ind w:left="2552"/>
    </w:pPr>
  </w:style>
  <w:style w:type="paragraph" w:styleId="Pokraovnseznamu5">
    <w:name w:val="List Continue 5"/>
    <w:basedOn w:val="Normln"/>
    <w:pPr>
      <w:spacing w:after="240"/>
      <w:ind w:left="3402"/>
    </w:pPr>
  </w:style>
  <w:style w:type="paragraph" w:styleId="slovanseznam">
    <w:name w:val="List Number"/>
    <w:basedOn w:val="Normln"/>
    <w:pPr>
      <w:numPr>
        <w:numId w:val="9"/>
      </w:numPr>
      <w:spacing w:after="240"/>
    </w:pPr>
  </w:style>
  <w:style w:type="paragraph" w:styleId="slovanseznam2">
    <w:name w:val="List Number 2"/>
    <w:basedOn w:val="Normln"/>
    <w:pPr>
      <w:numPr>
        <w:numId w:val="10"/>
      </w:numPr>
      <w:spacing w:after="240"/>
    </w:pPr>
  </w:style>
  <w:style w:type="paragraph" w:styleId="slovanseznam3">
    <w:name w:val="List Number 3"/>
    <w:basedOn w:val="Normln"/>
    <w:pPr>
      <w:numPr>
        <w:numId w:val="11"/>
      </w:numPr>
      <w:spacing w:after="240"/>
    </w:pPr>
  </w:style>
  <w:style w:type="paragraph" w:styleId="slovanseznam4">
    <w:name w:val="List Number 4"/>
    <w:basedOn w:val="Normln"/>
    <w:pPr>
      <w:numPr>
        <w:numId w:val="12"/>
      </w:numPr>
      <w:spacing w:after="240"/>
    </w:pPr>
  </w:style>
  <w:style w:type="paragraph" w:styleId="slovanseznam5">
    <w:name w:val="List Number 5"/>
    <w:basedOn w:val="Normln"/>
    <w:pPr>
      <w:numPr>
        <w:numId w:val="13"/>
      </w:numPr>
      <w:tabs>
        <w:tab w:val="left" w:pos="851"/>
      </w:tabs>
      <w:spacing w:after="240"/>
    </w:pPr>
  </w:style>
  <w:style w:type="paragraph" w:customStyle="1" w:styleId="ListNumberMinimal">
    <w:name w:val="List Number Minimal"/>
    <w:basedOn w:val="slovanseznam"/>
    <w:pPr>
      <w:numPr>
        <w:numId w:val="0"/>
      </w:numPr>
      <w:tabs>
        <w:tab w:val="num" w:pos="851"/>
      </w:tabs>
      <w:ind w:left="851" w:hanging="851"/>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urier New" w:hAnsi="Courier New" w:cs="Courier New"/>
      <w:spacing w:val="2"/>
      <w:lang w:val="en-GB"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MinimalSpacer">
    <w:name w:val="MinimalSpacer"/>
    <w:basedOn w:val="Normln"/>
    <w:rPr>
      <w:sz w:val="2"/>
    </w:rPr>
  </w:style>
  <w:style w:type="paragraph" w:styleId="Normlnweb">
    <w:name w:val="Normal (Web)"/>
    <w:basedOn w:val="Normln"/>
  </w:style>
  <w:style w:type="paragraph" w:customStyle="1" w:styleId="Normal20">
    <w:name w:val="Normal 20"/>
    <w:basedOn w:val="Normln"/>
    <w:rPr>
      <w:sz w:val="40"/>
    </w:rPr>
  </w:style>
  <w:style w:type="paragraph" w:styleId="Normlnodsazen">
    <w:name w:val="Normal Indent"/>
    <w:basedOn w:val="Normln"/>
    <w:pPr>
      <w:ind w:left="851"/>
    </w:pPr>
  </w:style>
  <w:style w:type="paragraph" w:customStyle="1" w:styleId="NormalSingleLine">
    <w:name w:val="Normal Single Line"/>
    <w:basedOn w:val="Normln"/>
  </w:style>
  <w:style w:type="paragraph" w:customStyle="1" w:styleId="NormalBold">
    <w:name w:val="NormalBold"/>
    <w:basedOn w:val="Normln"/>
    <w:rPr>
      <w:b/>
    </w:rPr>
  </w:style>
  <w:style w:type="paragraph" w:styleId="Nadpispoznmky">
    <w:name w:val="Note Heading"/>
    <w:basedOn w:val="Normln"/>
    <w:next w:val="Normln"/>
    <w:pPr>
      <w:spacing w:after="240"/>
    </w:pPr>
  </w:style>
  <w:style w:type="character" w:styleId="slostrnky">
    <w:name w:val="page number"/>
    <w:basedOn w:val="Standardnpsmoodstavce"/>
  </w:style>
  <w:style w:type="paragraph" w:styleId="Prosttext">
    <w:name w:val="Plain Text"/>
    <w:basedOn w:val="Normln"/>
    <w:rPr>
      <w:rFonts w:ascii="Courier New" w:hAnsi="Courier New" w:cs="Courier New"/>
      <w:sz w:val="20"/>
      <w:szCs w:val="20"/>
    </w:rPr>
  </w:style>
  <w:style w:type="paragraph" w:styleId="Osloven">
    <w:name w:val="Salutation"/>
    <w:basedOn w:val="Normln"/>
    <w:next w:val="Normln"/>
  </w:style>
  <w:style w:type="paragraph" w:customStyle="1" w:styleId="Schedule">
    <w:name w:val="Schedule"/>
    <w:basedOn w:val="Normln"/>
    <w:next w:val="Normln"/>
    <w:pPr>
      <w:spacing w:after="240"/>
      <w:jc w:val="center"/>
    </w:pPr>
    <w:rPr>
      <w:b/>
    </w:rPr>
  </w:style>
  <w:style w:type="paragraph" w:styleId="Podpis">
    <w:name w:val="Signature"/>
    <w:basedOn w:val="Normln"/>
    <w:pPr>
      <w:spacing w:after="240"/>
    </w:pPr>
  </w:style>
  <w:style w:type="character" w:styleId="Siln">
    <w:name w:val="Strong"/>
    <w:qFormat/>
    <w:rPr>
      <w:b/>
      <w:bCs/>
    </w:rPr>
  </w:style>
  <w:style w:type="paragraph" w:customStyle="1" w:styleId="subclauseindent">
    <w:name w:val="subclauseindent"/>
    <w:basedOn w:val="Normln"/>
    <w:pPr>
      <w:spacing w:after="240"/>
      <w:ind w:left="1701"/>
    </w:pPr>
  </w:style>
  <w:style w:type="paragraph" w:customStyle="1" w:styleId="subsubclauseindent">
    <w:name w:val="subsubclauseindent"/>
    <w:basedOn w:val="Normln"/>
    <w:pPr>
      <w:spacing w:after="240"/>
      <w:ind w:left="2552"/>
    </w:pPr>
  </w:style>
  <w:style w:type="paragraph" w:styleId="Podnadpis">
    <w:name w:val="Subtitle"/>
    <w:basedOn w:val="Normln"/>
    <w:qFormat/>
    <w:pPr>
      <w:spacing w:after="240"/>
      <w:jc w:val="center"/>
    </w:pPr>
    <w:rPr>
      <w:rFonts w:cs="Arial"/>
      <w:b/>
    </w:rPr>
  </w:style>
  <w:style w:type="paragraph" w:styleId="Seznamcitac">
    <w:name w:val="table of authorities"/>
    <w:basedOn w:val="Normln"/>
    <w:next w:val="Normln"/>
    <w:semiHidden/>
    <w:pPr>
      <w:ind w:left="851" w:hanging="851"/>
    </w:pPr>
  </w:style>
  <w:style w:type="paragraph" w:styleId="Seznamobrzk">
    <w:name w:val="table of figures"/>
    <w:basedOn w:val="Normln"/>
    <w:next w:val="Normln"/>
    <w:semiHidden/>
    <w:pPr>
      <w:ind w:left="851" w:hanging="851"/>
    </w:pPr>
  </w:style>
  <w:style w:type="paragraph" w:styleId="Nzev">
    <w:name w:val="Title"/>
    <w:basedOn w:val="Normln"/>
    <w:qFormat/>
    <w:pPr>
      <w:spacing w:before="240" w:after="240"/>
      <w:jc w:val="center"/>
    </w:pPr>
    <w:rPr>
      <w:rFonts w:cs="Arial"/>
      <w:b/>
      <w:bCs/>
      <w:kern w:val="28"/>
      <w:sz w:val="28"/>
      <w:szCs w:val="32"/>
    </w:rPr>
  </w:style>
  <w:style w:type="paragraph" w:styleId="Hlavikaobsahu">
    <w:name w:val="toa heading"/>
    <w:basedOn w:val="Normln"/>
    <w:next w:val="Normln"/>
    <w:semiHidden/>
    <w:pPr>
      <w:spacing w:after="240"/>
    </w:pPr>
    <w:rPr>
      <w:rFonts w:cs="Arial"/>
      <w:b/>
      <w:bCs/>
    </w:rPr>
  </w:style>
  <w:style w:type="paragraph" w:styleId="Obsah1">
    <w:name w:val="toc 1"/>
    <w:basedOn w:val="Normln"/>
    <w:next w:val="Obsah2"/>
    <w:uiPriority w:val="39"/>
    <w:pPr>
      <w:tabs>
        <w:tab w:val="right" w:leader="dot" w:pos="9356"/>
      </w:tabs>
      <w:spacing w:before="240" w:after="240"/>
      <w:ind w:left="851" w:right="851" w:hanging="851"/>
    </w:pPr>
  </w:style>
  <w:style w:type="paragraph" w:styleId="Obsah2">
    <w:name w:val="toc 2"/>
    <w:basedOn w:val="Normln"/>
    <w:next w:val="Obsah3"/>
    <w:uiPriority w:val="39"/>
    <w:pPr>
      <w:tabs>
        <w:tab w:val="right" w:leader="dot" w:pos="9356"/>
      </w:tabs>
      <w:spacing w:after="60"/>
      <w:ind w:left="851" w:right="851" w:hanging="851"/>
    </w:pPr>
  </w:style>
  <w:style w:type="paragraph" w:styleId="Obsah3">
    <w:name w:val="toc 3"/>
    <w:basedOn w:val="Normln"/>
    <w:semiHidden/>
    <w:pPr>
      <w:tabs>
        <w:tab w:val="right" w:leader="dot" w:pos="9356"/>
      </w:tabs>
      <w:spacing w:after="60"/>
      <w:ind w:left="1702" w:right="851" w:hanging="851"/>
    </w:pPr>
  </w:style>
  <w:style w:type="paragraph" w:styleId="Obsah4">
    <w:name w:val="toc 4"/>
    <w:basedOn w:val="Normln"/>
    <w:semiHidden/>
    <w:pPr>
      <w:tabs>
        <w:tab w:val="right" w:leader="dot" w:pos="9356"/>
      </w:tabs>
      <w:spacing w:after="60"/>
      <w:ind w:left="1702" w:right="851" w:hanging="851"/>
    </w:pPr>
  </w:style>
  <w:style w:type="paragraph" w:styleId="Obsah5">
    <w:name w:val="toc 5"/>
    <w:basedOn w:val="Normln"/>
    <w:next w:val="Normln"/>
    <w:semiHidden/>
    <w:pPr>
      <w:tabs>
        <w:tab w:val="right" w:leader="dot" w:pos="9356"/>
      </w:tabs>
      <w:ind w:left="1702" w:right="851" w:hanging="851"/>
    </w:pPr>
  </w:style>
  <w:style w:type="paragraph" w:styleId="Obsah6">
    <w:name w:val="toc 6"/>
    <w:basedOn w:val="Normln"/>
    <w:next w:val="Normln"/>
    <w:semiHidden/>
    <w:pPr>
      <w:tabs>
        <w:tab w:val="right" w:leader="dot" w:pos="9356"/>
      </w:tabs>
      <w:ind w:left="1702" w:right="851" w:hanging="851"/>
    </w:pPr>
  </w:style>
  <w:style w:type="paragraph" w:styleId="Obsah7">
    <w:name w:val="toc 7"/>
    <w:basedOn w:val="Normln"/>
    <w:next w:val="Normln"/>
    <w:semiHidden/>
    <w:pPr>
      <w:tabs>
        <w:tab w:val="right" w:leader="dot" w:pos="9356"/>
      </w:tabs>
      <w:ind w:left="1702" w:right="851" w:hanging="851"/>
    </w:pPr>
  </w:style>
  <w:style w:type="paragraph" w:styleId="Obsah8">
    <w:name w:val="toc 8"/>
    <w:basedOn w:val="Normln"/>
    <w:next w:val="Normln"/>
    <w:semiHidden/>
    <w:pPr>
      <w:tabs>
        <w:tab w:val="right" w:leader="dot" w:pos="9356"/>
      </w:tabs>
      <w:ind w:left="1702" w:right="851" w:hanging="851"/>
    </w:pPr>
  </w:style>
  <w:style w:type="paragraph" w:styleId="Obsah9">
    <w:name w:val="toc 9"/>
    <w:basedOn w:val="Normln"/>
    <w:next w:val="Normln"/>
    <w:semiHidden/>
    <w:pPr>
      <w:tabs>
        <w:tab w:val="right" w:leader="dot" w:pos="9356"/>
      </w:tabs>
      <w:ind w:left="1702" w:right="851" w:hanging="851"/>
    </w:pPr>
  </w:style>
  <w:style w:type="paragraph" w:customStyle="1" w:styleId="TOCTitle">
    <w:name w:val="TOC Title"/>
    <w:basedOn w:val="Normln"/>
    <w:pPr>
      <w:keepLines/>
      <w:spacing w:before="240" w:after="240"/>
      <w:jc w:val="center"/>
    </w:pPr>
    <w:rPr>
      <w:b/>
      <w:sz w:val="28"/>
    </w:rPr>
  </w:style>
  <w:style w:type="paragraph" w:customStyle="1" w:styleId="Unnumbered">
    <w:name w:val="Unnumbered"/>
    <w:basedOn w:val="Normln"/>
    <w:pPr>
      <w:keepNext/>
      <w:spacing w:after="240"/>
      <w:ind w:left="851"/>
    </w:pPr>
    <w:rPr>
      <w:b/>
      <w:i/>
    </w:rPr>
  </w:style>
  <w:style w:type="paragraph" w:customStyle="1" w:styleId="zGlossBold14pt">
    <w:name w:val="z_GlossBold14pt"/>
    <w:basedOn w:val="Normln"/>
    <w:pPr>
      <w:spacing w:after="240"/>
      <w:jc w:val="center"/>
    </w:pPr>
    <w:rPr>
      <w:b/>
      <w:sz w:val="28"/>
    </w:rPr>
  </w:style>
  <w:style w:type="paragraph" w:customStyle="1" w:styleId="zGlossBold14nospace">
    <w:name w:val="z_GlossBold14_nospace"/>
    <w:basedOn w:val="zGlossBold14pt"/>
    <w:pPr>
      <w:spacing w:after="0"/>
    </w:pPr>
  </w:style>
  <w:style w:type="paragraph" w:customStyle="1" w:styleId="ZGlossBoldCentred">
    <w:name w:val="Z_GlossBoldCentred"/>
    <w:basedOn w:val="Normln"/>
    <w:pPr>
      <w:jc w:val="center"/>
    </w:pPr>
    <w:rPr>
      <w:b/>
    </w:rPr>
  </w:style>
  <w:style w:type="paragraph" w:customStyle="1" w:styleId="zGlossBoldLeft14pt">
    <w:name w:val="z_GlossBoldLeft14pt"/>
    <w:basedOn w:val="Normln"/>
    <w:pPr>
      <w:numPr>
        <w:numId w:val="14"/>
      </w:numPr>
      <w:spacing w:after="240"/>
    </w:pPr>
    <w:rPr>
      <w:b/>
      <w:sz w:val="28"/>
    </w:rPr>
  </w:style>
  <w:style w:type="paragraph" w:customStyle="1" w:styleId="ZGlossTab9cm-new">
    <w:name w:val="Z_GlossTab9cm - new"/>
    <w:basedOn w:val="Normln"/>
    <w:pPr>
      <w:tabs>
        <w:tab w:val="right" w:pos="5387"/>
      </w:tabs>
    </w:pPr>
    <w:rPr>
      <w:b/>
    </w:rPr>
  </w:style>
  <w:style w:type="paragraph" w:customStyle="1" w:styleId="Zhanging">
    <w:name w:val="Z_hanging"/>
    <w:aliases w:val="hm"/>
    <w:basedOn w:val="Normln"/>
    <w:pPr>
      <w:tabs>
        <w:tab w:val="left" w:pos="851"/>
      </w:tabs>
      <w:spacing w:after="240"/>
      <w:ind w:left="851" w:hanging="851"/>
    </w:pPr>
  </w:style>
  <w:style w:type="paragraph" w:customStyle="1" w:styleId="Zhanging1">
    <w:name w:val="Z_hanging_1"/>
    <w:aliases w:val="h1"/>
    <w:basedOn w:val="Normln"/>
    <w:pPr>
      <w:tabs>
        <w:tab w:val="left" w:pos="1701"/>
      </w:tabs>
      <w:spacing w:after="240"/>
      <w:ind w:left="1702" w:hanging="851"/>
    </w:pPr>
  </w:style>
  <w:style w:type="paragraph" w:customStyle="1" w:styleId="Zhanging2">
    <w:name w:val="Z_hanging_2"/>
    <w:aliases w:val="h2"/>
    <w:basedOn w:val="Normln"/>
    <w:pPr>
      <w:tabs>
        <w:tab w:val="left" w:pos="2552"/>
      </w:tabs>
      <w:spacing w:after="240"/>
      <w:ind w:left="2552" w:hanging="851"/>
    </w:pPr>
  </w:style>
  <w:style w:type="paragraph" w:customStyle="1" w:styleId="Zhanging3">
    <w:name w:val="Z_hanging_3"/>
    <w:aliases w:val="h3"/>
    <w:basedOn w:val="Normln"/>
    <w:pPr>
      <w:tabs>
        <w:tab w:val="left" w:pos="3402"/>
      </w:tabs>
      <w:spacing w:after="240"/>
      <w:ind w:left="3403" w:hanging="851"/>
    </w:pPr>
  </w:style>
  <w:style w:type="paragraph" w:customStyle="1" w:styleId="Zhanging4">
    <w:name w:val="Z_hanging_4"/>
    <w:aliases w:val="h4"/>
    <w:basedOn w:val="Normln"/>
    <w:pPr>
      <w:tabs>
        <w:tab w:val="left" w:pos="4253"/>
      </w:tabs>
      <w:spacing w:after="240"/>
      <w:ind w:left="4253" w:hanging="851"/>
    </w:pPr>
  </w:style>
  <w:style w:type="paragraph" w:customStyle="1" w:styleId="Zhanging5">
    <w:name w:val="Z_hanging_5"/>
    <w:aliases w:val="h5"/>
    <w:basedOn w:val="Normln"/>
    <w:pPr>
      <w:tabs>
        <w:tab w:val="left" w:pos="5103"/>
      </w:tabs>
      <w:spacing w:after="240"/>
      <w:ind w:left="5104" w:hanging="851"/>
    </w:p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sz w:val="20"/>
    </w:rPr>
  </w:style>
  <w:style w:type="character" w:customStyle="1" w:styleId="ZkladntextChar">
    <w:name w:val="Základní text Char"/>
    <w:aliases w:val="b Char"/>
    <w:link w:val="Zkladntext"/>
    <w:semiHidden/>
    <w:rPr>
      <w:sz w:val="22"/>
      <w:szCs w:val="24"/>
      <w:lang w:val="en-GB" w:eastAsia="en-US" w:bidi="ar-SA"/>
    </w:rPr>
  </w:style>
  <w:style w:type="paragraph" w:customStyle="1" w:styleId="StyleBodyText">
    <w:name w:val="Style Body Text"/>
    <w:aliases w:val="b + Bold"/>
    <w:basedOn w:val="Zkladntext"/>
    <w:link w:val="StyleBodyTextChar"/>
    <w:pPr>
      <w:jc w:val="both"/>
    </w:pPr>
    <w:rPr>
      <w:b/>
      <w:bCs/>
    </w:rPr>
  </w:style>
  <w:style w:type="character" w:customStyle="1" w:styleId="StyleBodyTextChar">
    <w:name w:val="Style Body Text Char"/>
    <w:aliases w:val="b + Bold Char"/>
    <w:link w:val="StyleBodyText"/>
    <w:rPr>
      <w:b/>
      <w:bCs/>
      <w:sz w:val="22"/>
      <w:szCs w:val="24"/>
      <w:lang w:val="en-GB" w:eastAsia="en-US" w:bidi="ar-SA"/>
    </w:rPr>
  </w:style>
  <w:style w:type="character" w:customStyle="1" w:styleId="CMSHeadL3Char">
    <w:name w:val="CMS Head L3 Char"/>
    <w:link w:val="CMSHeadL3"/>
    <w:rPr>
      <w:sz w:val="22"/>
      <w:szCs w:val="24"/>
      <w:lang w:val="en-GB" w:eastAsia="en-US"/>
    </w:r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
    <w:uiPriority w:val="34"/>
    <w:qFormat/>
    <w:pPr>
      <w:ind w:left="720"/>
      <w:contextualSpacing/>
    </w:pPr>
    <w:rPr>
      <w:rFonts w:ascii="Calibri" w:hAnsi="Calibri"/>
      <w:sz w:val="24"/>
    </w:rPr>
  </w:style>
  <w:style w:type="paragraph" w:styleId="Textvbloku">
    <w:name w:val="Block Text"/>
    <w:basedOn w:val="Normln"/>
    <w:pPr>
      <w:spacing w:after="240"/>
      <w:ind w:left="1701"/>
    </w:pPr>
  </w:style>
  <w:style w:type="paragraph" w:styleId="Zkladntext2">
    <w:name w:val="Body Text 2"/>
    <w:basedOn w:val="Normln"/>
    <w:pPr>
      <w:spacing w:after="240" w:line="480" w:lineRule="auto"/>
    </w:pPr>
  </w:style>
  <w:style w:type="paragraph" w:styleId="Zkladntext3">
    <w:name w:val="Body Text 3"/>
    <w:basedOn w:val="Normln"/>
    <w:pPr>
      <w:spacing w:after="240" w:line="360" w:lineRule="auto"/>
    </w:pPr>
    <w:rPr>
      <w:szCs w:val="16"/>
    </w:rPr>
  </w:style>
  <w:style w:type="paragraph" w:customStyle="1" w:styleId="BodyTextBold">
    <w:name w:val="Body Text Bold"/>
    <w:basedOn w:val="Zkladntext"/>
    <w:rPr>
      <w:b/>
    </w:rPr>
  </w:style>
  <w:style w:type="paragraph" w:styleId="Zkladntext-prvnodsazen">
    <w:name w:val="Body Text First Indent"/>
    <w:basedOn w:val="Normln"/>
    <w:pPr>
      <w:spacing w:after="240"/>
      <w:ind w:firstLine="851"/>
    </w:pPr>
  </w:style>
  <w:style w:type="paragraph" w:styleId="Zkladntextodsazen">
    <w:name w:val="Body Text Indent"/>
    <w:basedOn w:val="Normln"/>
    <w:pPr>
      <w:spacing w:after="240"/>
      <w:ind w:left="851"/>
    </w:pPr>
  </w:style>
  <w:style w:type="paragraph" w:styleId="Zkladntext-prvnodsazen2">
    <w:name w:val="Body Text First Indent 2"/>
    <w:basedOn w:val="Normln"/>
    <w:pPr>
      <w:spacing w:after="240"/>
      <w:ind w:firstLine="851"/>
    </w:pPr>
  </w:style>
  <w:style w:type="paragraph" w:styleId="Zkladntextodsazen2">
    <w:name w:val="Body Text Indent 2"/>
    <w:basedOn w:val="Normln"/>
    <w:pPr>
      <w:spacing w:after="240" w:line="480" w:lineRule="auto"/>
      <w:ind w:left="851"/>
    </w:pPr>
  </w:style>
  <w:style w:type="paragraph" w:styleId="Zkladntextodsazen3">
    <w:name w:val="Body Text Indent 3"/>
    <w:basedOn w:val="Normln"/>
    <w:pPr>
      <w:spacing w:after="240" w:line="360" w:lineRule="auto"/>
      <w:ind w:left="851"/>
    </w:pPr>
    <w:rPr>
      <w:szCs w:val="16"/>
    </w:rPr>
  </w:style>
  <w:style w:type="character" w:styleId="AkronymHTML">
    <w:name w:val="HTML Acronym"/>
    <w:basedOn w:val="Standardnpsmoodstavce"/>
  </w:style>
  <w:style w:type="paragraph" w:styleId="AdresaHTML">
    <w:name w:val="HTML Address"/>
    <w:basedOn w:val="Normln"/>
    <w:rPr>
      <w:i/>
      <w:iCs/>
    </w:rPr>
  </w:style>
  <w:style w:type="character" w:styleId="CittHTML">
    <w:name w:val="HTML Cite"/>
    <w:rPr>
      <w:i/>
      <w:iCs/>
    </w:rPr>
  </w:style>
  <w:style w:type="character" w:styleId="KdHTML">
    <w:name w:val="HTML Code"/>
    <w:rPr>
      <w:rFonts w:ascii="Courier New" w:hAnsi="Courier New"/>
      <w:sz w:val="20"/>
      <w:szCs w:val="20"/>
    </w:rPr>
  </w:style>
  <w:style w:type="character" w:styleId="DefiniceHTML">
    <w:name w:val="HTML Definition"/>
    <w:rPr>
      <w:i/>
      <w:iCs/>
    </w:rPr>
  </w:style>
  <w:style w:type="character" w:styleId="KlvesniceHTML">
    <w:name w:val="HTML Keyboard"/>
    <w:rPr>
      <w:rFonts w:ascii="Courier New" w:hAnsi="Courier New"/>
      <w:sz w:val="20"/>
      <w:szCs w:val="20"/>
    </w:rPr>
  </w:style>
  <w:style w:type="paragraph" w:styleId="FormtovanvHTML">
    <w:name w:val="HTML Preformatted"/>
    <w:basedOn w:val="Normln"/>
    <w:rPr>
      <w:rFonts w:ascii="Courier New" w:hAnsi="Courier New" w:cs="Courier New"/>
      <w:sz w:val="20"/>
      <w:szCs w:val="20"/>
    </w:rPr>
  </w:style>
  <w:style w:type="character" w:styleId="UkzkaHTML">
    <w:name w:val="HTML Sample"/>
    <w:rPr>
      <w:rFonts w:ascii="Courier New" w:hAnsi="Courier New"/>
    </w:rPr>
  </w:style>
  <w:style w:type="character" w:styleId="PsacstrojHTML">
    <w:name w:val="HTML Typewriter"/>
    <w:rPr>
      <w:rFonts w:ascii="Courier New" w:hAnsi="Courier New"/>
      <w:sz w:val="20"/>
      <w:szCs w:val="20"/>
    </w:rPr>
  </w:style>
  <w:style w:type="character" w:styleId="PromnnHTML">
    <w:name w:val="HTML Variable"/>
    <w:rPr>
      <w:i/>
      <w:iCs/>
    </w:rPr>
  </w:style>
  <w:style w:type="paragraph" w:customStyle="1" w:styleId="CMSANParties">
    <w:name w:val="CMS AN Parties"/>
    <w:uiPriority w:val="11"/>
    <w:rsid w:val="002450CF"/>
    <w:pPr>
      <w:numPr>
        <w:numId w:val="16"/>
      </w:numPr>
      <w:spacing w:before="120" w:after="120" w:line="300" w:lineRule="atLeast"/>
      <w:jc w:val="both"/>
      <w:outlineLvl w:val="3"/>
    </w:pPr>
    <w:rPr>
      <w:rFonts w:eastAsia="Calibri" w:cs="Segoe Script"/>
      <w:color w:val="000000"/>
      <w:sz w:val="22"/>
      <w:szCs w:val="22"/>
      <w:lang w:val="en-GB" w:eastAsia="en-US"/>
    </w:rPr>
  </w:style>
  <w:style w:type="paragraph" w:customStyle="1" w:styleId="CMSANNumeration">
    <w:name w:val="CMS AN Numeration"/>
    <w:uiPriority w:val="30"/>
    <w:rsid w:val="002450CF"/>
    <w:pPr>
      <w:numPr>
        <w:numId w:val="15"/>
      </w:numPr>
      <w:tabs>
        <w:tab w:val="clear" w:pos="1701"/>
      </w:tabs>
      <w:spacing w:before="120" w:after="120" w:line="300" w:lineRule="atLeast"/>
      <w:ind w:left="0" w:firstLine="0"/>
      <w:jc w:val="both"/>
    </w:pPr>
    <w:rPr>
      <w:rFonts w:eastAsia="Calibri" w:cs="Segoe Script"/>
      <w:color w:val="000000"/>
      <w:sz w:val="22"/>
      <w:szCs w:val="22"/>
      <w:lang w:val="en-GB" w:eastAsia="en-US"/>
    </w:rPr>
  </w:style>
  <w:style w:type="numbering" w:customStyle="1" w:styleId="CMS-ANParties">
    <w:name w:val="CMS-AN Parties"/>
    <w:uiPriority w:val="99"/>
    <w:rsid w:val="002450CF"/>
    <w:pPr>
      <w:numPr>
        <w:numId w:val="17"/>
      </w:numPr>
    </w:pPr>
  </w:style>
  <w:style w:type="paragraph" w:customStyle="1" w:styleId="Clanek11">
    <w:name w:val="Clanek 1.1"/>
    <w:basedOn w:val="Nadpis2"/>
    <w:link w:val="Clanek11Char"/>
    <w:qFormat/>
    <w:rsid w:val="00D606A9"/>
    <w:pPr>
      <w:keepNext w:val="0"/>
      <w:widowControl w:val="0"/>
      <w:numPr>
        <w:ilvl w:val="0"/>
        <w:numId w:val="0"/>
      </w:numPr>
      <w:tabs>
        <w:tab w:val="num" w:pos="567"/>
      </w:tabs>
      <w:spacing w:before="120" w:after="120"/>
      <w:ind w:left="567" w:hanging="567"/>
      <w:jc w:val="both"/>
    </w:pPr>
    <w:rPr>
      <w:rFonts w:ascii="Imago" w:hAnsi="Imago" w:cs="Arial"/>
      <w:b w:val="0"/>
      <w:bCs/>
      <w:iCs/>
      <w:szCs w:val="28"/>
      <w:lang w:val="cs-CZ"/>
    </w:rPr>
  </w:style>
  <w:style w:type="paragraph" w:customStyle="1" w:styleId="Claneka">
    <w:name w:val="Clanek (a)"/>
    <w:basedOn w:val="Normln"/>
    <w:qFormat/>
    <w:rsid w:val="00D606A9"/>
    <w:pPr>
      <w:keepLines/>
      <w:widowControl w:val="0"/>
      <w:tabs>
        <w:tab w:val="num" w:pos="992"/>
      </w:tabs>
      <w:spacing w:before="120" w:after="120"/>
      <w:ind w:left="992" w:hanging="425"/>
      <w:jc w:val="both"/>
    </w:pPr>
    <w:rPr>
      <w:rFonts w:ascii="Imago" w:hAnsi="Imago"/>
      <w:lang w:val="cs-CZ"/>
    </w:rPr>
  </w:style>
  <w:style w:type="paragraph" w:customStyle="1" w:styleId="Claneki">
    <w:name w:val="Clanek (i)"/>
    <w:basedOn w:val="Normln"/>
    <w:qFormat/>
    <w:rsid w:val="00D606A9"/>
    <w:pPr>
      <w:keepNext/>
      <w:tabs>
        <w:tab w:val="num" w:pos="1418"/>
      </w:tabs>
      <w:spacing w:before="120" w:after="120"/>
      <w:ind w:left="1418" w:hanging="426"/>
      <w:jc w:val="both"/>
    </w:pPr>
    <w:rPr>
      <w:rFonts w:ascii="Imago" w:hAnsi="Imago"/>
      <w:color w:val="000000"/>
      <w:lang w:val="cs-CZ"/>
    </w:rPr>
  </w:style>
  <w:style w:type="character" w:customStyle="1" w:styleId="Clanek11Char">
    <w:name w:val="Clanek 1.1 Char"/>
    <w:link w:val="Clanek11"/>
    <w:locked/>
    <w:rsid w:val="00D606A9"/>
    <w:rPr>
      <w:rFonts w:ascii="Imago" w:hAnsi="Imago" w:cs="Arial"/>
      <w:bCs/>
      <w:iCs/>
      <w:sz w:val="22"/>
      <w:szCs w:val="28"/>
      <w:lang w:val="cs-CZ" w:eastAsia="en-US"/>
    </w:rPr>
  </w:style>
  <w:style w:type="paragraph" w:customStyle="1" w:styleId="CMSANSchedule1">
    <w:name w:val="CMS AN Schedule 1"/>
    <w:next w:val="CMSANSchedule2"/>
    <w:uiPriority w:val="23"/>
    <w:rsid w:val="00BE7F67"/>
    <w:pPr>
      <w:keepNext/>
      <w:pageBreakBefore/>
      <w:numPr>
        <w:numId w:val="23"/>
      </w:numPr>
      <w:spacing w:after="240" w:line="300" w:lineRule="atLeast"/>
      <w:jc w:val="center"/>
      <w:outlineLvl w:val="0"/>
    </w:pPr>
    <w:rPr>
      <w:rFonts w:eastAsiaTheme="minorHAnsi" w:cs="Segoe Script"/>
      <w:b/>
      <w:caps/>
      <w:color w:val="000000" w:themeColor="text1"/>
      <w:sz w:val="22"/>
      <w:szCs w:val="22"/>
      <w:lang w:val="en-GB" w:eastAsia="en-US"/>
    </w:rPr>
  </w:style>
  <w:style w:type="paragraph" w:customStyle="1" w:styleId="CMSANSchedule2">
    <w:name w:val="CMS AN Schedule 2"/>
    <w:next w:val="CMSANSchedule4"/>
    <w:uiPriority w:val="23"/>
    <w:rsid w:val="00BE7F67"/>
    <w:pPr>
      <w:keepNext/>
      <w:numPr>
        <w:ilvl w:val="1"/>
        <w:numId w:val="23"/>
      </w:numPr>
      <w:spacing w:before="240" w:after="120" w:line="300" w:lineRule="atLeast"/>
      <w:jc w:val="center"/>
      <w:outlineLvl w:val="1"/>
    </w:pPr>
    <w:rPr>
      <w:rFonts w:eastAsiaTheme="minorHAnsi" w:cs="Segoe Script"/>
      <w:b/>
      <w:color w:val="000000" w:themeColor="text1"/>
      <w:sz w:val="22"/>
      <w:szCs w:val="22"/>
      <w:lang w:val="en-GB" w:eastAsia="en-US"/>
    </w:rPr>
  </w:style>
  <w:style w:type="paragraph" w:customStyle="1" w:styleId="CMSANSchedule3">
    <w:name w:val="CMS AN Schedule 3"/>
    <w:next w:val="CMSANSchedule4"/>
    <w:uiPriority w:val="23"/>
    <w:rsid w:val="00BE7F67"/>
    <w:pPr>
      <w:numPr>
        <w:ilvl w:val="2"/>
        <w:numId w:val="23"/>
      </w:numPr>
      <w:spacing w:before="240" w:after="120" w:line="300" w:lineRule="atLeast"/>
      <w:jc w:val="center"/>
      <w:outlineLvl w:val="2"/>
    </w:pPr>
    <w:rPr>
      <w:rFonts w:eastAsiaTheme="minorHAnsi" w:cs="Segoe Script"/>
      <w:b/>
      <w:color w:val="000000" w:themeColor="text1"/>
      <w:sz w:val="22"/>
      <w:szCs w:val="22"/>
      <w:lang w:val="en-GB" w:eastAsia="en-US"/>
    </w:rPr>
  </w:style>
  <w:style w:type="paragraph" w:customStyle="1" w:styleId="CMSANSchedule4">
    <w:name w:val="CMS AN Schedule 4"/>
    <w:next w:val="CMSANSchedule5"/>
    <w:uiPriority w:val="23"/>
    <w:rsid w:val="00BE7F67"/>
    <w:pPr>
      <w:keepNext/>
      <w:numPr>
        <w:ilvl w:val="3"/>
        <w:numId w:val="23"/>
      </w:numPr>
      <w:spacing w:before="240" w:after="120" w:line="300" w:lineRule="atLeast"/>
      <w:jc w:val="both"/>
      <w:outlineLvl w:val="3"/>
    </w:pPr>
    <w:rPr>
      <w:rFonts w:eastAsiaTheme="minorHAnsi" w:cs="Segoe Script"/>
      <w:b/>
      <w:caps/>
      <w:color w:val="000000" w:themeColor="text1"/>
      <w:sz w:val="22"/>
      <w:szCs w:val="22"/>
      <w:lang w:val="en-GB" w:eastAsia="en-US"/>
    </w:rPr>
  </w:style>
  <w:style w:type="paragraph" w:customStyle="1" w:styleId="CMSANSchedule5">
    <w:name w:val="CMS AN Schedule 5"/>
    <w:uiPriority w:val="23"/>
    <w:rsid w:val="00BE7F67"/>
    <w:pPr>
      <w:numPr>
        <w:ilvl w:val="4"/>
        <w:numId w:val="23"/>
      </w:numPr>
      <w:spacing w:before="120" w:after="120" w:line="300" w:lineRule="atLeast"/>
      <w:jc w:val="both"/>
      <w:outlineLvl w:val="4"/>
    </w:pPr>
    <w:rPr>
      <w:rFonts w:eastAsiaTheme="minorHAnsi" w:cs="Segoe Script"/>
      <w:color w:val="000000" w:themeColor="text1"/>
      <w:sz w:val="22"/>
      <w:szCs w:val="22"/>
      <w:lang w:val="en-GB" w:eastAsia="en-US"/>
    </w:rPr>
  </w:style>
  <w:style w:type="paragraph" w:customStyle="1" w:styleId="CMSANSchedule6">
    <w:name w:val="CMS AN Schedule 6"/>
    <w:uiPriority w:val="23"/>
    <w:rsid w:val="00BE7F67"/>
    <w:pPr>
      <w:numPr>
        <w:ilvl w:val="5"/>
        <w:numId w:val="23"/>
      </w:numPr>
      <w:spacing w:before="120" w:after="120" w:line="300" w:lineRule="atLeast"/>
      <w:jc w:val="both"/>
      <w:outlineLvl w:val="5"/>
    </w:pPr>
    <w:rPr>
      <w:rFonts w:eastAsiaTheme="minorHAnsi" w:cs="Segoe Script"/>
      <w:color w:val="000000" w:themeColor="text1"/>
      <w:sz w:val="22"/>
      <w:szCs w:val="22"/>
      <w:lang w:val="en-GB" w:eastAsia="en-US"/>
    </w:rPr>
  </w:style>
  <w:style w:type="paragraph" w:customStyle="1" w:styleId="CMSANSchedule7">
    <w:name w:val="CMS AN Schedule 7"/>
    <w:uiPriority w:val="23"/>
    <w:rsid w:val="00BE7F67"/>
    <w:pPr>
      <w:numPr>
        <w:ilvl w:val="6"/>
        <w:numId w:val="23"/>
      </w:numPr>
      <w:spacing w:before="120" w:after="120" w:line="300" w:lineRule="atLeast"/>
      <w:jc w:val="both"/>
      <w:outlineLvl w:val="6"/>
    </w:pPr>
    <w:rPr>
      <w:rFonts w:eastAsiaTheme="minorHAnsi" w:cs="Segoe Script"/>
      <w:color w:val="000000" w:themeColor="text1"/>
      <w:sz w:val="22"/>
      <w:szCs w:val="22"/>
      <w:lang w:val="en-GB" w:eastAsia="en-US"/>
    </w:rPr>
  </w:style>
  <w:style w:type="paragraph" w:customStyle="1" w:styleId="CMSANBodyText">
    <w:name w:val="CMS AN Body Text"/>
    <w:uiPriority w:val="9"/>
    <w:qFormat/>
    <w:rsid w:val="00BE7F67"/>
    <w:pPr>
      <w:spacing w:before="120" w:after="120" w:line="300" w:lineRule="atLeast"/>
      <w:jc w:val="both"/>
    </w:pPr>
    <w:rPr>
      <w:rFonts w:eastAsiaTheme="minorHAnsi" w:cs="Segoe Script"/>
      <w:color w:val="000000" w:themeColor="text1"/>
      <w:sz w:val="22"/>
      <w:szCs w:val="22"/>
      <w:lang w:val="en-GB" w:eastAsia="en-US"/>
    </w:rPr>
  </w:style>
  <w:style w:type="paragraph" w:customStyle="1" w:styleId="CMSANSchedule8">
    <w:name w:val="CMS AN Schedule 8"/>
    <w:uiPriority w:val="23"/>
    <w:rsid w:val="00BE7F67"/>
    <w:pPr>
      <w:numPr>
        <w:ilvl w:val="7"/>
        <w:numId w:val="23"/>
      </w:numPr>
      <w:spacing w:before="120" w:after="120" w:line="300" w:lineRule="atLeast"/>
      <w:jc w:val="both"/>
      <w:outlineLvl w:val="7"/>
    </w:pPr>
    <w:rPr>
      <w:rFonts w:eastAsiaTheme="minorHAnsi"/>
      <w:color w:val="000000" w:themeColor="text1"/>
      <w:sz w:val="22"/>
      <w:szCs w:val="22"/>
      <w:lang w:val="en-GB" w:eastAsia="en-US"/>
    </w:rPr>
  </w:style>
  <w:style w:type="paragraph" w:customStyle="1" w:styleId="CMSANSchedule9">
    <w:name w:val="CMS AN Schedule 9"/>
    <w:uiPriority w:val="23"/>
    <w:rsid w:val="00BE7F67"/>
    <w:pPr>
      <w:numPr>
        <w:ilvl w:val="8"/>
        <w:numId w:val="23"/>
      </w:numPr>
      <w:spacing w:before="120" w:after="120" w:line="300" w:lineRule="atLeast"/>
      <w:jc w:val="both"/>
      <w:outlineLvl w:val="8"/>
    </w:pPr>
    <w:rPr>
      <w:rFonts w:eastAsiaTheme="minorHAnsi"/>
      <w:color w:val="000000" w:themeColor="text1"/>
      <w:sz w:val="22"/>
      <w:szCs w:val="22"/>
      <w:lang w:val="en-GB" w:eastAsia="en-US"/>
    </w:rPr>
  </w:style>
  <w:style w:type="numbering" w:customStyle="1" w:styleId="CMS-ANSchedule">
    <w:name w:val="CMS-AN Schedule"/>
    <w:uiPriority w:val="99"/>
    <w:rsid w:val="00BE7F67"/>
    <w:pPr>
      <w:numPr>
        <w:numId w:val="23"/>
      </w:numPr>
    </w:pPr>
  </w:style>
  <w:style w:type="table" w:customStyle="1" w:styleId="CMSTableHRlight2">
    <w:name w:val="CMS Table HR light 2"/>
    <w:basedOn w:val="Normlntabulka"/>
    <w:uiPriority w:val="99"/>
    <w:rsid w:val="00BE7F67"/>
    <w:rPr>
      <w:rFonts w:eastAsiaTheme="minorHAnsi" w:cstheme="minorBidi"/>
      <w:sz w:val="22"/>
      <w:szCs w:val="22"/>
      <w:lang w:val="en-GB"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A09791"/>
      </w:tcPr>
    </w:tblStylePr>
  </w:style>
  <w:style w:type="paragraph" w:customStyle="1" w:styleId="ENNormalni">
    <w:name w:val="EN_Normalni"/>
    <w:qFormat/>
    <w:rsid w:val="00E602D8"/>
    <w:pPr>
      <w:spacing w:before="120" w:after="120"/>
      <w:jc w:val="both"/>
    </w:pPr>
    <w:rPr>
      <w:sz w:val="22"/>
      <w:szCs w:val="24"/>
      <w:lang w:val="en-US" w:eastAsia="en-US"/>
    </w:rPr>
  </w:style>
  <w:style w:type="paragraph" w:styleId="Odstavecseseznamem">
    <w:name w:val="List Paragraph"/>
    <w:basedOn w:val="Normln"/>
    <w:uiPriority w:val="34"/>
    <w:qFormat/>
    <w:rsid w:val="00625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8518">
      <w:bodyDiv w:val="1"/>
      <w:marLeft w:val="0"/>
      <w:marRight w:val="0"/>
      <w:marTop w:val="0"/>
      <w:marBottom w:val="0"/>
      <w:divBdr>
        <w:top w:val="none" w:sz="0" w:space="0" w:color="auto"/>
        <w:left w:val="none" w:sz="0" w:space="0" w:color="auto"/>
        <w:bottom w:val="none" w:sz="0" w:space="0" w:color="auto"/>
        <w:right w:val="none" w:sz="0" w:space="0" w:color="auto"/>
      </w:divBdr>
    </w:div>
    <w:div w:id="523717402">
      <w:bodyDiv w:val="1"/>
      <w:marLeft w:val="0"/>
      <w:marRight w:val="0"/>
      <w:marTop w:val="0"/>
      <w:marBottom w:val="0"/>
      <w:divBdr>
        <w:top w:val="none" w:sz="0" w:space="0" w:color="auto"/>
        <w:left w:val="none" w:sz="0" w:space="0" w:color="auto"/>
        <w:bottom w:val="none" w:sz="0" w:space="0" w:color="auto"/>
        <w:right w:val="none" w:sz="0" w:space="0" w:color="auto"/>
      </w:divBdr>
    </w:div>
    <w:div w:id="818889834">
      <w:bodyDiv w:val="1"/>
      <w:marLeft w:val="0"/>
      <w:marRight w:val="0"/>
      <w:marTop w:val="0"/>
      <w:marBottom w:val="0"/>
      <w:divBdr>
        <w:top w:val="none" w:sz="0" w:space="0" w:color="auto"/>
        <w:left w:val="none" w:sz="0" w:space="0" w:color="auto"/>
        <w:bottom w:val="none" w:sz="0" w:space="0" w:color="auto"/>
        <w:right w:val="none" w:sz="0" w:space="0" w:color="auto"/>
      </w:divBdr>
    </w:div>
    <w:div w:id="1245723518">
      <w:bodyDiv w:val="1"/>
      <w:marLeft w:val="0"/>
      <w:marRight w:val="0"/>
      <w:marTop w:val="0"/>
      <w:marBottom w:val="0"/>
      <w:divBdr>
        <w:top w:val="none" w:sz="0" w:space="0" w:color="auto"/>
        <w:left w:val="none" w:sz="0" w:space="0" w:color="auto"/>
        <w:bottom w:val="none" w:sz="0" w:space="0" w:color="auto"/>
        <w:right w:val="none" w:sz="0" w:space="0" w:color="auto"/>
      </w:divBdr>
    </w:div>
    <w:div w:id="1257440963">
      <w:bodyDiv w:val="1"/>
      <w:marLeft w:val="0"/>
      <w:marRight w:val="0"/>
      <w:marTop w:val="0"/>
      <w:marBottom w:val="0"/>
      <w:divBdr>
        <w:top w:val="none" w:sz="0" w:space="0" w:color="auto"/>
        <w:left w:val="none" w:sz="0" w:space="0" w:color="auto"/>
        <w:bottom w:val="none" w:sz="0" w:space="0" w:color="auto"/>
        <w:right w:val="none" w:sz="0" w:space="0" w:color="auto"/>
      </w:divBdr>
    </w:div>
    <w:div w:id="1279529498">
      <w:bodyDiv w:val="1"/>
      <w:marLeft w:val="0"/>
      <w:marRight w:val="0"/>
      <w:marTop w:val="0"/>
      <w:marBottom w:val="0"/>
      <w:divBdr>
        <w:top w:val="none" w:sz="0" w:space="0" w:color="auto"/>
        <w:left w:val="none" w:sz="0" w:space="0" w:color="auto"/>
        <w:bottom w:val="none" w:sz="0" w:space="0" w:color="auto"/>
        <w:right w:val="none" w:sz="0" w:space="0" w:color="auto"/>
      </w:divBdr>
    </w:div>
    <w:div w:id="1544175560">
      <w:bodyDiv w:val="1"/>
      <w:marLeft w:val="0"/>
      <w:marRight w:val="0"/>
      <w:marTop w:val="0"/>
      <w:marBottom w:val="0"/>
      <w:divBdr>
        <w:top w:val="none" w:sz="0" w:space="0" w:color="auto"/>
        <w:left w:val="none" w:sz="0" w:space="0" w:color="auto"/>
        <w:bottom w:val="none" w:sz="0" w:space="0" w:color="auto"/>
        <w:right w:val="none" w:sz="0" w:space="0" w:color="auto"/>
      </w:divBdr>
    </w:div>
    <w:div w:id="1767188647">
      <w:bodyDiv w:val="1"/>
      <w:marLeft w:val="0"/>
      <w:marRight w:val="0"/>
      <w:marTop w:val="0"/>
      <w:marBottom w:val="0"/>
      <w:divBdr>
        <w:top w:val="none" w:sz="0" w:space="0" w:color="auto"/>
        <w:left w:val="none" w:sz="0" w:space="0" w:color="auto"/>
        <w:bottom w:val="none" w:sz="0" w:space="0" w:color="auto"/>
        <w:right w:val="none" w:sz="0" w:space="0" w:color="auto"/>
      </w:divBdr>
    </w:div>
    <w:div w:id="1836415730">
      <w:bodyDiv w:val="1"/>
      <w:marLeft w:val="0"/>
      <w:marRight w:val="0"/>
      <w:marTop w:val="0"/>
      <w:marBottom w:val="0"/>
      <w:divBdr>
        <w:top w:val="none" w:sz="0" w:space="0" w:color="auto"/>
        <w:left w:val="none" w:sz="0" w:space="0" w:color="auto"/>
        <w:bottom w:val="none" w:sz="0" w:space="0" w:color="auto"/>
        <w:right w:val="none" w:sz="0" w:space="0" w:color="auto"/>
      </w:divBdr>
    </w:div>
    <w:div w:id="205044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E3C986876F2A45B8DD7FBAF1822764" ma:contentTypeVersion="13" ma:contentTypeDescription="Create a new document." ma:contentTypeScope="" ma:versionID="dd74fff0b63687bf592bc9f53c5c737b">
  <xsd:schema xmlns:xsd="http://www.w3.org/2001/XMLSchema" xmlns:xs="http://www.w3.org/2001/XMLSchema" xmlns:p="http://schemas.microsoft.com/office/2006/metadata/properties" xmlns:ns3="fb3150b3-10b1-4a34-bbf0-86104fca5450" xmlns:ns4="5e747d73-f627-4129-83ef-95075365e094" targetNamespace="http://schemas.microsoft.com/office/2006/metadata/properties" ma:root="true" ma:fieldsID="33ca96561b2daeb00bcb44c0136cd1b1" ns3:_="" ns4:_="">
    <xsd:import namespace="fb3150b3-10b1-4a34-bbf0-86104fca5450"/>
    <xsd:import namespace="5e747d73-f627-4129-83ef-95075365e0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150b3-10b1-4a34-bbf0-86104fca54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47d73-f627-4129-83ef-95075365e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61210-2451-412B-9F75-E15F962F6BB0}">
  <ds:schemaRefs>
    <ds:schemaRef ds:uri="http://schemas.openxmlformats.org/officeDocument/2006/bibliography"/>
  </ds:schemaRefs>
</ds:datastoreItem>
</file>

<file path=customXml/itemProps2.xml><?xml version="1.0" encoding="utf-8"?>
<ds:datastoreItem xmlns:ds="http://schemas.openxmlformats.org/officeDocument/2006/customXml" ds:itemID="{510DFC1D-C78D-442C-9BE5-5FFF2B81C07A}">
  <ds:schemaRefs>
    <ds:schemaRef ds:uri="http://schemas.microsoft.com/sharepoint/v3/contenttype/forms"/>
  </ds:schemaRefs>
</ds:datastoreItem>
</file>

<file path=customXml/itemProps3.xml><?xml version="1.0" encoding="utf-8"?>
<ds:datastoreItem xmlns:ds="http://schemas.openxmlformats.org/officeDocument/2006/customXml" ds:itemID="{F12D3ED7-1BCE-4A55-8A1F-7B904D792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13BB3C-B663-489F-9FE8-5CB9EA786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150b3-10b1-4a34-bbf0-86104fca5450"/>
    <ds:schemaRef ds:uri="5e747d73-f627-4129-83ef-95075365e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5596</Words>
  <Characters>33017</Characters>
  <Application>Microsoft Office Word</Application>
  <DocSecurity>0</DocSecurity>
  <Lines>275</Lines>
  <Paragraphs>77</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LinksUpToDate>false</LinksUpToDate>
  <CharactersWithSpaces>38536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1900-12-31T22:00:00Z</cp:lastPrinted>
  <dcterms:created xsi:type="dcterms:W3CDTF">2021-06-30T14:07:00Z</dcterms:created>
  <dcterms:modified xsi:type="dcterms:W3CDTF">2021-06-30T14:13:00Z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0x010100ADE3C986876F2A45B8DD7FBAF1822764</vt:lpwstr>
  </property>
  <property fmtid="{D5CDD505-2E9C-101B-9397-08002B2CF9AE}" pid="3" name="MSIP_Label_16de74a9-4f8a-4c74-b507-22417e17d25b_Enabled">
    <vt:lpwstr>true</vt:lpwstr>
  </property>
  <property fmtid="{D5CDD505-2E9C-101B-9397-08002B2CF9AE}" pid="4" name="MSIP_Label_16de74a9-4f8a-4c74-b507-22417e17d25b_SetDate">
    <vt:lpwstr>2021-06-17T12:43:43Z</vt:lpwstr>
  </property>
  <property fmtid="{D5CDD505-2E9C-101B-9397-08002B2CF9AE}" pid="5" name="MSIP_Label_16de74a9-4f8a-4c74-b507-22417e17d25b_Method">
    <vt:lpwstr>Privileged</vt:lpwstr>
  </property>
  <property fmtid="{D5CDD505-2E9C-101B-9397-08002B2CF9AE}" pid="6" name="MSIP_Label_16de74a9-4f8a-4c74-b507-22417e17d25b_Name">
    <vt:lpwstr>16de74a9-4f8a-4c74-b507-22417e17d25b</vt:lpwstr>
  </property>
  <property fmtid="{D5CDD505-2E9C-101B-9397-08002B2CF9AE}" pid="7" name="MSIP_Label_16de74a9-4f8a-4c74-b507-22417e17d25b_SiteId">
    <vt:lpwstr>a5a8bcaa-3292-41e6-b735-5e8b21f4dbfd</vt:lpwstr>
  </property>
  <property fmtid="{D5CDD505-2E9C-101B-9397-08002B2CF9AE}" pid="8" name="MSIP_Label_16de74a9-4f8a-4c74-b507-22417e17d25b_ActionId">
    <vt:lpwstr>181663b1-060b-4eb5-b637-f3b8e4d02c64</vt:lpwstr>
  </property>
  <property fmtid="{D5CDD505-2E9C-101B-9397-08002B2CF9AE}" pid="9" name="MSIP_Label_16de74a9-4f8a-4c74-b507-22417e17d25b_ContentBits">
    <vt:lpwstr>0</vt:lpwstr>
  </property>
</Properties>
</file>