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62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K U P N Í S M L O U V A</w:t>
      </w:r>
      <w:bookmarkEnd w:id="0"/>
      <w:bookmarkEnd w:id="1"/>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w:t>
      </w:r>
    </w:p>
    <w:p>
      <w:pPr>
        <w:pStyle w:val="Style11"/>
        <w:keepNext/>
        <w:keepLines/>
        <w:widowControl w:val="0"/>
        <w:shd w:val="clear" w:color="auto" w:fill="auto"/>
        <w:bidi w:val="0"/>
        <w:spacing w:before="0" w:after="32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Smluvní strany</w:t>
      </w:r>
      <w:bookmarkEnd w:id="2"/>
      <w:bookmarkEnd w:id="3"/>
    </w:p>
    <w:tbl>
      <w:tblPr>
        <w:tblOverlap w:val="never"/>
        <w:jc w:val="left"/>
        <w:tblLayout w:type="fixed"/>
      </w:tblPr>
      <w:tblGrid>
        <w:gridCol w:w="1944"/>
        <w:gridCol w:w="6518"/>
      </w:tblGrid>
      <w:tr>
        <w:trPr>
          <w:trHeight w:val="298"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322"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Kosovská 1122/16, 586 01 Jihlava</w:t>
            </w:r>
          </w:p>
        </w:tc>
      </w:tr>
      <w:tr>
        <w:trPr>
          <w:trHeight w:val="34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Ing. Radovanem Necidem, ředitelem organizace</w:t>
            </w:r>
          </w:p>
        </w:tc>
      </w:tr>
      <w:tr>
        <w:trPr>
          <w:trHeight w:val="32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00090450</w:t>
            </w:r>
          </w:p>
        </w:tc>
      </w:tr>
      <w:tr>
        <w:trPr>
          <w:trHeight w:val="33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CZ00090450</w:t>
            </w:r>
          </w:p>
        </w:tc>
      </w:tr>
      <w:tr>
        <w:trPr>
          <w:trHeight w:val="379"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Kraj Vysočina</w:t>
            </w:r>
          </w:p>
        </w:tc>
      </w:tr>
    </w:tbl>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kupující)</w:t>
      </w:r>
    </w:p>
    <w:p>
      <w:pPr>
        <w:widowControl w:val="0"/>
        <w:spacing w:after="959" w:line="1" w:lineRule="exact"/>
      </w:pP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Prodávající:</w:t>
      </w:r>
    </w:p>
    <w:tbl>
      <w:tblPr>
        <w:tblOverlap w:val="never"/>
        <w:jc w:val="center"/>
        <w:tblLayout w:type="fixed"/>
      </w:tblPr>
      <w:tblGrid>
        <w:gridCol w:w="1862"/>
        <w:gridCol w:w="6677"/>
      </w:tblGrid>
      <w:tr>
        <w:trPr>
          <w:trHeight w:val="34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Obchodní firma:</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ContiTrade Services s.r.o.</w:t>
            </w:r>
          </w:p>
        </w:tc>
      </w:tr>
      <w:tr>
        <w:trPr>
          <w:trHeight w:val="341"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Objízdná 1628, 765 02 Otrokovice</w:t>
            </w:r>
          </w:p>
        </w:tc>
      </w:tr>
      <w:tr>
        <w:trPr>
          <w:trHeight w:val="312"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Romanem Sabolem, Ing. Petrem Sedláčkem, jednateli společnosti</w:t>
            </w:r>
          </w:p>
        </w:tc>
      </w:tr>
    </w:tbl>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u Krajského soudu v Brně, oddíl C, vložka 61380</w:t>
      </w:r>
    </w:p>
    <w:p>
      <w:pPr>
        <w:widowControl w:val="0"/>
        <w:spacing w:after="99" w:line="1" w:lineRule="exact"/>
      </w:pPr>
    </w:p>
    <w:tbl>
      <w:tblPr>
        <w:tblOverlap w:val="never"/>
        <w:jc w:val="center"/>
        <w:tblLayout w:type="fixed"/>
      </w:tblPr>
      <w:tblGrid>
        <w:gridCol w:w="1862"/>
        <w:gridCol w:w="6672"/>
      </w:tblGrid>
      <w:tr>
        <w:trPr>
          <w:trHeight w:val="274"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41193598</w:t>
            </w:r>
          </w:p>
        </w:tc>
      </w:tr>
      <w:tr>
        <w:trPr>
          <w:trHeight w:val="274"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CZ41193598</w:t>
            </w:r>
          </w:p>
        </w:tc>
      </w:tr>
    </w:tbl>
    <w:p>
      <w:pPr>
        <w:pStyle w:val="Style13"/>
        <w:keepNext w:val="0"/>
        <w:keepLines w:val="0"/>
        <w:widowControl w:val="0"/>
        <w:shd w:val="clear" w:color="auto" w:fill="auto"/>
        <w:bidi w:val="0"/>
        <w:spacing w:before="0" w:after="0" w:line="240" w:lineRule="auto"/>
        <w:ind w:left="29" w:right="0" w:firstLine="0"/>
        <w:jc w:val="left"/>
      </w:pPr>
      <w:r>
        <w:rPr>
          <w:color w:val="000000"/>
          <w:spacing w:val="0"/>
          <w:w w:val="100"/>
          <w:position w:val="0"/>
          <w:shd w:val="clear" w:color="auto" w:fill="auto"/>
          <w:lang w:val="cs-CZ" w:eastAsia="cs-CZ" w:bidi="cs-CZ"/>
        </w:rPr>
        <w:t>(dále jen prodávající)</w:t>
      </w:r>
    </w:p>
    <w:p>
      <w:pPr>
        <w:widowControl w:val="0"/>
        <w:spacing w:after="199" w:line="1" w:lineRule="exact"/>
      </w:pPr>
    </w:p>
    <w:p>
      <w:pPr>
        <w:pStyle w:val="Style8"/>
        <w:keepNext w:val="0"/>
        <w:keepLines w:val="0"/>
        <w:widowControl w:val="0"/>
        <w:shd w:val="clear" w:color="auto" w:fill="auto"/>
        <w:bidi w:val="0"/>
        <w:spacing w:before="0" w:line="271" w:lineRule="auto"/>
        <w:ind w:left="0" w:right="0" w:firstLine="0"/>
        <w:jc w:val="both"/>
      </w:pPr>
      <w:r>
        <w:rPr>
          <w:color w:val="000000"/>
          <w:spacing w:val="0"/>
          <w:w w:val="100"/>
          <w:position w:val="0"/>
          <w:shd w:val="clear" w:color="auto" w:fill="auto"/>
          <w:lang w:val="cs-CZ" w:eastAsia="cs-CZ" w:bidi="cs-CZ"/>
        </w:rPr>
        <w:t xml:space="preserve">Smluvní strany se dohodly, že jejich závazkový vztah se řídí </w:t>
      </w:r>
      <w:r>
        <w:rPr>
          <w:b/>
          <w:bCs/>
          <w:color w:val="000000"/>
          <w:spacing w:val="0"/>
          <w:w w:val="100"/>
          <w:position w:val="0"/>
          <w:shd w:val="clear" w:color="auto" w:fill="auto"/>
          <w:lang w:val="cs-CZ" w:eastAsia="cs-CZ" w:bidi="cs-CZ"/>
        </w:rPr>
        <w:t xml:space="preserve">§ 2079 a násl. zákona č. 89/2012 Sb., občanského zákoníku (dále jen „OZ“) </w:t>
      </w:r>
      <w:r>
        <w:rPr>
          <w:color w:val="000000"/>
          <w:spacing w:val="0"/>
          <w:w w:val="100"/>
          <w:position w:val="0"/>
          <w:shd w:val="clear" w:color="auto" w:fill="auto"/>
          <w:lang w:val="cs-CZ" w:eastAsia="cs-CZ" w:bidi="cs-CZ"/>
        </w:rPr>
        <w:t xml:space="preserve">a za účelem realizace nákupu zboží definovaného v této kupní smlouvě navazující na výběr nejvhodnější nabídky v rámci zavedeného </w:t>
      </w:r>
      <w:r>
        <w:rPr>
          <w:i/>
          <w:iCs/>
          <w:color w:val="000000"/>
          <w:spacing w:val="0"/>
          <w:w w:val="100"/>
          <w:position w:val="0"/>
          <w:shd w:val="clear" w:color="auto" w:fill="auto"/>
          <w:lang w:val="cs-CZ" w:eastAsia="cs-CZ" w:bidi="cs-CZ"/>
        </w:rPr>
        <w:t>Dynamického nákupního systému na dodávky pneumatik 2019 - 2021</w:t>
      </w:r>
      <w:r>
        <w:rPr>
          <w:color w:val="000000"/>
          <w:spacing w:val="0"/>
          <w:w w:val="100"/>
          <w:position w:val="0"/>
          <w:shd w:val="clear" w:color="auto" w:fill="auto"/>
          <w:lang w:val="cs-CZ" w:eastAsia="cs-CZ" w:bidi="cs-CZ"/>
        </w:rPr>
        <w:t xml:space="preserve"> uzavírají níže uvedeného dne, měsíce a roku tuto</w:t>
      </w:r>
    </w:p>
    <w:p>
      <w:pPr>
        <w:pStyle w:val="Style11"/>
        <w:keepNext/>
        <w:keepLines/>
        <w:widowControl w:val="0"/>
        <w:shd w:val="clear" w:color="auto" w:fill="auto"/>
        <w:bidi w:val="0"/>
        <w:spacing w:before="0" w:line="271"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Kupní smlouvu (dále jen „smlouva“),</w:t>
      </w:r>
      <w:bookmarkEnd w:id="4"/>
      <w:bookmarkEnd w:id="5"/>
    </w:p>
    <w:p>
      <w:pPr>
        <w:pStyle w:val="Style8"/>
        <w:keepNext w:val="0"/>
        <w:keepLines w:val="0"/>
        <w:widowControl w:val="0"/>
        <w:shd w:val="clear" w:color="auto" w:fill="auto"/>
        <w:bidi w:val="0"/>
        <w:spacing w:before="0" w:after="520" w:line="271" w:lineRule="auto"/>
        <w:ind w:left="0" w:right="0" w:firstLine="0"/>
        <w:jc w:val="both"/>
      </w:pPr>
      <w:r>
        <w:rPr>
          <w:color w:val="000000"/>
          <w:spacing w:val="0"/>
          <w:w w:val="100"/>
          <w:position w:val="0"/>
          <w:shd w:val="clear" w:color="auto" w:fill="auto"/>
          <w:lang w:val="cs-CZ" w:eastAsia="cs-CZ" w:bidi="cs-CZ"/>
        </w:rPr>
        <w:t>kterou se prodávající za úplatu zavazuje odevzdat kupujícímu věc a převést na něj vlastnické právo k prodávané věci a kupující se zavazuje zaplatit prodávajícímu kupní cenu.</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2</w:t>
      </w:r>
    </w:p>
    <w:p>
      <w:pPr>
        <w:pStyle w:val="Style11"/>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Předmět plnění</w:t>
      </w:r>
      <w:bookmarkEnd w:id="6"/>
      <w:bookmarkEnd w:id="7"/>
    </w:p>
    <w:p>
      <w:pPr>
        <w:pStyle w:val="Style8"/>
        <w:keepNext w:val="0"/>
        <w:keepLines w:val="0"/>
        <w:widowControl w:val="0"/>
        <w:numPr>
          <w:ilvl w:val="0"/>
          <w:numId w:val="1"/>
        </w:numPr>
        <w:shd w:val="clear" w:color="auto" w:fill="auto"/>
        <w:tabs>
          <w:tab w:pos="706" w:val="left"/>
        </w:tabs>
        <w:bidi w:val="0"/>
        <w:spacing w:before="0" w:line="240" w:lineRule="auto"/>
        <w:ind w:left="740" w:right="0" w:hanging="740"/>
        <w:jc w:val="both"/>
      </w:pPr>
      <w:r>
        <w:rPr>
          <w:color w:val="000000"/>
          <w:spacing w:val="0"/>
          <w:w w:val="100"/>
          <w:position w:val="0"/>
          <w:shd w:val="clear" w:color="auto" w:fill="auto"/>
          <w:lang w:val="cs-CZ" w:eastAsia="cs-CZ" w:bidi="cs-CZ"/>
        </w:rPr>
        <w:t xml:space="preserve">Předmětem této smlouvy je závazek prodávajícího odevzdat kupujícímu v místě plnění </w:t>
      </w:r>
      <w:r>
        <w:rPr>
          <w:b/>
          <w:bCs/>
          <w:color w:val="000000"/>
          <w:spacing w:val="0"/>
          <w:w w:val="100"/>
          <w:position w:val="0"/>
          <w:u w:val="single"/>
          <w:shd w:val="clear" w:color="auto" w:fill="auto"/>
          <w:lang w:val="cs-CZ" w:eastAsia="cs-CZ" w:bidi="cs-CZ"/>
        </w:rPr>
        <w:t>„letní“</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pneumatiky v členění podle </w:t>
      </w:r>
      <w:r>
        <w:rPr>
          <w:b/>
          <w:bCs/>
          <w:color w:val="000000"/>
          <w:spacing w:val="0"/>
          <w:w w:val="100"/>
          <w:position w:val="0"/>
          <w:shd w:val="clear" w:color="auto" w:fill="auto"/>
          <w:lang w:val="cs-CZ" w:eastAsia="cs-CZ" w:bidi="cs-CZ"/>
        </w:rPr>
        <w:t xml:space="preserve">přílohy V1/84 </w:t>
      </w:r>
      <w:r>
        <w:rPr>
          <w:color w:val="000000"/>
          <w:spacing w:val="0"/>
          <w:w w:val="100"/>
          <w:position w:val="0"/>
          <w:shd w:val="clear" w:color="auto" w:fill="auto"/>
          <w:lang w:val="cs-CZ" w:eastAsia="cs-CZ" w:bidi="cs-CZ"/>
        </w:rPr>
        <w:t xml:space="preserve">této smlouvy (dále jen zboží) a umožnit kupujícímu nabýt vlastnické právo k tomuto zboží, k čemuž je prodávající oprávněn. Předmětem plnění mohou být i pneumatiky celoroční nebo zimní, pokud je tak blíže stanoveno v </w:t>
      </w:r>
      <w:r>
        <w:rPr>
          <w:b/>
          <w:bCs/>
          <w:color w:val="000000"/>
          <w:spacing w:val="0"/>
          <w:w w:val="100"/>
          <w:position w:val="0"/>
          <w:shd w:val="clear" w:color="auto" w:fill="auto"/>
          <w:lang w:val="cs-CZ" w:eastAsia="cs-CZ" w:bidi="cs-CZ"/>
        </w:rPr>
        <w:t>příloze V1/84</w:t>
      </w:r>
      <w:r>
        <w:rPr>
          <w:color w:val="000000"/>
          <w:spacing w:val="0"/>
          <w:w w:val="100"/>
          <w:position w:val="0"/>
          <w:shd w:val="clear" w:color="auto" w:fill="auto"/>
          <w:lang w:val="cs-CZ" w:eastAsia="cs-CZ" w:bidi="cs-CZ"/>
        </w:rPr>
        <w:t>.</w:t>
      </w:r>
    </w:p>
    <w:p>
      <w:pPr>
        <w:pStyle w:val="Style8"/>
        <w:keepNext w:val="0"/>
        <w:keepLines w:val="0"/>
        <w:widowControl w:val="0"/>
        <w:numPr>
          <w:ilvl w:val="0"/>
          <w:numId w:val="1"/>
        </w:numPr>
        <w:shd w:val="clear" w:color="auto" w:fill="auto"/>
        <w:tabs>
          <w:tab w:pos="706" w:val="left"/>
        </w:tabs>
        <w:bidi w:val="0"/>
        <w:spacing w:before="0" w:after="160" w:line="240" w:lineRule="auto"/>
        <w:ind w:left="0" w:right="0" w:firstLine="0"/>
        <w:jc w:val="both"/>
      </w:pPr>
      <w:r>
        <w:rPr>
          <w:color w:val="000000"/>
          <w:spacing w:val="0"/>
          <w:w w:val="100"/>
          <w:position w:val="0"/>
          <w:shd w:val="clear" w:color="auto" w:fill="auto"/>
          <w:lang w:val="cs-CZ" w:eastAsia="cs-CZ" w:bidi="cs-CZ"/>
        </w:rPr>
        <w:t xml:space="preserve">Technický popis a parametry plně odpovídají </w:t>
      </w:r>
      <w:r>
        <w:rPr>
          <w:b/>
          <w:bCs/>
          <w:color w:val="000000"/>
          <w:spacing w:val="0"/>
          <w:w w:val="100"/>
          <w:position w:val="0"/>
          <w:shd w:val="clear" w:color="auto" w:fill="auto"/>
          <w:lang w:val="cs-CZ" w:eastAsia="cs-CZ" w:bidi="cs-CZ"/>
        </w:rPr>
        <w:t xml:space="preserve">příloze V1/84 </w:t>
      </w:r>
      <w:r>
        <w:rPr>
          <w:color w:val="000000"/>
          <w:spacing w:val="0"/>
          <w:w w:val="100"/>
          <w:position w:val="0"/>
          <w:shd w:val="clear" w:color="auto" w:fill="auto"/>
          <w:lang w:val="cs-CZ" w:eastAsia="cs-CZ" w:bidi="cs-CZ"/>
        </w:rPr>
        <w:t>a nabídce prodávajícího.</w:t>
      </w:r>
    </w:p>
    <w:p>
      <w:pPr>
        <w:pStyle w:val="Style8"/>
        <w:keepNext w:val="0"/>
        <w:keepLines w:val="0"/>
        <w:widowControl w:val="0"/>
        <w:numPr>
          <w:ilvl w:val="0"/>
          <w:numId w:val="1"/>
        </w:numPr>
        <w:shd w:val="clear" w:color="auto" w:fill="auto"/>
        <w:tabs>
          <w:tab w:pos="71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Rok výroby pneumatik </w:t>
      </w:r>
      <w:r>
        <w:rPr>
          <w:b/>
          <w:bCs/>
          <w:color w:val="000000"/>
          <w:spacing w:val="0"/>
          <w:w w:val="100"/>
          <w:position w:val="0"/>
          <w:shd w:val="clear" w:color="auto" w:fill="auto"/>
          <w:lang w:val="cs-CZ" w:eastAsia="cs-CZ" w:bidi="cs-CZ"/>
        </w:rPr>
        <w:t>2019 až 2021</w:t>
      </w:r>
      <w:r>
        <w:rPr>
          <w:color w:val="000000"/>
          <w:spacing w:val="0"/>
          <w:w w:val="100"/>
          <w:position w:val="0"/>
          <w:shd w:val="clear" w:color="auto" w:fill="auto"/>
          <w:lang w:val="cs-CZ" w:eastAsia="cs-CZ" w:bidi="cs-CZ"/>
        </w:rPr>
        <w:t>.</w:t>
      </w:r>
    </w:p>
    <w:p>
      <w:pPr>
        <w:pStyle w:val="Style8"/>
        <w:keepNext w:val="0"/>
        <w:keepLines w:val="0"/>
        <w:widowControl w:val="0"/>
        <w:numPr>
          <w:ilvl w:val="0"/>
          <w:numId w:val="1"/>
        </w:numPr>
        <w:shd w:val="clear" w:color="auto" w:fill="auto"/>
        <w:tabs>
          <w:tab w:pos="714" w:val="left"/>
        </w:tabs>
        <w:bidi w:val="0"/>
        <w:spacing w:before="0" w:line="240" w:lineRule="auto"/>
        <w:ind w:left="740" w:right="0" w:hanging="740"/>
        <w:jc w:val="both"/>
      </w:pPr>
      <w:r>
        <w:rPr>
          <w:b/>
          <w:bCs/>
          <w:color w:val="000000"/>
          <w:spacing w:val="0"/>
          <w:w w:val="100"/>
          <w:position w:val="0"/>
          <w:shd w:val="clear" w:color="auto" w:fill="auto"/>
          <w:lang w:val="cs-CZ" w:eastAsia="cs-CZ" w:bidi="cs-CZ"/>
        </w:rPr>
        <w:t xml:space="preserve">Prodávající je povinen dodat zboží </w:t>
      </w:r>
      <w:r>
        <w:rPr>
          <w:color w:val="000000"/>
          <w:spacing w:val="0"/>
          <w:w w:val="100"/>
          <w:position w:val="0"/>
          <w:shd w:val="clear" w:color="auto" w:fill="auto"/>
          <w:lang w:val="cs-CZ" w:eastAsia="cs-CZ" w:bidi="cs-CZ"/>
        </w:rPr>
        <w:t xml:space="preserve">v množství, provedení, jakosti, balené, konzervované a chráněné pro přepravu podle předpisů. Prodávající je povinen při odevzdání zboží předat kupujícímu doklady, nezbytné k převzetí a užívání zboží dle </w:t>
      </w:r>
      <w:r>
        <w:rPr>
          <w:b/>
          <w:bCs/>
          <w:color w:val="000000"/>
          <w:spacing w:val="0"/>
          <w:w w:val="100"/>
          <w:position w:val="0"/>
          <w:shd w:val="clear" w:color="auto" w:fill="auto"/>
          <w:lang w:val="cs-CZ" w:eastAsia="cs-CZ" w:bidi="cs-CZ"/>
        </w:rPr>
        <w:t>§ 2094 OZ</w:t>
      </w:r>
      <w:r>
        <w:rPr>
          <w:color w:val="000000"/>
          <w:spacing w:val="0"/>
          <w:w w:val="100"/>
          <w:position w:val="0"/>
          <w:shd w:val="clear" w:color="auto" w:fill="auto"/>
          <w:lang w:val="cs-CZ" w:eastAsia="cs-CZ" w:bidi="cs-CZ"/>
        </w:rPr>
        <w:t>.</w:t>
      </w:r>
    </w:p>
    <w:p>
      <w:pPr>
        <w:pStyle w:val="Style8"/>
        <w:keepNext w:val="0"/>
        <w:keepLines w:val="0"/>
        <w:widowControl w:val="0"/>
        <w:numPr>
          <w:ilvl w:val="0"/>
          <w:numId w:val="1"/>
        </w:numPr>
        <w:shd w:val="clear" w:color="auto" w:fill="auto"/>
        <w:tabs>
          <w:tab w:pos="714" w:val="left"/>
        </w:tabs>
        <w:bidi w:val="0"/>
        <w:spacing w:before="0" w:line="240" w:lineRule="auto"/>
        <w:ind w:left="740" w:right="0" w:hanging="740"/>
        <w:jc w:val="both"/>
      </w:pPr>
      <w:r>
        <w:rPr>
          <w:color w:val="000000"/>
          <w:spacing w:val="0"/>
          <w:w w:val="100"/>
          <w:position w:val="0"/>
          <w:shd w:val="clear" w:color="auto" w:fill="auto"/>
          <w:lang w:val="cs-CZ" w:eastAsia="cs-CZ" w:bidi="cs-CZ"/>
        </w:rPr>
        <w:t>Prodávající prohlašuje, že dodané zboží je nové a nepoužívané, není zastavené, zapůjčené, zatížené leasingem nebo jinými právními vadami, neporušuje práva třetích osob k patentu nebo k jiné formě duševního vlastnictví a odpovídá platným technickým normám a předpisům výrobce.</w:t>
      </w:r>
    </w:p>
    <w:p>
      <w:pPr>
        <w:pStyle w:val="Style8"/>
        <w:keepNext w:val="0"/>
        <w:keepLines w:val="0"/>
        <w:widowControl w:val="0"/>
        <w:numPr>
          <w:ilvl w:val="0"/>
          <w:numId w:val="1"/>
        </w:numPr>
        <w:shd w:val="clear" w:color="auto" w:fill="auto"/>
        <w:tabs>
          <w:tab w:pos="714" w:val="left"/>
        </w:tabs>
        <w:bidi w:val="0"/>
        <w:spacing w:before="0" w:line="240" w:lineRule="auto"/>
        <w:ind w:left="740" w:right="0" w:hanging="740"/>
        <w:jc w:val="both"/>
      </w:pPr>
      <w:r>
        <w:rPr>
          <w:color w:val="000000"/>
          <w:spacing w:val="0"/>
          <w:w w:val="100"/>
          <w:position w:val="0"/>
          <w:shd w:val="clear" w:color="auto" w:fill="auto"/>
          <w:lang w:val="cs-CZ" w:eastAsia="cs-CZ" w:bidi="cs-CZ"/>
        </w:rPr>
        <w:t xml:space="preserve">Předmětem smlouvy je dále bezplatný odběr a ekologická likvidace zboží (ojetých a poškozených pneumatik), které jsou nahrazeny novým zbožím od prodávajícího. Odběr bude prováděn prodávajícím bezplatně v místě plnění dle </w:t>
      </w:r>
      <w:r>
        <w:rPr>
          <w:b/>
          <w:bCs/>
          <w:color w:val="000000"/>
          <w:spacing w:val="0"/>
          <w:w w:val="100"/>
          <w:position w:val="0"/>
          <w:shd w:val="clear" w:color="auto" w:fill="auto"/>
          <w:lang w:val="cs-CZ" w:eastAsia="cs-CZ" w:bidi="cs-CZ"/>
        </w:rPr>
        <w:t>čl. 4</w:t>
      </w:r>
      <w:r>
        <w:rPr>
          <w:color w:val="000000"/>
          <w:spacing w:val="0"/>
          <w:w w:val="100"/>
          <w:position w:val="0"/>
          <w:shd w:val="clear" w:color="auto" w:fill="auto"/>
          <w:lang w:val="cs-CZ" w:eastAsia="cs-CZ" w:bidi="cs-CZ"/>
        </w:rPr>
        <w:t>.</w:t>
      </w:r>
    </w:p>
    <w:p>
      <w:pPr>
        <w:pStyle w:val="Style8"/>
        <w:keepNext w:val="0"/>
        <w:keepLines w:val="0"/>
        <w:widowControl w:val="0"/>
        <w:numPr>
          <w:ilvl w:val="0"/>
          <w:numId w:val="1"/>
        </w:numPr>
        <w:shd w:val="clear" w:color="auto" w:fill="auto"/>
        <w:tabs>
          <w:tab w:pos="714" w:val="left"/>
        </w:tabs>
        <w:bidi w:val="0"/>
        <w:spacing w:before="0" w:after="520" w:line="240" w:lineRule="auto"/>
        <w:ind w:left="740" w:right="0" w:hanging="740"/>
        <w:jc w:val="both"/>
      </w:pPr>
      <w:r>
        <w:rPr>
          <w:color w:val="000000"/>
          <w:spacing w:val="0"/>
          <w:w w:val="100"/>
          <w:position w:val="0"/>
          <w:shd w:val="clear" w:color="auto" w:fill="auto"/>
          <w:lang w:val="cs-CZ" w:eastAsia="cs-CZ" w:bidi="cs-CZ"/>
        </w:rPr>
        <w:t xml:space="preserve">Předmětem této smlouvy je též závazek kupujícího zaplatit za zboží cenu dle </w:t>
      </w:r>
      <w:r>
        <w:rPr>
          <w:b/>
          <w:bCs/>
          <w:color w:val="000000"/>
          <w:spacing w:val="0"/>
          <w:w w:val="100"/>
          <w:position w:val="0"/>
          <w:shd w:val="clear" w:color="auto" w:fill="auto"/>
          <w:lang w:val="cs-CZ" w:eastAsia="cs-CZ" w:bidi="cs-CZ"/>
        </w:rPr>
        <w:t xml:space="preserve">čl. 3 </w:t>
      </w:r>
      <w:r>
        <w:rPr>
          <w:color w:val="000000"/>
          <w:spacing w:val="0"/>
          <w:w w:val="100"/>
          <w:position w:val="0"/>
          <w:shd w:val="clear" w:color="auto" w:fill="auto"/>
          <w:lang w:val="cs-CZ" w:eastAsia="cs-CZ" w:bidi="cs-CZ"/>
        </w:rPr>
        <w:t>této smlouvy.</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3</w:t>
      </w:r>
    </w:p>
    <w:p>
      <w:pPr>
        <w:pStyle w:val="Style11"/>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Cena za plnění</w:t>
      </w:r>
      <w:bookmarkEnd w:id="8"/>
      <w:bookmarkEnd w:id="9"/>
    </w:p>
    <w:p>
      <w:pPr>
        <w:pStyle w:val="Style8"/>
        <w:keepNext w:val="0"/>
        <w:keepLines w:val="0"/>
        <w:widowControl w:val="0"/>
        <w:numPr>
          <w:ilvl w:val="0"/>
          <w:numId w:val="3"/>
        </w:numPr>
        <w:shd w:val="clear" w:color="auto" w:fill="auto"/>
        <w:tabs>
          <w:tab w:pos="714" w:val="left"/>
        </w:tabs>
        <w:bidi w:val="0"/>
        <w:spacing w:before="0" w:line="240" w:lineRule="auto"/>
        <w:ind w:left="740" w:right="0" w:hanging="740"/>
        <w:jc w:val="both"/>
      </w:pPr>
      <w:r>
        <w:rPr>
          <w:color w:val="000000"/>
          <w:spacing w:val="0"/>
          <w:w w:val="100"/>
          <w:position w:val="0"/>
          <w:shd w:val="clear" w:color="auto" w:fill="auto"/>
          <w:lang w:val="cs-CZ" w:eastAsia="cs-CZ" w:bidi="cs-CZ"/>
        </w:rPr>
        <w:t xml:space="preserve">Finanční objem plnění podle </w:t>
      </w:r>
      <w:r>
        <w:rPr>
          <w:b/>
          <w:bCs/>
          <w:color w:val="000000"/>
          <w:spacing w:val="0"/>
          <w:w w:val="100"/>
          <w:position w:val="0"/>
          <w:shd w:val="clear" w:color="auto" w:fill="auto"/>
          <w:lang w:val="cs-CZ" w:eastAsia="cs-CZ" w:bidi="cs-CZ"/>
        </w:rPr>
        <w:t xml:space="preserve">čl. 2 </w:t>
      </w:r>
      <w:r>
        <w:rPr>
          <w:color w:val="000000"/>
          <w:spacing w:val="0"/>
          <w:w w:val="100"/>
          <w:position w:val="0"/>
          <w:shd w:val="clear" w:color="auto" w:fill="auto"/>
          <w:lang w:val="cs-CZ" w:eastAsia="cs-CZ" w:bidi="cs-CZ"/>
        </w:rPr>
        <w:t xml:space="preserve">této kupní smlouvy je uveden v </w:t>
      </w:r>
      <w:r>
        <w:rPr>
          <w:b/>
          <w:bCs/>
          <w:color w:val="000000"/>
          <w:spacing w:val="0"/>
          <w:w w:val="100"/>
          <w:position w:val="0"/>
          <w:shd w:val="clear" w:color="auto" w:fill="auto"/>
          <w:lang w:val="cs-CZ" w:eastAsia="cs-CZ" w:bidi="cs-CZ"/>
        </w:rPr>
        <w:t xml:space="preserve">příloze V1/84. </w:t>
      </w:r>
      <w:r>
        <w:rPr>
          <w:color w:val="000000"/>
          <w:spacing w:val="0"/>
          <w:w w:val="100"/>
          <w:position w:val="0"/>
          <w:shd w:val="clear" w:color="auto" w:fill="auto"/>
          <w:lang w:val="cs-CZ" w:eastAsia="cs-CZ" w:bidi="cs-CZ"/>
        </w:rPr>
        <w:t>Tato cena zahrnuje veškeré náklady spojené s předmětem smlouvy, tj. cenu zboží včetně dopravného do místa plnění, dokumentace, možnosti řešení záručního servisu a dalších souvisejících nákladů. Tato cena je konečná, nepřekročitelná pro daný předmět smlouvy.</w:t>
      </w:r>
    </w:p>
    <w:p>
      <w:pPr>
        <w:pStyle w:val="Style8"/>
        <w:keepNext w:val="0"/>
        <w:keepLines w:val="0"/>
        <w:widowControl w:val="0"/>
        <w:numPr>
          <w:ilvl w:val="0"/>
          <w:numId w:val="3"/>
        </w:numPr>
        <w:shd w:val="clear" w:color="auto" w:fill="auto"/>
        <w:tabs>
          <w:tab w:pos="714" w:val="left"/>
        </w:tabs>
        <w:bidi w:val="0"/>
        <w:spacing w:before="0" w:line="240" w:lineRule="auto"/>
        <w:ind w:left="740" w:right="0" w:hanging="740"/>
        <w:jc w:val="both"/>
      </w:pPr>
      <w:r>
        <w:rPr>
          <w:color w:val="000000"/>
          <w:spacing w:val="0"/>
          <w:w w:val="100"/>
          <w:position w:val="0"/>
          <w:shd w:val="clear" w:color="auto" w:fill="auto"/>
          <w:lang w:val="cs-CZ" w:eastAsia="cs-CZ" w:bidi="cs-CZ"/>
        </w:rPr>
        <w:t>Cena obsahuje veškeré náklady souvisejících s dodávkou, včetně těch, které nebyly v době zpracování nabídky známy a nutnost jejich úhrady nastala až v době plnění, bez vlivu na kupní cenu.</w:t>
      </w:r>
    </w:p>
    <w:p>
      <w:pPr>
        <w:pStyle w:val="Style8"/>
        <w:keepNext w:val="0"/>
        <w:keepLines w:val="0"/>
        <w:widowControl w:val="0"/>
        <w:numPr>
          <w:ilvl w:val="0"/>
          <w:numId w:val="3"/>
        </w:numPr>
        <w:shd w:val="clear" w:color="auto" w:fill="auto"/>
        <w:tabs>
          <w:tab w:pos="714" w:val="left"/>
        </w:tabs>
        <w:bidi w:val="0"/>
        <w:spacing w:before="0" w:line="240" w:lineRule="auto"/>
        <w:ind w:left="0" w:right="0" w:firstLine="0"/>
        <w:jc w:val="both"/>
      </w:pPr>
      <w:r>
        <w:rPr>
          <w:color w:val="000000"/>
          <w:spacing w:val="0"/>
          <w:w w:val="100"/>
          <w:position w:val="0"/>
          <w:shd w:val="clear" w:color="auto" w:fill="auto"/>
          <w:lang w:val="cs-CZ" w:eastAsia="cs-CZ" w:bidi="cs-CZ"/>
        </w:rPr>
        <w:t>Cena zahrnuje daně, cla, poplatky, případně další náklady spojené s realizací dodávky.</w:t>
      </w:r>
    </w:p>
    <w:p>
      <w:pPr>
        <w:pStyle w:val="Style8"/>
        <w:keepNext w:val="0"/>
        <w:keepLines w:val="0"/>
        <w:widowControl w:val="0"/>
        <w:numPr>
          <w:ilvl w:val="0"/>
          <w:numId w:val="3"/>
        </w:numPr>
        <w:shd w:val="clear" w:color="auto" w:fill="auto"/>
        <w:tabs>
          <w:tab w:pos="714" w:val="left"/>
        </w:tabs>
        <w:bidi w:val="0"/>
        <w:spacing w:before="0" w:line="240" w:lineRule="auto"/>
        <w:ind w:left="740" w:right="0" w:hanging="740"/>
        <w:jc w:val="both"/>
      </w:pPr>
      <w:r>
        <w:rPr>
          <w:color w:val="000000"/>
          <w:spacing w:val="0"/>
          <w:w w:val="100"/>
          <w:position w:val="0"/>
          <w:shd w:val="clear" w:color="auto" w:fill="auto"/>
          <w:lang w:val="cs-CZ" w:eastAsia="cs-CZ" w:bidi="cs-CZ"/>
        </w:rPr>
        <w:t>Cena obsahuje předpokládané změny ceny v závislosti na čase a předpokládanému vývoji cen vstupních nákladů.</w:t>
      </w:r>
    </w:p>
    <w:p>
      <w:pPr>
        <w:pStyle w:val="Style8"/>
        <w:keepNext w:val="0"/>
        <w:keepLines w:val="0"/>
        <w:widowControl w:val="0"/>
        <w:numPr>
          <w:ilvl w:val="0"/>
          <w:numId w:val="3"/>
        </w:numPr>
        <w:shd w:val="clear" w:color="auto" w:fill="auto"/>
        <w:tabs>
          <w:tab w:pos="714" w:val="left"/>
        </w:tabs>
        <w:bidi w:val="0"/>
        <w:spacing w:before="0" w:line="240" w:lineRule="auto"/>
        <w:ind w:left="740" w:right="0" w:hanging="740"/>
        <w:jc w:val="both"/>
      </w:pPr>
      <w:r>
        <w:rPr>
          <w:color w:val="000000"/>
          <w:spacing w:val="0"/>
          <w:w w:val="100"/>
          <w:position w:val="0"/>
          <w:shd w:val="clear" w:color="auto" w:fill="auto"/>
          <w:lang w:val="cs-CZ" w:eastAsia="cs-CZ" w:bidi="cs-CZ"/>
        </w:rPr>
        <w:t>Cena nebude měněna v souvislosti s inflací české koruny, hodnotou kurzu české koruny vůči zahraničním měnám či jinými faktory s vlivem na měnový kurz, a to po celou dobu platnosti smlouvy na dodávku.</w:t>
      </w:r>
    </w:p>
    <w:p>
      <w:pPr>
        <w:pStyle w:val="Style8"/>
        <w:keepNext w:val="0"/>
        <w:keepLines w:val="0"/>
        <w:widowControl w:val="0"/>
        <w:numPr>
          <w:ilvl w:val="0"/>
          <w:numId w:val="3"/>
        </w:numPr>
        <w:shd w:val="clear" w:color="auto" w:fill="auto"/>
        <w:tabs>
          <w:tab w:pos="714"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8"/>
        <w:keepNext w:val="0"/>
        <w:keepLines w:val="0"/>
        <w:widowControl w:val="0"/>
        <w:numPr>
          <w:ilvl w:val="0"/>
          <w:numId w:val="3"/>
        </w:numPr>
        <w:shd w:val="clear" w:color="auto" w:fill="auto"/>
        <w:tabs>
          <w:tab w:pos="714" w:val="left"/>
        </w:tabs>
        <w:bidi w:val="0"/>
        <w:spacing w:before="0" w:line="240" w:lineRule="auto"/>
        <w:ind w:left="740" w:right="0" w:hanging="74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4</w:t>
      </w:r>
    </w:p>
    <w:p>
      <w:pPr>
        <w:pStyle w:val="Style11"/>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Místo plnění, odevzdání a převzetí zboží</w:t>
      </w:r>
      <w:bookmarkEnd w:id="10"/>
      <w:bookmarkEnd w:id="11"/>
    </w:p>
    <w:p>
      <w:pPr>
        <w:pStyle w:val="Style8"/>
        <w:keepNext w:val="0"/>
        <w:keepLines w:val="0"/>
        <w:widowControl w:val="0"/>
        <w:numPr>
          <w:ilvl w:val="0"/>
          <w:numId w:val="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Místem plnění je cestmistrovství nebo středisko kupujícího tak, jak je uvedeno v </w:t>
      </w:r>
      <w:r>
        <w:rPr>
          <w:b/>
          <w:bCs/>
          <w:color w:val="000000"/>
          <w:spacing w:val="0"/>
          <w:w w:val="100"/>
          <w:position w:val="0"/>
          <w:shd w:val="clear" w:color="auto" w:fill="auto"/>
          <w:lang w:val="cs-CZ" w:eastAsia="cs-CZ" w:bidi="cs-CZ"/>
        </w:rPr>
        <w:t>příloze V1/84</w:t>
      </w:r>
      <w:r>
        <w:rPr>
          <w:color w:val="000000"/>
          <w:spacing w:val="0"/>
          <w:w w:val="100"/>
          <w:position w:val="0"/>
          <w:shd w:val="clear" w:color="auto" w:fill="auto"/>
          <w:lang w:val="cs-CZ" w:eastAsia="cs-CZ" w:bidi="cs-CZ"/>
        </w:rPr>
        <w:t>.</w:t>
      </w:r>
    </w:p>
    <w:p>
      <w:pPr>
        <w:pStyle w:val="Style8"/>
        <w:keepNext w:val="0"/>
        <w:keepLines w:val="0"/>
        <w:widowControl w:val="0"/>
        <w:numPr>
          <w:ilvl w:val="0"/>
          <w:numId w:val="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Osoby pověřené jednat jménem kupujícího a prodávajícího jsou uvedeny v </w:t>
      </w:r>
      <w:r>
        <w:rPr>
          <w:b/>
          <w:bCs/>
          <w:color w:val="000000"/>
          <w:spacing w:val="0"/>
          <w:w w:val="100"/>
          <w:position w:val="0"/>
          <w:shd w:val="clear" w:color="auto" w:fill="auto"/>
          <w:lang w:val="cs-CZ" w:eastAsia="cs-CZ" w:bidi="cs-CZ"/>
        </w:rPr>
        <w:t xml:space="preserve">příloze A1 </w:t>
      </w:r>
      <w:r>
        <w:rPr>
          <w:color w:val="000000"/>
          <w:spacing w:val="0"/>
          <w:w w:val="100"/>
          <w:position w:val="0"/>
          <w:shd w:val="clear" w:color="auto" w:fill="auto"/>
          <w:lang w:val="cs-CZ" w:eastAsia="cs-CZ" w:bidi="cs-CZ"/>
        </w:rPr>
        <w:t>této smlouvy.</w:t>
      </w:r>
    </w:p>
    <w:p>
      <w:pPr>
        <w:pStyle w:val="Style8"/>
        <w:keepNext w:val="0"/>
        <w:keepLines w:val="0"/>
        <w:widowControl w:val="0"/>
        <w:numPr>
          <w:ilvl w:val="0"/>
          <w:numId w:val="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je povinen v místě plnění, předat zboží osobě pověřené převzetím zboží s „Dodacím listem“ ve dvojím vyhotovení řádně vyplněným a označený číslem smlouvy, který podepíše osoba pověřená převzetím zboží. Jedno vyhotovení zůstává kupujícímu, druhé vyhotovení prodávajícímu.</w:t>
      </w:r>
    </w:p>
    <w:p>
      <w:pPr>
        <w:pStyle w:val="Style8"/>
        <w:keepNext w:val="0"/>
        <w:keepLines w:val="0"/>
        <w:widowControl w:val="0"/>
        <w:numPr>
          <w:ilvl w:val="0"/>
          <w:numId w:val="5"/>
        </w:numPr>
        <w:shd w:val="clear" w:color="auto" w:fill="auto"/>
        <w:tabs>
          <w:tab w:pos="706" w:val="left"/>
        </w:tabs>
        <w:bidi w:val="0"/>
        <w:spacing w:before="0" w:after="520" w:line="240" w:lineRule="auto"/>
        <w:ind w:left="720" w:right="0" w:hanging="720"/>
        <w:jc w:val="both"/>
      </w:pPr>
      <w:r>
        <w:rPr>
          <w:color w:val="000000"/>
          <w:spacing w:val="0"/>
          <w:w w:val="100"/>
          <w:position w:val="0"/>
          <w:shd w:val="clear" w:color="auto" w:fill="auto"/>
          <w:lang w:val="cs-CZ" w:eastAsia="cs-CZ" w:bidi="cs-CZ"/>
        </w:rPr>
        <w:t>Smluvní strany se vzájemně dohodly, že změna uvedených osob oprávněných jednat ve věcech plnění bude oznamována jednostranným písemným sdělením a není potřeba na jejich změnu uzavřít dodatek ke smlouvě.</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5</w:t>
      </w:r>
    </w:p>
    <w:p>
      <w:pPr>
        <w:pStyle w:val="Style11"/>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Doba plnění</w:t>
      </w:r>
      <w:bookmarkEnd w:id="12"/>
      <w:bookmarkEnd w:id="13"/>
    </w:p>
    <w:p>
      <w:pPr>
        <w:pStyle w:val="Style8"/>
        <w:keepNext w:val="0"/>
        <w:keepLines w:val="0"/>
        <w:widowControl w:val="0"/>
        <w:shd w:val="clear" w:color="auto" w:fill="auto"/>
        <w:bidi w:val="0"/>
        <w:spacing w:before="0" w:after="520" w:line="240" w:lineRule="auto"/>
        <w:ind w:left="0" w:right="0" w:firstLine="0"/>
        <w:jc w:val="both"/>
      </w:pPr>
      <w:r>
        <w:rPr>
          <w:color w:val="000000"/>
          <w:spacing w:val="0"/>
          <w:w w:val="100"/>
          <w:position w:val="0"/>
          <w:shd w:val="clear" w:color="auto" w:fill="auto"/>
          <w:lang w:val="cs-CZ" w:eastAsia="cs-CZ" w:bidi="cs-CZ"/>
        </w:rPr>
        <w:t xml:space="preserve">Prodávající je povinen odevzdat zboží do </w:t>
      </w:r>
      <w:r>
        <w:rPr>
          <w:b/>
          <w:bCs/>
          <w:color w:val="000000"/>
          <w:spacing w:val="0"/>
          <w:w w:val="100"/>
          <w:position w:val="0"/>
          <w:shd w:val="clear" w:color="auto" w:fill="auto"/>
          <w:lang w:val="cs-CZ" w:eastAsia="cs-CZ" w:bidi="cs-CZ"/>
        </w:rPr>
        <w:t xml:space="preserve">10 pracovních dnů </w:t>
      </w:r>
      <w:r>
        <w:rPr>
          <w:color w:val="000000"/>
          <w:spacing w:val="0"/>
          <w:w w:val="100"/>
          <w:position w:val="0"/>
          <w:shd w:val="clear" w:color="auto" w:fill="auto"/>
          <w:lang w:val="cs-CZ" w:eastAsia="cs-CZ" w:bidi="cs-CZ"/>
        </w:rPr>
        <w:t>od nabytí účinnosti této smlouvy. Dřívější plnění je možné.</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6</w:t>
      </w:r>
    </w:p>
    <w:p>
      <w:pPr>
        <w:pStyle w:val="Style11"/>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Platební podmínky</w:t>
      </w:r>
      <w:bookmarkEnd w:id="14"/>
      <w:bookmarkEnd w:id="15"/>
    </w:p>
    <w:p>
      <w:pPr>
        <w:pStyle w:val="Style8"/>
        <w:keepNext w:val="0"/>
        <w:keepLines w:val="0"/>
        <w:widowControl w:val="0"/>
        <w:numPr>
          <w:ilvl w:val="0"/>
          <w:numId w:val="7"/>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Prodávající po předání zboží v souladu s touto kupní smlouvou je povinen vystavit fakturu a do 5 kalendářních dnů doporučeně </w:t>
      </w:r>
      <w:r>
        <w:rPr>
          <w:b/>
          <w:bCs/>
          <w:color w:val="000000"/>
          <w:spacing w:val="0"/>
          <w:w w:val="100"/>
          <w:position w:val="0"/>
          <w:shd w:val="clear" w:color="auto" w:fill="auto"/>
          <w:lang w:val="cs-CZ" w:eastAsia="cs-CZ" w:bidi="cs-CZ"/>
        </w:rPr>
        <w:t xml:space="preserve">odeslat </w:t>
      </w:r>
      <w:r>
        <w:rPr>
          <w:color w:val="000000"/>
          <w:spacing w:val="0"/>
          <w:w w:val="100"/>
          <w:position w:val="0"/>
          <w:shd w:val="clear" w:color="auto" w:fill="auto"/>
          <w:lang w:val="cs-CZ" w:eastAsia="cs-CZ" w:bidi="cs-CZ"/>
        </w:rPr>
        <w:t xml:space="preserve">kupujícímu ve dvojím vyhotovení. Tato faktura je splatná do 30 kalendářních dnů ode dne jejího doručení a povinně, v souladu se </w:t>
      </w:r>
      <w:r>
        <w:rPr>
          <w:b/>
          <w:bCs/>
          <w:color w:val="000000"/>
          <w:spacing w:val="0"/>
          <w:w w:val="100"/>
          <w:position w:val="0"/>
          <w:shd w:val="clear" w:color="auto" w:fill="auto"/>
          <w:lang w:val="cs-CZ" w:eastAsia="cs-CZ" w:bidi="cs-CZ"/>
        </w:rPr>
        <w:t>zákonem č. 235/2004 Sb. o dani z přidané hodnoty, ve znění pozdějších předpisů (dále zákon o DPH)</w:t>
      </w:r>
      <w:r>
        <w:rPr>
          <w:color w:val="000000"/>
          <w:spacing w:val="0"/>
          <w:w w:val="100"/>
          <w:position w:val="0"/>
          <w:shd w:val="clear" w:color="auto" w:fill="auto"/>
          <w:lang w:val="cs-CZ" w:eastAsia="cs-CZ" w:bidi="cs-CZ"/>
        </w:rPr>
        <w:t xml:space="preserve">, a </w:t>
      </w:r>
      <w:r>
        <w:rPr>
          <w:b/>
          <w:bCs/>
          <w:color w:val="000000"/>
          <w:spacing w:val="0"/>
          <w:w w:val="100"/>
          <w:position w:val="0"/>
          <w:shd w:val="clear" w:color="auto" w:fill="auto"/>
          <w:lang w:val="cs-CZ" w:eastAsia="cs-CZ" w:bidi="cs-CZ"/>
        </w:rPr>
        <w:t>zákonem č. 563/1991 Sb. o účetnictví, ve znění pozdějších předpisů</w:t>
      </w:r>
      <w:r>
        <w:rPr>
          <w:color w:val="000000"/>
          <w:spacing w:val="0"/>
          <w:w w:val="100"/>
          <w:position w:val="0"/>
          <w:shd w:val="clear" w:color="auto" w:fill="auto"/>
          <w:lang w:val="cs-CZ" w:eastAsia="cs-CZ" w:bidi="cs-CZ"/>
        </w:rPr>
        <w:t>, obsahuje označení faktura a její číslo, název a sídlo prodávajícího a kupujícího s jejich dalšími identifikačními údaji, označení smlouvy a částku k fakturaci a další údaje povinné podle uvedených právních předpisů.</w:t>
      </w:r>
    </w:p>
    <w:p>
      <w:pPr>
        <w:pStyle w:val="Style8"/>
        <w:keepNext w:val="0"/>
        <w:keepLines w:val="0"/>
        <w:widowControl w:val="0"/>
        <w:numPr>
          <w:ilvl w:val="0"/>
          <w:numId w:val="7"/>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je povinen fakturu a doklady - „Dodací list“ apod. - označit číslem smlouvy kupujícího. Kupující může fakturu vrátit v případě, kdy obsahuje nesprávné nebo neúplné údaje nebo obsahuje nesprávné cenové údaje. Toto vrácení se musí stát do konce lhůty splatnosti faktury. V takovém případě vystaví prodávající novou fakturu s novou lhůtou splatnosti, kterou je povinen doručit kupujícímu.</w:t>
      </w:r>
    </w:p>
    <w:p>
      <w:pPr>
        <w:pStyle w:val="Style8"/>
        <w:keepNext w:val="0"/>
        <w:keepLines w:val="0"/>
        <w:widowControl w:val="0"/>
        <w:numPr>
          <w:ilvl w:val="0"/>
          <w:numId w:val="7"/>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Kupující přijímá i elektronické faktury, a to ve formátech XML nebo PDF. V takovém případě je prodávajícví povinen elektronickou fakturu zaslat kupujícímu na email </w:t>
      </w:r>
      <w:r>
        <w:fldChar w:fldCharType="begin"/>
      </w:r>
      <w:r>
        <w:rPr/>
        <w:instrText> HYPERLINK "mailto:ksusv@ksusv.cz" </w:instrText>
      </w:r>
      <w:r>
        <w:fldChar w:fldCharType="separate"/>
      </w:r>
      <w:r>
        <w:rPr>
          <w:b/>
          <w:bCs/>
          <w:color w:val="0000FF"/>
          <w:spacing w:val="0"/>
          <w:w w:val="100"/>
          <w:position w:val="0"/>
          <w:sz w:val="22"/>
          <w:szCs w:val="22"/>
          <w:u w:val="single"/>
          <w:shd w:val="clear" w:color="auto" w:fill="auto"/>
          <w:lang w:val="en-US" w:eastAsia="en-US" w:bidi="en-US"/>
        </w:rPr>
        <w:t>ksusv@ksusv.cz</w:t>
      </w:r>
      <w:r>
        <w:rPr>
          <w:b/>
          <w:bCs/>
          <w:color w:val="0000FF"/>
          <w:spacing w:val="0"/>
          <w:w w:val="100"/>
          <w:position w:val="0"/>
          <w:sz w:val="22"/>
          <w:szCs w:val="22"/>
          <w:shd w:val="clear" w:color="auto" w:fill="auto"/>
          <w:lang w:val="en-US" w:eastAsia="en-US" w:bidi="en-US"/>
        </w:rPr>
        <w:t xml:space="preserve"> </w:t>
      </w:r>
      <w:r>
        <w:fldChar w:fldCharType="end"/>
      </w:r>
      <w:r>
        <w:rPr>
          <w:color w:val="000000"/>
          <w:spacing w:val="0"/>
          <w:w w:val="100"/>
          <w:position w:val="0"/>
          <w:shd w:val="clear" w:color="auto" w:fill="auto"/>
          <w:lang w:val="cs-CZ" w:eastAsia="cs-CZ" w:bidi="cs-CZ"/>
        </w:rPr>
        <w:t>.</w:t>
      </w:r>
    </w:p>
    <w:p>
      <w:pPr>
        <w:pStyle w:val="Style8"/>
        <w:keepNext w:val="0"/>
        <w:keepLines w:val="0"/>
        <w:widowControl w:val="0"/>
        <w:numPr>
          <w:ilvl w:val="0"/>
          <w:numId w:val="7"/>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Úhrada kupní ceny bude realizována bezhotovostním převodem na účet prodávajícího, který je správcem daně (finančním úřadem) zveřejněn způsobem umožňujícím dálkový přístup ve smyslu </w:t>
      </w:r>
      <w:r>
        <w:rPr>
          <w:b/>
          <w:bCs/>
          <w:color w:val="000000"/>
          <w:spacing w:val="0"/>
          <w:w w:val="100"/>
          <w:position w:val="0"/>
          <w:shd w:val="clear" w:color="auto" w:fill="auto"/>
          <w:lang w:val="cs-CZ" w:eastAsia="cs-CZ" w:bidi="cs-CZ"/>
        </w:rPr>
        <w:t>§ 98 zákona o DPH.</w:t>
      </w:r>
    </w:p>
    <w:p>
      <w:pPr>
        <w:pStyle w:val="Style8"/>
        <w:keepNext w:val="0"/>
        <w:keepLines w:val="0"/>
        <w:widowControl w:val="0"/>
        <w:numPr>
          <w:ilvl w:val="0"/>
          <w:numId w:val="7"/>
        </w:numPr>
        <w:shd w:val="clear" w:color="auto" w:fill="auto"/>
        <w:tabs>
          <w:tab w:pos="706" w:val="left"/>
        </w:tabs>
        <w:bidi w:val="0"/>
        <w:spacing w:before="0" w:after="520" w:line="240" w:lineRule="auto"/>
        <w:ind w:left="720" w:right="0" w:hanging="720"/>
        <w:jc w:val="both"/>
      </w:pPr>
      <w:r>
        <w:rPr>
          <w:color w:val="000000"/>
          <w:spacing w:val="0"/>
          <w:w w:val="100"/>
          <w:position w:val="0"/>
          <w:shd w:val="clear" w:color="auto" w:fill="auto"/>
          <w:lang w:val="cs-CZ" w:eastAsia="cs-CZ" w:bidi="cs-CZ"/>
        </w:rPr>
        <w:t xml:space="preserve">Pokud se po dobu účinnosti této smlouvy prodávající stane nespolehlivým plátcem ve smyslu ustanovení </w:t>
      </w:r>
      <w:r>
        <w:rPr>
          <w:b/>
          <w:bCs/>
          <w:color w:val="000000"/>
          <w:spacing w:val="0"/>
          <w:w w:val="100"/>
          <w:position w:val="0"/>
          <w:shd w:val="clear" w:color="auto" w:fill="auto"/>
          <w:lang w:val="cs-CZ" w:eastAsia="cs-CZ" w:bidi="cs-CZ"/>
        </w:rPr>
        <w:t xml:space="preserve">§ 106a zákona o DPH, </w:t>
      </w:r>
      <w:r>
        <w:rPr>
          <w:color w:val="000000"/>
          <w:spacing w:val="0"/>
          <w:w w:val="100"/>
          <w:position w:val="0"/>
          <w:shd w:val="clear" w:color="auto" w:fill="auto"/>
          <w:lang w:val="cs-CZ" w:eastAsia="cs-CZ" w:bidi="cs-CZ"/>
        </w:rPr>
        <w:t xml:space="preserve">smluvní strany se dohodly, že kupující </w:t>
      </w:r>
      <w:r>
        <w:rPr>
          <w:color w:val="000000"/>
          <w:spacing w:val="0"/>
          <w:w w:val="100"/>
          <w:position w:val="0"/>
          <w:shd w:val="clear" w:color="auto" w:fill="auto"/>
          <w:lang w:val="cs-CZ" w:eastAsia="cs-CZ" w:bidi="cs-CZ"/>
        </w:rPr>
        <w:t>uhradí DPH za zdanitelné plnění přímo příslušnému správci daně. Kupujícím takto provedená úhrada je považována za uhrazení příslušné části smluvní ceny rovnající se výši DPH fakturované prodávajícím.</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7</w:t>
      </w:r>
    </w:p>
    <w:p>
      <w:pPr>
        <w:pStyle w:val="Style11"/>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Povinnosti prodávajícího</w:t>
      </w:r>
      <w:bookmarkEnd w:id="16"/>
      <w:bookmarkEnd w:id="17"/>
    </w:p>
    <w:p>
      <w:pPr>
        <w:pStyle w:val="Style8"/>
        <w:keepNext w:val="0"/>
        <w:keepLines w:val="0"/>
        <w:widowControl w:val="0"/>
        <w:numPr>
          <w:ilvl w:val="0"/>
          <w:numId w:val="9"/>
        </w:numPr>
        <w:shd w:val="clear" w:color="auto" w:fill="auto"/>
        <w:tabs>
          <w:tab w:pos="706" w:val="left"/>
        </w:tabs>
        <w:bidi w:val="0"/>
        <w:spacing w:before="0" w:after="520" w:line="240" w:lineRule="auto"/>
        <w:ind w:left="720" w:right="0" w:hanging="720"/>
        <w:jc w:val="both"/>
      </w:pPr>
      <w:r>
        <w:rPr>
          <w:color w:val="000000"/>
          <w:spacing w:val="0"/>
          <w:w w:val="100"/>
          <w:position w:val="0"/>
          <w:shd w:val="clear" w:color="auto" w:fill="auto"/>
          <w:lang w:val="cs-CZ" w:eastAsia="cs-CZ" w:bidi="cs-CZ"/>
        </w:rPr>
        <w:t>Prodávající je po celou dobu trvání smlouvy povinen splňovat všechny kvalifikační předpoklady bezprostředně související s realizací této smlouvy, které byly požadovány v předchozím zadávacím řízení, na základě něhož byla s prodávajícím, jakožto vybraným dodavatelem uzavřena příslušná smlouva na předmět plnění veřejné zakázky.</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8</w:t>
      </w:r>
    </w:p>
    <w:p>
      <w:pPr>
        <w:pStyle w:val="Style11"/>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Záruky kvality</w:t>
      </w:r>
      <w:bookmarkEnd w:id="18"/>
      <w:bookmarkEnd w:id="19"/>
    </w:p>
    <w:p>
      <w:pPr>
        <w:pStyle w:val="Style8"/>
        <w:keepNext w:val="0"/>
        <w:keepLines w:val="0"/>
        <w:widowControl w:val="0"/>
        <w:numPr>
          <w:ilvl w:val="0"/>
          <w:numId w:val="11"/>
        </w:numPr>
        <w:shd w:val="clear" w:color="auto" w:fill="auto"/>
        <w:tabs>
          <w:tab w:pos="706" w:val="left"/>
        </w:tabs>
        <w:bidi w:val="0"/>
        <w:spacing w:before="0" w:line="240" w:lineRule="auto"/>
        <w:ind w:left="0" w:right="0" w:firstLine="0"/>
        <w:jc w:val="left"/>
      </w:pPr>
      <w:r>
        <w:rPr>
          <w:color w:val="000000"/>
          <w:spacing w:val="0"/>
          <w:w w:val="100"/>
          <w:position w:val="0"/>
          <w:shd w:val="clear" w:color="auto" w:fill="auto"/>
          <w:lang w:val="cs-CZ" w:eastAsia="cs-CZ" w:bidi="cs-CZ"/>
        </w:rPr>
        <w:t xml:space="preserve">Prodávající ručí za dodané zboží </w:t>
      </w:r>
      <w:r>
        <w:rPr>
          <w:b/>
          <w:bCs/>
          <w:color w:val="000000"/>
          <w:spacing w:val="0"/>
          <w:w w:val="100"/>
          <w:position w:val="0"/>
          <w:shd w:val="clear" w:color="auto" w:fill="auto"/>
          <w:lang w:val="cs-CZ" w:eastAsia="cs-CZ" w:bidi="cs-CZ"/>
        </w:rPr>
        <w:t>24 měsíců</w:t>
      </w:r>
      <w:r>
        <w:rPr>
          <w:color w:val="000000"/>
          <w:spacing w:val="0"/>
          <w:w w:val="100"/>
          <w:position w:val="0"/>
          <w:shd w:val="clear" w:color="auto" w:fill="auto"/>
          <w:lang w:val="cs-CZ" w:eastAsia="cs-CZ" w:bidi="cs-CZ"/>
        </w:rPr>
        <w:t>.</w:t>
      </w:r>
    </w:p>
    <w:p>
      <w:pPr>
        <w:pStyle w:val="Style8"/>
        <w:keepNext w:val="0"/>
        <w:keepLines w:val="0"/>
        <w:widowControl w:val="0"/>
        <w:numPr>
          <w:ilvl w:val="0"/>
          <w:numId w:val="11"/>
        </w:numPr>
        <w:shd w:val="clear" w:color="auto" w:fill="auto"/>
        <w:tabs>
          <w:tab w:pos="706" w:val="left"/>
        </w:tabs>
        <w:bidi w:val="0"/>
        <w:spacing w:before="0" w:after="520" w:line="240" w:lineRule="auto"/>
        <w:ind w:left="0" w:right="0" w:firstLine="0"/>
        <w:jc w:val="left"/>
      </w:pPr>
      <w:r>
        <w:rPr>
          <w:color w:val="000000"/>
          <w:spacing w:val="0"/>
          <w:w w:val="100"/>
          <w:position w:val="0"/>
          <w:shd w:val="clear" w:color="auto" w:fill="auto"/>
          <w:lang w:val="cs-CZ" w:eastAsia="cs-CZ" w:bidi="cs-CZ"/>
        </w:rPr>
        <w:t>Reklamace a záruky uplatňuje kupující přímo u prodávajícího.</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9</w:t>
      </w:r>
    </w:p>
    <w:p>
      <w:pPr>
        <w:pStyle w:val="Style11"/>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Smluvní pokuty</w:t>
      </w:r>
      <w:bookmarkEnd w:id="20"/>
      <w:bookmarkEnd w:id="21"/>
    </w:p>
    <w:p>
      <w:pPr>
        <w:pStyle w:val="Style8"/>
        <w:keepNext w:val="0"/>
        <w:keepLines w:val="0"/>
        <w:widowControl w:val="0"/>
        <w:numPr>
          <w:ilvl w:val="0"/>
          <w:numId w:val="1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V případě, že prodávající bude v prodlení s odevzdáním zboží v termínu stanoveném v </w:t>
      </w:r>
      <w:r>
        <w:rPr>
          <w:b/>
          <w:bCs/>
          <w:color w:val="000000"/>
          <w:spacing w:val="0"/>
          <w:w w:val="100"/>
          <w:position w:val="0"/>
          <w:shd w:val="clear" w:color="auto" w:fill="auto"/>
          <w:lang w:val="cs-CZ" w:eastAsia="cs-CZ" w:bidi="cs-CZ"/>
        </w:rPr>
        <w:t xml:space="preserve">čl. 5 </w:t>
      </w:r>
      <w:r>
        <w:rPr>
          <w:color w:val="000000"/>
          <w:spacing w:val="0"/>
          <w:w w:val="100"/>
          <w:position w:val="0"/>
          <w:shd w:val="clear" w:color="auto" w:fill="auto"/>
          <w:lang w:val="cs-CZ" w:eastAsia="cs-CZ" w:bidi="cs-CZ"/>
        </w:rPr>
        <w:t xml:space="preserve">této smlouvy je povinen zaplatit kupujícímu smluvní pokutu ve výši </w:t>
      </w:r>
      <w:r>
        <w:rPr>
          <w:b/>
          <w:bCs/>
          <w:color w:val="000000"/>
          <w:spacing w:val="0"/>
          <w:w w:val="100"/>
          <w:position w:val="0"/>
          <w:shd w:val="clear" w:color="auto" w:fill="auto"/>
          <w:lang w:val="cs-CZ" w:eastAsia="cs-CZ" w:bidi="cs-CZ"/>
        </w:rPr>
        <w:t xml:space="preserve">0,2 % z ceny celkem bez DPH </w:t>
      </w:r>
      <w:r>
        <w:rPr>
          <w:color w:val="000000"/>
          <w:spacing w:val="0"/>
          <w:w w:val="100"/>
          <w:position w:val="0"/>
          <w:shd w:val="clear" w:color="auto" w:fill="auto"/>
          <w:lang w:val="cs-CZ" w:eastAsia="cs-CZ" w:bidi="cs-CZ"/>
        </w:rPr>
        <w:t>za každý i započatý den prodlení.</w:t>
      </w:r>
    </w:p>
    <w:p>
      <w:pPr>
        <w:pStyle w:val="Style8"/>
        <w:keepNext w:val="0"/>
        <w:keepLines w:val="0"/>
        <w:widowControl w:val="0"/>
        <w:numPr>
          <w:ilvl w:val="0"/>
          <w:numId w:val="1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V případě, že kupující bude v prodlení s úhradou řádně vystavené faktury je povinen zaplatit prodávajícímu smluvní pokutu ve výši </w:t>
      </w:r>
      <w:r>
        <w:rPr>
          <w:b/>
          <w:bCs/>
          <w:color w:val="000000"/>
          <w:spacing w:val="0"/>
          <w:w w:val="100"/>
          <w:position w:val="0"/>
          <w:shd w:val="clear" w:color="auto" w:fill="auto"/>
          <w:lang w:val="cs-CZ" w:eastAsia="cs-CZ" w:bidi="cs-CZ"/>
        </w:rPr>
        <w:t xml:space="preserve">0,2 % z ceny celkem bez DPH </w:t>
      </w:r>
      <w:r>
        <w:rPr>
          <w:color w:val="000000"/>
          <w:spacing w:val="0"/>
          <w:w w:val="100"/>
          <w:position w:val="0"/>
          <w:shd w:val="clear" w:color="auto" w:fill="auto"/>
          <w:lang w:val="cs-CZ" w:eastAsia="cs-CZ" w:bidi="cs-CZ"/>
        </w:rPr>
        <w:t>za každý i započatý den prodlení.</w:t>
      </w:r>
    </w:p>
    <w:p>
      <w:pPr>
        <w:pStyle w:val="Style8"/>
        <w:keepNext w:val="0"/>
        <w:keepLines w:val="0"/>
        <w:widowControl w:val="0"/>
        <w:numPr>
          <w:ilvl w:val="0"/>
          <w:numId w:val="1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 případ porušení uvedených smluvních povinností jsou mezi smluvními stranami sjednány dle </w:t>
      </w:r>
      <w:r>
        <w:rPr>
          <w:b/>
          <w:bCs/>
          <w:color w:val="000000"/>
          <w:spacing w:val="0"/>
          <w:w w:val="100"/>
          <w:position w:val="0"/>
          <w:shd w:val="clear" w:color="auto" w:fill="auto"/>
          <w:lang w:val="cs-CZ" w:eastAsia="cs-CZ" w:bidi="cs-CZ"/>
        </w:rPr>
        <w:t xml:space="preserve">§ 2048 a násl. OZ </w:t>
      </w:r>
      <w:r>
        <w:rPr>
          <w:color w:val="000000"/>
          <w:spacing w:val="0"/>
          <w:w w:val="100"/>
          <w:position w:val="0"/>
          <w:shd w:val="clear" w:color="auto" w:fill="auto"/>
          <w:lang w:val="cs-CZ" w:eastAsia="cs-CZ" w:bidi="cs-CZ"/>
        </w:rPr>
        <w:t xml:space="preserve">tyto výše uvedené smluvní pokuty, jejichž sjednáním </w:t>
      </w:r>
      <w:r>
        <w:rPr>
          <w:b/>
          <w:bCs/>
          <w:color w:val="000000"/>
          <w:spacing w:val="0"/>
          <w:w w:val="100"/>
          <w:position w:val="0"/>
          <w:shd w:val="clear" w:color="auto" w:fill="auto"/>
          <w:lang w:val="cs-CZ" w:eastAsia="cs-CZ" w:bidi="cs-CZ"/>
        </w:rPr>
        <w:t xml:space="preserve">není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 xml:space="preserve">§ 2050 OZ </w:t>
      </w:r>
      <w:r>
        <w:rPr>
          <w:color w:val="000000"/>
          <w:spacing w:val="0"/>
          <w:w w:val="100"/>
          <w:position w:val="0"/>
          <w:shd w:val="clear" w:color="auto" w:fill="auto"/>
          <w:lang w:val="cs-CZ" w:eastAsia="cs-CZ" w:bidi="cs-CZ"/>
        </w:rPr>
        <w:t>dotčen nárok kupujícího na náhradu škody způsobené porušením povinnosti, zajištěné smluvní pokutou.</w:t>
      </w:r>
    </w:p>
    <w:p>
      <w:pPr>
        <w:pStyle w:val="Style8"/>
        <w:keepNext w:val="0"/>
        <w:keepLines w:val="0"/>
        <w:widowControl w:val="0"/>
        <w:numPr>
          <w:ilvl w:val="0"/>
          <w:numId w:val="1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Pohledávka kupujícího na zaplacení smluvní pokuty může být započítána s pohledávkou prodávajícího na zaplacení ceny.</w:t>
      </w:r>
    </w:p>
    <w:p>
      <w:pPr>
        <w:pStyle w:val="Style8"/>
        <w:keepNext w:val="0"/>
        <w:keepLines w:val="0"/>
        <w:widowControl w:val="0"/>
        <w:numPr>
          <w:ilvl w:val="0"/>
          <w:numId w:val="13"/>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8"/>
        <w:keepNext w:val="0"/>
        <w:keepLines w:val="0"/>
        <w:widowControl w:val="0"/>
        <w:numPr>
          <w:ilvl w:val="0"/>
          <w:numId w:val="13"/>
        </w:numPr>
        <w:shd w:val="clear" w:color="auto" w:fill="auto"/>
        <w:tabs>
          <w:tab w:pos="706" w:val="left"/>
        </w:tabs>
        <w:bidi w:val="0"/>
        <w:spacing w:before="0" w:line="240" w:lineRule="auto"/>
        <w:ind w:left="0" w:right="0" w:firstLine="0"/>
        <w:jc w:val="left"/>
      </w:pPr>
      <w:r>
        <w:rPr>
          <w:color w:val="000000"/>
          <w:spacing w:val="0"/>
          <w:w w:val="100"/>
          <w:position w:val="0"/>
          <w:shd w:val="clear" w:color="auto" w:fill="auto"/>
          <w:lang w:val="cs-CZ" w:eastAsia="cs-CZ" w:bidi="cs-CZ"/>
        </w:rPr>
        <w:t>Uhrazením smluvní pokuty není dotčen nárok na náhradu škody.</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11"/>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Zvláštní ujednání</w:t>
      </w:r>
      <w:bookmarkEnd w:id="22"/>
      <w:bookmarkEnd w:id="23"/>
    </w:p>
    <w:p>
      <w:pPr>
        <w:pStyle w:val="Style8"/>
        <w:keepNext w:val="0"/>
        <w:keepLines w:val="0"/>
        <w:widowControl w:val="0"/>
        <w:numPr>
          <w:ilvl w:val="0"/>
          <w:numId w:val="1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zadávacího řízení nedopustil žádného jednání narušujícího hospodářskou soutěž.</w:t>
      </w:r>
    </w:p>
    <w:p>
      <w:pPr>
        <w:pStyle w:val="Style8"/>
        <w:keepNext w:val="0"/>
        <w:keepLines w:val="0"/>
        <w:widowControl w:val="0"/>
        <w:numPr>
          <w:ilvl w:val="0"/>
          <w:numId w:val="1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8"/>
        <w:keepNext w:val="0"/>
        <w:keepLines w:val="0"/>
        <w:widowControl w:val="0"/>
        <w:numPr>
          <w:ilvl w:val="0"/>
          <w:numId w:val="1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Kupující má právo vypovědět tuto smlouvu v případě, že v souvislosti s plněním účelu této smlouvy dojde ke spáchání trestného činu nebo porušení prohlášení předchozích dvou odstavců. Výpovědní doba činí 3 dny a začíná běžet dnem následujícím po dni, kdy bylo písemné vyhotovení výpovědi doručeno prodávajícímu.</w:t>
      </w:r>
    </w:p>
    <w:p>
      <w:pPr>
        <w:pStyle w:val="Style8"/>
        <w:keepNext w:val="0"/>
        <w:keepLines w:val="0"/>
        <w:widowControl w:val="0"/>
        <w:numPr>
          <w:ilvl w:val="0"/>
          <w:numId w:val="1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Kterákoli ze smluvních stran může odstoupit od této smlouvy, poruší-li druhá strana podstatným způsobem své smluvní povinnosti, přestože byla na tuto skutečnost prokazatelným způsobem (doporučeným dopisem) upozorněna.</w:t>
      </w:r>
    </w:p>
    <w:p>
      <w:pPr>
        <w:pStyle w:val="Style8"/>
        <w:keepNext w:val="0"/>
        <w:keepLines w:val="0"/>
        <w:widowControl w:val="0"/>
        <w:numPr>
          <w:ilvl w:val="0"/>
          <w:numId w:val="1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8"/>
        <w:keepNext w:val="0"/>
        <w:keepLines w:val="0"/>
        <w:widowControl w:val="0"/>
        <w:numPr>
          <w:ilvl w:val="0"/>
          <w:numId w:val="15"/>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Kupující má dále právo bez předchozího písemného upozornění od smlouvy odstoupit:</w:t>
      </w:r>
    </w:p>
    <w:p>
      <w:pPr>
        <w:pStyle w:val="Style8"/>
        <w:keepNext w:val="0"/>
        <w:keepLines w:val="0"/>
        <w:widowControl w:val="0"/>
        <w:numPr>
          <w:ilvl w:val="0"/>
          <w:numId w:val="17"/>
        </w:numPr>
        <w:shd w:val="clear" w:color="auto" w:fill="auto"/>
        <w:tabs>
          <w:tab w:pos="1464" w:val="left"/>
        </w:tabs>
        <w:bidi w:val="0"/>
        <w:spacing w:before="0" w:line="240" w:lineRule="auto"/>
        <w:ind w:left="1440" w:right="0" w:hanging="340"/>
        <w:jc w:val="both"/>
      </w:pPr>
      <w:r>
        <w:rPr>
          <w:color w:val="000000"/>
          <w:spacing w:val="0"/>
          <w:w w:val="100"/>
          <w:position w:val="0"/>
          <w:shd w:val="clear" w:color="auto" w:fill="auto"/>
          <w:lang w:val="cs-CZ" w:eastAsia="cs-CZ" w:bidi="cs-CZ"/>
        </w:rPr>
        <w:t>při prodlení s odevzdáním zboží ze strany prodávajícího po dobu delší než 30 kalendářních dnů; a nebo</w:t>
      </w:r>
    </w:p>
    <w:p>
      <w:pPr>
        <w:pStyle w:val="Style8"/>
        <w:keepNext w:val="0"/>
        <w:keepLines w:val="0"/>
        <w:widowControl w:val="0"/>
        <w:numPr>
          <w:ilvl w:val="0"/>
          <w:numId w:val="17"/>
        </w:numPr>
        <w:shd w:val="clear" w:color="auto" w:fill="auto"/>
        <w:tabs>
          <w:tab w:pos="1464" w:val="left"/>
        </w:tabs>
        <w:bidi w:val="0"/>
        <w:spacing w:before="0" w:line="240" w:lineRule="auto"/>
        <w:ind w:left="1440" w:right="0" w:hanging="340"/>
        <w:jc w:val="both"/>
      </w:pPr>
      <w:r>
        <w:rPr>
          <w:color w:val="000000"/>
          <w:spacing w:val="0"/>
          <w:w w:val="100"/>
          <w:position w:val="0"/>
          <w:shd w:val="clear" w:color="auto" w:fill="auto"/>
          <w:lang w:val="cs-CZ" w:eastAsia="cs-CZ" w:bidi="cs-CZ"/>
        </w:rPr>
        <w:t>při zjištění, že technické parametry zboží neodpovídají požadavkům kupujícího stanoveným v zadávací dokumentaci; a nebo</w:t>
      </w:r>
    </w:p>
    <w:p>
      <w:pPr>
        <w:pStyle w:val="Style8"/>
        <w:keepNext w:val="0"/>
        <w:keepLines w:val="0"/>
        <w:widowControl w:val="0"/>
        <w:numPr>
          <w:ilvl w:val="0"/>
          <w:numId w:val="17"/>
        </w:numPr>
        <w:shd w:val="clear" w:color="auto" w:fill="auto"/>
        <w:tabs>
          <w:tab w:pos="1464" w:val="left"/>
        </w:tabs>
        <w:bidi w:val="0"/>
        <w:spacing w:before="0" w:line="240" w:lineRule="auto"/>
        <w:ind w:left="1440" w:right="0" w:hanging="340"/>
        <w:jc w:val="both"/>
      </w:pPr>
      <w:r>
        <w:rPr>
          <w:color w:val="000000"/>
          <w:spacing w:val="0"/>
          <w:w w:val="100"/>
          <w:position w:val="0"/>
          <w:shd w:val="clear" w:color="auto" w:fill="auto"/>
          <w:lang w:val="cs-CZ" w:eastAsia="cs-CZ" w:bidi="cs-CZ"/>
        </w:rPr>
        <w:t>při zjištění, že zboží, které je předmětem plnění, není nové, je použité, zastavené, zapůjčené, zatížené leasingem nebo jinými právními vadami a porušuje práva třetích osob k patentu nebo k jiné formě duševního vlastnictví; a nebo</w:t>
      </w:r>
    </w:p>
    <w:p>
      <w:pPr>
        <w:pStyle w:val="Style8"/>
        <w:keepNext w:val="0"/>
        <w:keepLines w:val="0"/>
        <w:widowControl w:val="0"/>
        <w:numPr>
          <w:ilvl w:val="0"/>
          <w:numId w:val="17"/>
        </w:numPr>
        <w:shd w:val="clear" w:color="auto" w:fill="auto"/>
        <w:tabs>
          <w:tab w:pos="1464" w:val="left"/>
        </w:tabs>
        <w:bidi w:val="0"/>
        <w:spacing w:before="0" w:line="240" w:lineRule="auto"/>
        <w:ind w:left="1440" w:right="0" w:hanging="340"/>
        <w:jc w:val="both"/>
      </w:pPr>
      <w:r>
        <w:rPr>
          <w:color w:val="000000"/>
          <w:spacing w:val="0"/>
          <w:w w:val="100"/>
          <w:position w:val="0"/>
          <w:shd w:val="clear" w:color="auto" w:fill="auto"/>
          <w:lang w:val="cs-CZ" w:eastAsia="cs-CZ" w:bidi="cs-CZ"/>
        </w:rPr>
        <w:t>v případě, že prodávající uvedl ve své nabídce podané v předchozím zadávacím řízení informace nebo doklady, které neodpovídají skutečnosti a měly nebo mohly mít vliv na výsledek zadávacího řízení; a</w:t>
      </w:r>
    </w:p>
    <w:p>
      <w:pPr>
        <w:pStyle w:val="Style8"/>
        <w:keepNext w:val="0"/>
        <w:keepLines w:val="0"/>
        <w:widowControl w:val="0"/>
        <w:numPr>
          <w:ilvl w:val="0"/>
          <w:numId w:val="17"/>
        </w:numPr>
        <w:shd w:val="clear" w:color="auto" w:fill="auto"/>
        <w:tabs>
          <w:tab w:pos="1464" w:val="left"/>
        </w:tabs>
        <w:bidi w:val="0"/>
        <w:spacing w:before="0" w:line="240" w:lineRule="auto"/>
        <w:ind w:left="1440" w:right="0" w:hanging="340"/>
        <w:jc w:val="both"/>
      </w:pPr>
      <w:r>
        <w:rPr>
          <w:color w:val="000000"/>
          <w:spacing w:val="0"/>
          <w:w w:val="100"/>
          <w:position w:val="0"/>
          <w:shd w:val="clear" w:color="auto" w:fill="auto"/>
          <w:lang w:val="cs-CZ" w:eastAsia="cs-CZ" w:bidi="cs-CZ"/>
        </w:rPr>
        <w:t xml:space="preserve">bude-li zahájeno insolvenční řízení dle </w:t>
      </w:r>
      <w:r>
        <w:rPr>
          <w:b/>
          <w:bCs/>
          <w:color w:val="000000"/>
          <w:spacing w:val="0"/>
          <w:w w:val="100"/>
          <w:position w:val="0"/>
          <w:shd w:val="clear" w:color="auto" w:fill="auto"/>
          <w:lang w:val="cs-CZ" w:eastAsia="cs-CZ" w:bidi="cs-CZ"/>
        </w:rPr>
        <w:t>zákona č. 182/2006 Sb., o úpadku a způsobech jeho řešení, v platném znění</w:t>
      </w:r>
      <w:r>
        <w:rPr>
          <w:color w:val="000000"/>
          <w:spacing w:val="0"/>
          <w:w w:val="100"/>
          <w:position w:val="0"/>
          <w:shd w:val="clear" w:color="auto" w:fill="auto"/>
          <w:lang w:val="cs-CZ" w:eastAsia="cs-CZ" w:bidi="cs-CZ"/>
        </w:rPr>
        <w:t>, jehož předmětem bude úpadek nebo hrozící úpadek prodávajícího, prodávající je povinen tuto skutečnost oznámit neprodleně kupujícímu.</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11</w:t>
      </w:r>
    </w:p>
    <w:p>
      <w:pPr>
        <w:pStyle w:val="Style8"/>
        <w:keepNext w:val="0"/>
        <w:keepLines w:val="0"/>
        <w:widowControl w:val="0"/>
        <w:shd w:val="clear" w:color="auto" w:fill="auto"/>
        <w:bidi w:val="0"/>
        <w:spacing w:before="0" w:after="52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11"/>
        <w:keepNext/>
        <w:keepLines/>
        <w:widowControl w:val="0"/>
        <w:numPr>
          <w:ilvl w:val="0"/>
          <w:numId w:val="19"/>
        </w:numPr>
        <w:shd w:val="clear" w:color="auto" w:fill="auto"/>
        <w:tabs>
          <w:tab w:pos="706" w:val="left"/>
        </w:tabs>
        <w:bidi w:val="0"/>
        <w:spacing w:before="0" w:after="0" w:line="240" w:lineRule="auto"/>
        <w:ind w:left="0" w:right="0" w:firstLine="0"/>
        <w:jc w:val="both"/>
      </w:pPr>
      <w:bookmarkStart w:id="24" w:name="bookmark24"/>
      <w:bookmarkStart w:id="25" w:name="bookmark25"/>
      <w:r>
        <w:rPr>
          <w:b w:val="0"/>
          <w:bCs w:val="0"/>
          <w:color w:val="000000"/>
          <w:spacing w:val="0"/>
          <w:w w:val="100"/>
          <w:position w:val="0"/>
          <w:shd w:val="clear" w:color="auto" w:fill="auto"/>
          <w:lang w:val="cs-CZ" w:eastAsia="cs-CZ" w:bidi="cs-CZ"/>
        </w:rPr>
        <w:t xml:space="preserve">Plnění této smlouvy se řídí </w:t>
      </w:r>
      <w:r>
        <w:rPr>
          <w:color w:val="000000"/>
          <w:spacing w:val="0"/>
          <w:w w:val="100"/>
          <w:position w:val="0"/>
          <w:shd w:val="clear" w:color="auto" w:fill="auto"/>
          <w:lang w:val="cs-CZ" w:eastAsia="cs-CZ" w:bidi="cs-CZ"/>
        </w:rPr>
        <w:t>zákonem č. 89/2012 Sb., občanský zákoník, ve znění</w:t>
      </w:r>
      <w:bookmarkEnd w:id="24"/>
      <w:bookmarkEnd w:id="25"/>
    </w:p>
    <w:p>
      <w:pPr>
        <w:pStyle w:val="Style8"/>
        <w:keepNext w:val="0"/>
        <w:keepLines w:val="0"/>
        <w:widowControl w:val="0"/>
        <w:shd w:val="clear" w:color="auto" w:fill="auto"/>
        <w:tabs>
          <w:tab w:pos="1982" w:val="left"/>
          <w:tab w:pos="2475" w:val="left"/>
        </w:tabs>
        <w:bidi w:val="0"/>
        <w:spacing w:before="0" w:after="0" w:line="180" w:lineRule="auto"/>
        <w:ind w:left="1180" w:right="0" w:firstLine="0"/>
        <w:jc w:val="both"/>
      </w:pPr>
      <w:r>
        <w:rPr>
          <w:rFonts w:ascii="Arial" w:eastAsia="Arial" w:hAnsi="Arial" w:cs="Arial"/>
          <w:color w:val="000000"/>
          <w:spacing w:val="0"/>
          <w:w w:val="100"/>
          <w:position w:val="0"/>
          <w:sz w:val="22"/>
          <w:szCs w:val="22"/>
          <w:shd w:val="clear" w:color="auto" w:fill="auto"/>
          <w:lang w:val="cs-CZ" w:eastAsia="cs-CZ" w:bidi="cs-CZ"/>
        </w:rPr>
        <w:t>■</w:t>
      </w:r>
      <w:r>
        <w:rPr>
          <w:color w:val="000000"/>
          <w:spacing w:val="0"/>
          <w:w w:val="100"/>
          <w:position w:val="0"/>
          <w:shd w:val="clear" w:color="auto" w:fill="auto"/>
          <w:lang w:val="cs-CZ" w:eastAsia="cs-CZ" w:bidi="cs-CZ"/>
        </w:rPr>
        <w:t xml:space="preserve"> v </w:t>
      </w:r>
      <w:r>
        <w:rPr>
          <w:rFonts w:ascii="Arial" w:eastAsia="Arial" w:hAnsi="Arial" w:cs="Arial"/>
          <w:color w:val="000000"/>
          <w:spacing w:val="0"/>
          <w:w w:val="100"/>
          <w:position w:val="0"/>
          <w:sz w:val="22"/>
          <w:szCs w:val="22"/>
          <w:shd w:val="clear" w:color="auto" w:fill="auto"/>
          <w:lang w:val="cs-CZ" w:eastAsia="cs-CZ" w:bidi="cs-CZ"/>
        </w:rPr>
        <w:t>■</w:t>
      </w:r>
      <w:r>
        <w:rPr>
          <w:color w:val="000000"/>
          <w:spacing w:val="0"/>
          <w:w w:val="100"/>
          <w:position w:val="0"/>
          <w:shd w:val="clear" w:color="auto" w:fill="auto"/>
          <w:lang w:val="cs-CZ" w:eastAsia="cs-CZ" w:bidi="cs-CZ"/>
        </w:rPr>
        <w:t xml:space="preserve"> v </w:t>
      </w:r>
      <w:r>
        <w:rPr>
          <w:i/>
          <w:iCs/>
          <w:color w:val="000000"/>
          <w:spacing w:val="0"/>
          <w:w w:val="100"/>
          <w:position w:val="0"/>
          <w:shd w:val="clear" w:color="auto" w:fill="auto"/>
          <w:lang w:val="cs-CZ" w:eastAsia="cs-CZ" w:bidi="cs-CZ"/>
        </w:rPr>
        <w:t>r</w:t>
      </w:r>
      <w:r>
        <w:rPr>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w:t>
      </w:r>
      <w:r>
        <w:rPr>
          <w:color w:val="000000"/>
          <w:spacing w:val="0"/>
          <w:w w:val="100"/>
          <w:position w:val="0"/>
          <w:shd w:val="clear" w:color="auto" w:fill="auto"/>
          <w:lang w:val="cs-CZ" w:eastAsia="cs-CZ" w:bidi="cs-CZ"/>
        </w:rPr>
        <w:tab/>
        <w:t xml:space="preserve">v </w:t>
      </w:r>
      <w:r>
        <w:rPr>
          <w:rFonts w:ascii="Arial" w:eastAsia="Arial" w:hAnsi="Arial" w:cs="Arial"/>
          <w:color w:val="000000"/>
          <w:spacing w:val="0"/>
          <w:w w:val="100"/>
          <w:position w:val="0"/>
          <w:sz w:val="22"/>
          <w:szCs w:val="22"/>
          <w:shd w:val="clear" w:color="auto" w:fill="auto"/>
          <w:lang w:val="cs-CZ" w:eastAsia="cs-CZ" w:bidi="cs-CZ"/>
        </w:rPr>
        <w:t>■</w:t>
      </w:r>
      <w:r>
        <w:rPr>
          <w:color w:val="000000"/>
          <w:spacing w:val="0"/>
          <w:w w:val="100"/>
          <w:position w:val="0"/>
          <w:shd w:val="clear" w:color="auto" w:fill="auto"/>
          <w:lang w:val="cs-CZ" w:eastAsia="cs-CZ" w:bidi="cs-CZ"/>
        </w:rPr>
        <w:tab/>
      </w:r>
      <w:r>
        <w:rPr>
          <w:rFonts w:ascii="Arial" w:eastAsia="Arial" w:hAnsi="Arial" w:cs="Arial"/>
          <w:color w:val="000000"/>
          <w:spacing w:val="0"/>
          <w:w w:val="100"/>
          <w:position w:val="0"/>
          <w:sz w:val="22"/>
          <w:szCs w:val="22"/>
          <w:shd w:val="clear" w:color="auto" w:fill="auto"/>
          <w:lang w:val="cs-CZ" w:eastAsia="cs-CZ" w:bidi="cs-CZ"/>
        </w:rPr>
        <w:t>■</w:t>
      </w:r>
      <w:r>
        <w:rPr>
          <w:color w:val="000000"/>
          <w:spacing w:val="0"/>
          <w:w w:val="100"/>
          <w:position w:val="0"/>
          <w:shd w:val="clear" w:color="auto" w:fill="auto"/>
          <w:lang w:val="cs-CZ" w:eastAsia="cs-CZ" w:bidi="cs-CZ"/>
        </w:rPr>
        <w:t xml:space="preserve"> O</w:t>
      </w:r>
    </w:p>
    <w:p>
      <w:pPr>
        <w:pStyle w:val="Style8"/>
        <w:keepNext w:val="0"/>
        <w:keepLines w:val="0"/>
        <w:widowControl w:val="0"/>
        <w:shd w:val="clear" w:color="auto" w:fill="auto"/>
        <w:bidi w:val="0"/>
        <w:spacing w:before="0" w:line="180" w:lineRule="auto"/>
        <w:ind w:left="0" w:right="0" w:firstLine="720"/>
        <w:jc w:val="both"/>
      </w:pPr>
      <w:r>
        <w:rPr>
          <w:b/>
          <w:bCs/>
          <w:color w:val="000000"/>
          <w:spacing w:val="0"/>
          <w:w w:val="100"/>
          <w:position w:val="0"/>
          <w:shd w:val="clear" w:color="auto" w:fill="auto"/>
          <w:lang w:val="cs-CZ" w:eastAsia="cs-CZ" w:bidi="cs-CZ"/>
        </w:rPr>
        <w:t>pozdějších předpisů.</w:t>
      </w:r>
    </w:p>
    <w:p>
      <w:pPr>
        <w:pStyle w:val="Style8"/>
        <w:keepNext w:val="0"/>
        <w:keepLines w:val="0"/>
        <w:widowControl w:val="0"/>
        <w:numPr>
          <w:ilvl w:val="0"/>
          <w:numId w:val="1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není oprávněn postoupit pohledávku plynoucí z této smlouvy třetí osobě bez předchozího písemného souhlasu kupujícího. V případě porušení této povinnosti se považuje takovéto postoupení pohledávky od počátku za neplatné.</w:t>
      </w:r>
    </w:p>
    <w:p>
      <w:pPr>
        <w:pStyle w:val="Style8"/>
        <w:keepNext w:val="0"/>
        <w:keepLines w:val="0"/>
        <w:widowControl w:val="0"/>
        <w:numPr>
          <w:ilvl w:val="0"/>
          <w:numId w:val="1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w:t>
      </w:r>
    </w:p>
    <w:p>
      <w:pPr>
        <w:pStyle w:val="Style8"/>
        <w:keepNext w:val="0"/>
        <w:keepLines w:val="0"/>
        <w:widowControl w:val="0"/>
        <w:numPr>
          <w:ilvl w:val="0"/>
          <w:numId w:val="1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výslovně souhlasí se zveřejněním celého textu této smlouvy včetně podpisů v informačním systému veřejné správy - Registru smluv.</w:t>
      </w:r>
    </w:p>
    <w:p>
      <w:pPr>
        <w:pStyle w:val="Style11"/>
        <w:keepNext/>
        <w:keepLines/>
        <w:widowControl w:val="0"/>
        <w:numPr>
          <w:ilvl w:val="0"/>
          <w:numId w:val="19"/>
        </w:numPr>
        <w:shd w:val="clear" w:color="auto" w:fill="auto"/>
        <w:tabs>
          <w:tab w:pos="706" w:val="left"/>
        </w:tabs>
        <w:bidi w:val="0"/>
        <w:spacing w:before="0" w:line="240" w:lineRule="auto"/>
        <w:ind w:left="720" w:right="0" w:hanging="720"/>
        <w:jc w:val="both"/>
      </w:pPr>
      <w:bookmarkStart w:id="26" w:name="bookmark26"/>
      <w:bookmarkStart w:id="27" w:name="bookmark27"/>
      <w:r>
        <w:rPr>
          <w:color w:val="000000"/>
          <w:spacing w:val="0"/>
          <w:w w:val="100"/>
          <w:position w:val="0"/>
          <w:shd w:val="clear" w:color="auto" w:fill="auto"/>
          <w:lang w:val="cs-CZ" w:eastAsia="cs-CZ" w:bidi="cs-CZ"/>
        </w:rPr>
        <w:t>Tato smlouva je vyhotovena v elektronické podobě, přičemž obě smluvní strany obdrží její elektronický originál.</w:t>
      </w:r>
      <w:bookmarkEnd w:id="26"/>
      <w:bookmarkEnd w:id="27"/>
    </w:p>
    <w:p>
      <w:pPr>
        <w:pStyle w:val="Style8"/>
        <w:keepNext w:val="0"/>
        <w:keepLines w:val="0"/>
        <w:widowControl w:val="0"/>
        <w:numPr>
          <w:ilvl w:val="0"/>
          <w:numId w:val="1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Smlouva je platná dnem připojení platného uznávaného elektronického podpisu dle </w:t>
      </w:r>
      <w:r>
        <w:rPr>
          <w:b/>
          <w:bCs/>
          <w:color w:val="000000"/>
          <w:spacing w:val="0"/>
          <w:w w:val="100"/>
          <w:position w:val="0"/>
          <w:shd w:val="clear" w:color="auto" w:fill="auto"/>
          <w:lang w:val="cs-CZ" w:eastAsia="cs-CZ" w:bidi="cs-CZ"/>
        </w:rPr>
        <w:t>zákona č. 297/2016 Sb., o službách vytvářejících důvěru pro elektronické transakce, ve znění pozdějších předpisů</w:t>
      </w:r>
      <w:r>
        <w:rPr>
          <w:color w:val="000000"/>
          <w:spacing w:val="0"/>
          <w:w w:val="100"/>
          <w:position w:val="0"/>
          <w:shd w:val="clear" w:color="auto" w:fill="auto"/>
          <w:lang w:val="cs-CZ" w:eastAsia="cs-CZ" w:bidi="cs-CZ"/>
        </w:rPr>
        <w:t>, do této smlouvy a jejích jednotlivých příloh, nejsou-li součástí jediného elektronického dokumentu (tj. do všech samostatných souborů tvořících v souhrnu smlouvu, a to oběma smluvními stranami).</w:t>
      </w:r>
    </w:p>
    <w:p>
      <w:pPr>
        <w:pStyle w:val="Style8"/>
        <w:keepNext w:val="0"/>
        <w:keepLines w:val="0"/>
        <w:widowControl w:val="0"/>
        <w:numPr>
          <w:ilvl w:val="0"/>
          <w:numId w:val="19"/>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Smlouva je účinná dnem jejího uveřejnění v registru smluv.</w:t>
      </w:r>
    </w:p>
    <w:p>
      <w:pPr>
        <w:pStyle w:val="Style8"/>
        <w:keepNext w:val="0"/>
        <w:keepLines w:val="0"/>
        <w:widowControl w:val="0"/>
        <w:numPr>
          <w:ilvl w:val="0"/>
          <w:numId w:val="1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Smluvní strany se dohodly, že zákonnou povinnost dle </w:t>
      </w:r>
      <w:r>
        <w:rPr>
          <w:b/>
          <w:bCs/>
          <w:color w:val="000000"/>
          <w:spacing w:val="0"/>
          <w:w w:val="100"/>
          <w:position w:val="0"/>
          <w:shd w:val="clear" w:color="auto" w:fill="auto"/>
          <w:lang w:val="cs-CZ" w:eastAsia="cs-CZ" w:bidi="cs-CZ"/>
        </w:rPr>
        <w:t xml:space="preserve">§ 5 odst. 2 zákona č. 340/2015 Sb., o zvláštních podmínkách účinnosti některých smluv, uveřejňování těchto smluv a o registru smluv, v platném znění </w:t>
      </w:r>
      <w:r>
        <w:rPr>
          <w:color w:val="000000"/>
          <w:spacing w:val="0"/>
          <w:w w:val="100"/>
          <w:position w:val="0"/>
          <w:shd w:val="clear" w:color="auto" w:fill="auto"/>
          <w:lang w:val="cs-CZ" w:eastAsia="cs-CZ" w:bidi="cs-CZ"/>
        </w:rPr>
        <w:t>splní kupující.</w:t>
      </w:r>
    </w:p>
    <w:p>
      <w:pPr>
        <w:pStyle w:val="Style8"/>
        <w:keepNext w:val="0"/>
        <w:keepLines w:val="0"/>
        <w:widowControl w:val="0"/>
        <w:numPr>
          <w:ilvl w:val="0"/>
          <w:numId w:val="19"/>
        </w:numPr>
        <w:shd w:val="clear" w:color="auto" w:fill="auto"/>
        <w:tabs>
          <w:tab w:pos="706" w:val="left"/>
        </w:tabs>
        <w:bidi w:val="0"/>
        <w:spacing w:before="0" w:line="240" w:lineRule="auto"/>
        <w:ind w:left="720" w:right="0" w:hanging="720"/>
        <w:jc w:val="both"/>
        <w:sectPr>
          <w:headerReference w:type="default" r:id="rId5"/>
          <w:footnotePr>
            <w:pos w:val="pageBottom"/>
            <w:numFmt w:val="decimal"/>
            <w:numRestart w:val="continuous"/>
          </w:footnotePr>
          <w:pgSz w:w="11900" w:h="16840"/>
          <w:pgMar w:top="1051" w:left="1357" w:right="1351" w:bottom="1399" w:header="0" w:footer="971" w:gutter="0"/>
          <w:pgNumType w:start="1"/>
          <w:cols w:space="720"/>
          <w:noEndnote/>
          <w:rtlGutter w:val="0"/>
          <w:docGrid w:linePitch="360"/>
        </w:sectPr>
      </w:pPr>
      <w:r>
        <w:rPr>
          <w:color w:val="000000"/>
          <w:spacing w:val="0"/>
          <w:w w:val="100"/>
          <w:position w:val="0"/>
          <w:shd w:val="clear" w:color="auto" w:fill="auto"/>
          <w:lang w:val="cs-CZ" w:eastAsia="cs-CZ" w:bidi="cs-CZ"/>
        </w:rPr>
        <w:t xml:space="preserve">Součástí smlouvy je </w:t>
      </w:r>
      <w:r>
        <w:rPr>
          <w:b/>
          <w:bCs/>
          <w:color w:val="000000"/>
          <w:spacing w:val="0"/>
          <w:w w:val="100"/>
          <w:position w:val="0"/>
          <w:shd w:val="clear" w:color="auto" w:fill="auto"/>
          <w:lang w:val="cs-CZ" w:eastAsia="cs-CZ" w:bidi="cs-CZ"/>
        </w:rPr>
        <w:t xml:space="preserve">příloha A1 </w:t>
      </w:r>
      <w:r>
        <w:rPr>
          <w:color w:val="000000"/>
          <w:spacing w:val="0"/>
          <w:w w:val="100"/>
          <w:position w:val="0"/>
          <w:shd w:val="clear" w:color="auto" w:fill="auto"/>
          <w:lang w:val="cs-CZ" w:eastAsia="cs-CZ" w:bidi="cs-CZ"/>
        </w:rPr>
        <w:t xml:space="preserve">s údaji nepodléhajícími zveřejnění v Registru smluv a </w:t>
      </w:r>
      <w:r>
        <w:rPr>
          <w:b/>
          <w:bCs/>
          <w:color w:val="000000"/>
          <w:spacing w:val="0"/>
          <w:w w:val="100"/>
          <w:position w:val="0"/>
          <w:shd w:val="clear" w:color="auto" w:fill="auto"/>
          <w:lang w:val="cs-CZ" w:eastAsia="cs-CZ" w:bidi="cs-CZ"/>
        </w:rPr>
        <w:t xml:space="preserve">příloha V1/84 </w:t>
      </w:r>
      <w:r>
        <w:rPr>
          <w:color w:val="000000"/>
          <w:spacing w:val="0"/>
          <w:w w:val="100"/>
          <w:position w:val="0"/>
          <w:shd w:val="clear" w:color="auto" w:fill="auto"/>
          <w:lang w:val="cs-CZ" w:eastAsia="cs-CZ" w:bidi="cs-CZ"/>
        </w:rPr>
        <w:t>se specifikací plnění.</w:t>
      </w:r>
    </w:p>
    <w:p>
      <w:pPr>
        <w:pStyle w:val="Style8"/>
        <w:keepNext w:val="0"/>
        <w:keepLines w:val="0"/>
        <w:widowControl w:val="0"/>
        <w:numPr>
          <w:ilvl w:val="0"/>
          <w:numId w:val="19"/>
        </w:numPr>
        <w:shd w:val="clear" w:color="auto" w:fill="auto"/>
        <w:tabs>
          <w:tab w:pos="797" w:val="left"/>
        </w:tabs>
        <w:bidi w:val="0"/>
        <w:spacing w:before="0" w:line="240" w:lineRule="auto"/>
        <w:ind w:left="720" w:right="0" w:hanging="72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Nedílnou součástí Smlouvy jsou následující přílohy:</w:t>
      </w:r>
    </w:p>
    <w:p>
      <w:pPr>
        <w:pStyle w:val="Style8"/>
        <w:keepNext w:val="0"/>
        <w:keepLines w:val="0"/>
        <w:widowControl w:val="0"/>
        <w:numPr>
          <w:ilvl w:val="0"/>
          <w:numId w:val="21"/>
        </w:numPr>
        <w:shd w:val="clear" w:color="auto" w:fill="auto"/>
        <w:tabs>
          <w:tab w:pos="1080" w:val="left"/>
        </w:tabs>
        <w:bidi w:val="0"/>
        <w:spacing w:before="0" w:line="240" w:lineRule="auto"/>
        <w:ind w:left="1080" w:right="0" w:hanging="360"/>
        <w:jc w:val="both"/>
      </w:pPr>
      <w:r>
        <w:rPr>
          <w:color w:val="000000"/>
          <w:spacing w:val="0"/>
          <w:w w:val="100"/>
          <w:position w:val="0"/>
          <w:shd w:val="clear" w:color="auto" w:fill="auto"/>
          <w:lang w:val="cs-CZ" w:eastAsia="cs-CZ" w:bidi="cs-CZ"/>
        </w:rPr>
        <w:t>Údaje, které jsou součástí ujednání a nebudou zveřejněny v Registru smluv (Příloha A1)</w:t>
      </w:r>
    </w:p>
    <w:p>
      <w:pPr>
        <w:pStyle w:val="Style8"/>
        <w:keepNext w:val="0"/>
        <w:keepLines w:val="0"/>
        <w:widowControl w:val="0"/>
        <w:numPr>
          <w:ilvl w:val="0"/>
          <w:numId w:val="21"/>
        </w:numPr>
        <w:shd w:val="clear" w:color="auto" w:fill="auto"/>
        <w:tabs>
          <w:tab w:pos="1080" w:val="left"/>
        </w:tabs>
        <w:bidi w:val="0"/>
        <w:spacing w:before="0" w:after="2340" w:line="240" w:lineRule="auto"/>
        <w:ind w:left="0" w:right="0" w:firstLine="720"/>
        <w:jc w:val="both"/>
      </w:pPr>
      <w:r>
        <w:rPr>
          <w:color w:val="000000"/>
          <w:spacing w:val="0"/>
          <w:w w:val="100"/>
          <w:position w:val="0"/>
          <w:shd w:val="clear" w:color="auto" w:fill="auto"/>
          <w:lang w:val="cs-CZ" w:eastAsia="cs-CZ" w:bidi="cs-CZ"/>
        </w:rPr>
        <w:t>Technické a množstevní specifikace (příloha V1/84)</w:t>
      </w:r>
    </w:p>
    <w:p>
      <w:pPr>
        <w:pStyle w:val="Style8"/>
        <w:keepNext w:val="0"/>
        <w:keepLines w:val="0"/>
        <w:widowControl w:val="0"/>
        <w:shd w:val="clear" w:color="auto" w:fill="auto"/>
        <w:bidi w:val="0"/>
        <w:spacing w:before="0" w:line="271" w:lineRule="auto"/>
        <w:ind w:left="0" w:right="0" w:firstLine="0"/>
        <w:jc w:val="both"/>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8"/>
        <w:keepNext w:val="0"/>
        <w:keepLines w:val="0"/>
        <w:widowControl w:val="0"/>
        <w:shd w:val="clear" w:color="auto" w:fill="auto"/>
        <w:tabs>
          <w:tab w:pos="4992" w:val="left"/>
        </w:tabs>
        <w:bidi w:val="0"/>
        <w:spacing w:before="0" w:line="271" w:lineRule="auto"/>
        <w:ind w:left="0" w:right="0" w:firstLine="720"/>
        <w:jc w:val="both"/>
      </w:pPr>
      <w:r>
        <w:rPr>
          <w:color w:val="000000"/>
          <w:spacing w:val="0"/>
          <w:w w:val="100"/>
          <w:position w:val="0"/>
          <w:shd w:val="clear" w:color="auto" w:fill="auto"/>
          <w:lang w:val="cs-CZ" w:eastAsia="cs-CZ" w:bidi="cs-CZ"/>
        </w:rPr>
        <w:t>V Otrokovicích dne:</w:t>
        <w:tab/>
        <w:t>V Jihlavě dne:</w:t>
      </w:r>
    </w:p>
    <w:p>
      <w:pPr>
        <w:widowControl w:val="0"/>
        <w:spacing w:line="1" w:lineRule="exact"/>
        <w:sectPr>
          <w:footnotePr>
            <w:pos w:val="pageBottom"/>
            <w:numFmt w:val="decimal"/>
            <w:numRestart w:val="continuous"/>
          </w:footnotePr>
          <w:pgSz w:w="11900" w:h="16840"/>
          <w:pgMar w:top="1378" w:left="1373" w:right="1368" w:bottom="1378" w:header="0" w:footer="950" w:gutter="0"/>
          <w:cols w:space="720"/>
          <w:noEndnote/>
          <w:rtlGutter w:val="0"/>
          <w:docGrid w:linePitch="360"/>
        </w:sectPr>
      </w:pPr>
      <w:r>
        <mc:AlternateContent>
          <mc:Choice Requires="wps">
            <w:drawing>
              <wp:anchor distT="2082800" distB="0" distL="0" distR="0" simplePos="0" relativeHeight="125829378" behindDoc="0" locked="0" layoutInCell="1" allowOverlap="1">
                <wp:simplePos x="0" y="0"/>
                <wp:positionH relativeFrom="page">
                  <wp:posOffset>2002790</wp:posOffset>
                </wp:positionH>
                <wp:positionV relativeFrom="paragraph">
                  <wp:posOffset>2082800</wp:posOffset>
                </wp:positionV>
                <wp:extent cx="1298575" cy="213360"/>
                <wp:wrapTopAndBottom/>
                <wp:docPr id="4" name="Shape 4"/>
                <a:graphic xmlns:a="http://schemas.openxmlformats.org/drawingml/2006/main">
                  <a:graphicData uri="http://schemas.microsoft.com/office/word/2010/wordprocessingShape">
                    <wps:wsp>
                      <wps:cNvSpPr txBox="1"/>
                      <wps:spPr>
                        <a:xfrm>
                          <a:ext cx="1298575" cy="21336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 společnosti</w:t>
                            </w:r>
                          </w:p>
                        </w:txbxContent>
                      </wps:txbx>
                      <wps:bodyPr wrap="none" lIns="0" tIns="0" rIns="0" bIns="0">
                        <a:noAutoFit/>
                      </wps:bodyPr>
                    </wps:wsp>
                  </a:graphicData>
                </a:graphic>
              </wp:anchor>
            </w:drawing>
          </mc:Choice>
          <mc:Fallback>
            <w:pict>
              <v:shape id="_x0000_s1030" type="#_x0000_t202" style="position:absolute;margin-left:157.69999999999999pt;margin-top:164.pt;width:102.25pt;height:16.800000000000001pt;z-index:-125829375;mso-wrap-distance-left:0;mso-wrap-distance-top:164.pt;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 společnosti</w:t>
                      </w:r>
                    </w:p>
                  </w:txbxContent>
                </v:textbox>
                <w10:wrap type="topAndBottom" anchorx="page"/>
              </v:shape>
            </w:pict>
          </mc:Fallback>
        </mc:AlternateContent>
      </w:r>
      <w:r>
        <mc:AlternateContent>
          <mc:Choice Requires="wps">
            <w:drawing>
              <wp:anchor distT="2082800" distB="0" distL="0" distR="0" simplePos="0" relativeHeight="125829380" behindDoc="0" locked="0" layoutInCell="1" allowOverlap="1">
                <wp:simplePos x="0" y="0"/>
                <wp:positionH relativeFrom="page">
                  <wp:posOffset>4785360</wp:posOffset>
                </wp:positionH>
                <wp:positionV relativeFrom="paragraph">
                  <wp:posOffset>2082800</wp:posOffset>
                </wp:positionV>
                <wp:extent cx="1164590" cy="213360"/>
                <wp:wrapTopAndBottom/>
                <wp:docPr id="6" name="Shape 6"/>
                <a:graphic xmlns:a="http://schemas.openxmlformats.org/drawingml/2006/main">
                  <a:graphicData uri="http://schemas.microsoft.com/office/word/2010/wordprocessingShape">
                    <wps:wsp>
                      <wps:cNvSpPr txBox="1"/>
                      <wps:spPr>
                        <a:xfrm>
                          <a:ext cx="1164590" cy="21336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organizace</w:t>
                            </w:r>
                          </w:p>
                        </w:txbxContent>
                      </wps:txbx>
                      <wps:bodyPr wrap="none" lIns="0" tIns="0" rIns="0" bIns="0">
                        <a:noAutoFit/>
                      </wps:bodyPr>
                    </wps:wsp>
                  </a:graphicData>
                </a:graphic>
              </wp:anchor>
            </w:drawing>
          </mc:Choice>
          <mc:Fallback>
            <w:pict>
              <v:shape id="_x0000_s1032" type="#_x0000_t202" style="position:absolute;margin-left:376.80000000000001pt;margin-top:164.pt;width:91.700000000000003pt;height:16.800000000000001pt;z-index:-125829373;mso-wrap-distance-left:0;mso-wrap-distance-top:164.pt;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organizace</w:t>
                      </w:r>
                    </w:p>
                  </w:txbxContent>
                </v:textbox>
                <w10:wrap type="topAndBottom" anchorx="page"/>
              </v:shape>
            </w:pict>
          </mc:Fallback>
        </mc:AlternateContent>
      </w:r>
    </w:p>
    <w:p>
      <w:pPr>
        <w:pStyle w:val="Style24"/>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lang w:val="cs-CZ" w:eastAsia="cs-CZ" w:bidi="cs-CZ"/>
        </w:rPr>
        <w:t>Příloha A1</w:t>
      </w:r>
    </w:p>
    <w:p>
      <w:pPr>
        <w:pStyle w:val="Style2"/>
        <w:keepNext/>
        <w:keepLines/>
        <w:widowControl w:val="0"/>
        <w:shd w:val="clear" w:color="auto" w:fill="auto"/>
        <w:bidi w:val="0"/>
        <w:spacing w:before="0" w:after="74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Údaje, které jsou součástí ujednání a nebudou zveřejněny v Registru smluv:</w:t>
      </w:r>
      <w:bookmarkEnd w:id="28"/>
      <w:bookmarkEnd w:id="29"/>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Kupující:</w:t>
      </w:r>
    </w:p>
    <w:p>
      <w:pPr>
        <w:pStyle w:val="Style8"/>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Krajská správa a údržba silnic Vysočiny, příspěvková organizace</w:t>
      </w:r>
    </w:p>
    <w:p>
      <w:pPr>
        <w:pStyle w:val="Style8"/>
        <w:keepNext w:val="0"/>
        <w:keepLines w:val="0"/>
        <w:widowControl w:val="0"/>
        <w:shd w:val="clear" w:color="auto" w:fill="auto"/>
        <w:tabs>
          <w:tab w:pos="2117"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00090450</w:t>
      </w:r>
    </w:p>
    <w:p>
      <w:pPr>
        <w:pStyle w:val="Style8"/>
        <w:keepNext w:val="0"/>
        <w:keepLines w:val="0"/>
        <w:widowControl w:val="0"/>
        <w:shd w:val="clear" w:color="auto" w:fill="auto"/>
        <w:bidi w:val="0"/>
        <w:spacing w:before="0" w:after="360" w:line="240" w:lineRule="auto"/>
        <w:ind w:left="0" w:right="0" w:firstLine="0"/>
        <w:jc w:val="both"/>
      </w:pPr>
      <w:r>
        <w:rPr>
          <w:color w:val="000000"/>
          <w:spacing w:val="0"/>
          <w:w w:val="100"/>
          <w:position w:val="0"/>
          <w:shd w:val="clear" w:color="auto" w:fill="auto"/>
          <w:lang w:val="cs-CZ" w:eastAsia="cs-CZ" w:bidi="cs-CZ"/>
        </w:rPr>
        <w:t>Číslo účtu:</w:t>
      </w:r>
    </w:p>
    <w:p>
      <w:pPr>
        <w:pStyle w:val="Style8"/>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Osobou pověřenou jednat jménem kupujícího ve věcech zpracování objednávky a k převzetí zboží:</w:t>
      </w:r>
    </w:p>
    <w:p>
      <w:pPr>
        <w:pStyle w:val="Style8"/>
        <w:keepNext w:val="0"/>
        <w:keepLines w:val="0"/>
        <w:widowControl w:val="0"/>
        <w:shd w:val="clear" w:color="auto" w:fill="auto"/>
        <w:bidi w:val="0"/>
        <w:spacing w:before="0" w:after="120" w:line="240" w:lineRule="auto"/>
        <w:ind w:left="1440" w:right="0" w:firstLine="0"/>
        <w:jc w:val="left"/>
      </w:pPr>
      <w:r>
        <w:rPr>
          <w:color w:val="000000"/>
          <w:spacing w:val="0"/>
          <w:w w:val="100"/>
          <w:position w:val="0"/>
          <w:shd w:val="clear" w:color="auto" w:fill="auto"/>
          <w:lang w:val="cs-CZ" w:eastAsia="cs-CZ" w:bidi="cs-CZ"/>
        </w:rPr>
        <w:t>Jméno, příjmení :</w:t>
      </w:r>
    </w:p>
    <w:p>
      <w:pPr>
        <w:pStyle w:val="Style8"/>
        <w:keepNext w:val="0"/>
        <w:keepLines w:val="0"/>
        <w:widowControl w:val="0"/>
        <w:pBdr>
          <w:bottom w:val="single" w:sz="4" w:space="0" w:color="auto"/>
        </w:pBdr>
        <w:shd w:val="clear" w:color="auto" w:fill="auto"/>
        <w:bidi w:val="0"/>
        <w:spacing w:before="0" w:after="120" w:line="240" w:lineRule="auto"/>
        <w:ind w:left="1440" w:right="0" w:firstLine="0"/>
        <w:jc w:val="left"/>
      </w:pPr>
      <w:r>
        <w:rPr>
          <w:color w:val="000000"/>
          <w:spacing w:val="0"/>
          <w:w w:val="100"/>
          <w:position w:val="0"/>
          <w:shd w:val="clear" w:color="auto" w:fill="auto"/>
          <w:lang w:val="cs-CZ" w:eastAsia="cs-CZ" w:bidi="cs-CZ"/>
        </w:rPr>
        <w:t>telefon (GSM) :</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Prodávající:</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ContiTrade Services s.r.o.</w:t>
      </w:r>
    </w:p>
    <w:p>
      <w:pPr>
        <w:pStyle w:val="Style8"/>
        <w:keepNext w:val="0"/>
        <w:keepLines w:val="0"/>
        <w:widowControl w:val="0"/>
        <w:shd w:val="clear" w:color="auto" w:fill="auto"/>
        <w:tabs>
          <w:tab w:pos="2117"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41193598</w:t>
      </w:r>
    </w:p>
    <w:p>
      <w:pPr>
        <w:pStyle w:val="Style8"/>
        <w:keepNext w:val="0"/>
        <w:keepLines w:val="0"/>
        <w:widowControl w:val="0"/>
        <w:shd w:val="clear" w:color="auto" w:fill="auto"/>
        <w:bidi w:val="0"/>
        <w:spacing w:before="0" w:after="540" w:line="240" w:lineRule="auto"/>
        <w:ind w:left="0" w:right="0" w:firstLine="0"/>
        <w:jc w:val="both"/>
      </w:pPr>
      <w:r>
        <w:rPr>
          <w:color w:val="000000"/>
          <w:spacing w:val="0"/>
          <w:w w:val="100"/>
          <w:position w:val="0"/>
          <w:shd w:val="clear" w:color="auto" w:fill="auto"/>
          <w:lang w:val="cs-CZ" w:eastAsia="cs-CZ" w:bidi="cs-CZ"/>
        </w:rPr>
        <w:t>Číslo účtu:</w:t>
      </w:r>
    </w:p>
    <w:p>
      <w:pPr>
        <w:pStyle w:val="Style8"/>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Osobou pověřenou jednat jménem prodávajícího ve věcech přijetí objednávky a k předání zboží:</w:t>
      </w:r>
    </w:p>
    <w:p>
      <w:pPr>
        <w:pStyle w:val="Style8"/>
        <w:keepNext w:val="0"/>
        <w:keepLines w:val="0"/>
        <w:widowControl w:val="0"/>
        <w:shd w:val="clear" w:color="auto" w:fill="auto"/>
        <w:bidi w:val="0"/>
        <w:spacing w:before="0" w:after="120" w:line="240" w:lineRule="auto"/>
        <w:ind w:left="1440" w:right="0" w:firstLine="0"/>
        <w:jc w:val="left"/>
      </w:pPr>
      <w:r>
        <w:rPr>
          <w:color w:val="000000"/>
          <w:spacing w:val="0"/>
          <w:w w:val="100"/>
          <w:position w:val="0"/>
          <w:shd w:val="clear" w:color="auto" w:fill="auto"/>
          <w:lang w:val="cs-CZ" w:eastAsia="cs-CZ" w:bidi="cs-CZ"/>
        </w:rPr>
        <w:t>Jméno, příjmení :</w:t>
      </w:r>
    </w:p>
    <w:p>
      <w:pPr>
        <w:pStyle w:val="Style8"/>
        <w:keepNext w:val="0"/>
        <w:keepLines w:val="0"/>
        <w:widowControl w:val="0"/>
        <w:shd w:val="clear" w:color="auto" w:fill="auto"/>
        <w:bidi w:val="0"/>
        <w:spacing w:before="0" w:after="120" w:line="240" w:lineRule="auto"/>
        <w:ind w:left="1440" w:right="0" w:firstLine="0"/>
        <w:jc w:val="left"/>
        <w:sectPr>
          <w:footnotePr>
            <w:pos w:val="pageBottom"/>
            <w:numFmt w:val="decimal"/>
            <w:numRestart w:val="continuous"/>
          </w:footnotePr>
          <w:pgSz w:w="11900" w:h="16840"/>
          <w:pgMar w:top="1033" w:left="1373" w:right="1368" w:bottom="1033" w:header="0" w:footer="605" w:gutter="0"/>
          <w:cols w:space="720"/>
          <w:noEndnote/>
          <w:rtlGutter w:val="0"/>
          <w:docGrid w:linePitch="360"/>
        </w:sectPr>
      </w:pPr>
      <w:r>
        <w:rPr>
          <w:color w:val="000000"/>
          <w:spacing w:val="0"/>
          <w:w w:val="100"/>
          <w:position w:val="0"/>
          <w:shd w:val="clear" w:color="auto" w:fill="auto"/>
          <w:lang w:val="cs-CZ" w:eastAsia="cs-CZ" w:bidi="cs-CZ"/>
        </w:rPr>
        <w:t>telefon (GSM) :</w:t>
      </w:r>
    </w:p>
    <w:p>
      <w:pPr>
        <w:pStyle w:val="Style13"/>
        <w:keepNext w:val="0"/>
        <w:keepLines w:val="0"/>
        <w:widowControl w:val="0"/>
        <w:shd w:val="clear" w:color="auto" w:fill="auto"/>
        <w:bidi w:val="0"/>
        <w:spacing w:before="0" w:after="0" w:line="240" w:lineRule="auto"/>
        <w:ind w:left="2698" w:right="0" w:firstLine="0"/>
        <w:jc w:val="left"/>
        <w:rPr>
          <w:sz w:val="13"/>
          <w:szCs w:val="13"/>
        </w:rPr>
      </w:pPr>
      <w:r>
        <w:rPr>
          <w:color w:val="000000"/>
          <w:spacing w:val="0"/>
          <w:w w:val="100"/>
          <w:position w:val="0"/>
          <w:sz w:val="13"/>
          <w:szCs w:val="13"/>
          <w:shd w:val="clear" w:color="auto" w:fill="auto"/>
          <w:lang w:val="cs-CZ" w:eastAsia="cs-CZ" w:bidi="cs-CZ"/>
        </w:rPr>
        <w:t xml:space="preserve">Místo plnění: </w:t>
      </w:r>
      <w:r>
        <w:rPr>
          <w:b/>
          <w:bCs/>
          <w:color w:val="000000"/>
          <w:spacing w:val="0"/>
          <w:w w:val="100"/>
          <w:position w:val="0"/>
          <w:sz w:val="13"/>
          <w:szCs w:val="13"/>
          <w:shd w:val="clear" w:color="auto" w:fill="auto"/>
          <w:lang w:val="cs-CZ" w:eastAsia="cs-CZ" w:bidi="cs-CZ"/>
        </w:rPr>
        <w:t>Cestmistrovství Telč, Radkovská 498, 588 56 Telč</w:t>
      </w:r>
    </w:p>
    <w:tbl>
      <w:tblPr>
        <w:tblOverlap w:val="never"/>
        <w:jc w:val="center"/>
        <w:tblLayout w:type="fixed"/>
      </w:tblPr>
      <w:tblGrid>
        <w:gridCol w:w="403"/>
        <w:gridCol w:w="802"/>
        <w:gridCol w:w="2270"/>
        <w:gridCol w:w="2899"/>
        <w:gridCol w:w="1790"/>
        <w:gridCol w:w="768"/>
        <w:gridCol w:w="2323"/>
        <w:gridCol w:w="2328"/>
      </w:tblGrid>
      <w:tr>
        <w:trPr>
          <w:trHeight w:val="182" w:hRule="exact"/>
        </w:trPr>
        <w:tc>
          <w:tcPr>
            <w:vMerge w:val="restart"/>
            <w:tcBorders>
              <w:top w:val="single" w:sz="4"/>
              <w:left w:val="single" w:sz="4"/>
            </w:tcBorders>
            <w:shd w:val="clear" w:color="auto" w:fill="FBE5D7"/>
            <w:vAlign w:val="top"/>
          </w:tcPr>
          <w:p>
            <w:pPr>
              <w:pStyle w:val="Style15"/>
              <w:keepNext w:val="0"/>
              <w:keepLines w:val="0"/>
              <w:widowControl w:val="0"/>
              <w:shd w:val="clear" w:color="auto" w:fill="auto"/>
              <w:bidi w:val="0"/>
              <w:spacing w:before="0" w:after="0" w:line="202" w:lineRule="auto"/>
              <w:ind w:left="0" w:right="0" w:firstLine="0"/>
              <w:jc w:val="center"/>
              <w:rPr>
                <w:sz w:val="12"/>
                <w:szCs w:val="12"/>
              </w:rPr>
            </w:pPr>
            <w:r>
              <w:rPr>
                <w:color w:val="000000"/>
                <w:spacing w:val="0"/>
                <w:w w:val="100"/>
                <w:position w:val="0"/>
                <w:sz w:val="12"/>
                <w:szCs w:val="12"/>
                <w:shd w:val="clear" w:color="auto" w:fill="auto"/>
                <w:lang w:val="cs-CZ" w:eastAsia="cs-CZ" w:bidi="cs-CZ"/>
              </w:rPr>
              <w:t>Poř. číslo</w:t>
            </w:r>
          </w:p>
        </w:tc>
        <w:tc>
          <w:tcPr>
            <w:vMerge w:val="restart"/>
            <w:tcBorders>
              <w:top w:val="single" w:sz="4"/>
              <w:left w:val="single" w:sz="4"/>
            </w:tcBorders>
            <w:shd w:val="clear" w:color="auto" w:fill="FBE5D7"/>
            <w:vAlign w:val="bottom"/>
          </w:tcPr>
          <w:p>
            <w:pPr>
              <w:pStyle w:val="Style1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CPV kód</w:t>
            </w:r>
          </w:p>
        </w:tc>
        <w:tc>
          <w:tcPr>
            <w:vMerge w:val="restart"/>
            <w:tcBorders>
              <w:top w:val="single" w:sz="4"/>
              <w:left w:val="single" w:sz="4"/>
            </w:tcBorders>
            <w:shd w:val="clear" w:color="auto" w:fill="FBE5D7"/>
            <w:vAlign w:val="bottom"/>
          </w:tcPr>
          <w:p>
            <w:pPr>
              <w:pStyle w:val="Style1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Vozidlo/stroj</w:t>
            </w:r>
          </w:p>
        </w:tc>
        <w:tc>
          <w:tcPr>
            <w:gridSpan w:val="3"/>
            <w:tcBorders>
              <w:top w:val="single" w:sz="4"/>
              <w:left w:val="single" w:sz="4"/>
            </w:tcBorders>
            <w:shd w:val="clear" w:color="auto" w:fill="FBE5D7"/>
            <w:vAlign w:val="bottom"/>
          </w:tcPr>
          <w:p>
            <w:pPr>
              <w:pStyle w:val="Style1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Požadavky a minimální technické specifikace</w:t>
            </w:r>
          </w:p>
        </w:tc>
        <w:tc>
          <w:tcPr>
            <w:gridSpan w:val="2"/>
            <w:tcBorders>
              <w:top w:val="single" w:sz="4"/>
              <w:left w:val="single" w:sz="4"/>
              <w:right w:val="single" w:sz="4"/>
            </w:tcBorders>
            <w:shd w:val="clear" w:color="auto" w:fill="FBE5D7"/>
            <w:vAlign w:val="bottom"/>
          </w:tcPr>
          <w:p>
            <w:pPr>
              <w:pStyle w:val="Style1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Nabídková cena</w:t>
            </w:r>
          </w:p>
        </w:tc>
      </w:tr>
      <w:tr>
        <w:trPr>
          <w:trHeight w:val="182" w:hRule="exact"/>
        </w:trPr>
        <w:tc>
          <w:tcPr>
            <w:vMerge/>
            <w:tcBorders>
              <w:left w:val="single" w:sz="4"/>
            </w:tcBorders>
            <w:shd w:val="clear" w:color="auto" w:fill="FBE5D7"/>
            <w:vAlign w:val="top"/>
          </w:tcPr>
          <w:p>
            <w:pPr/>
          </w:p>
        </w:tc>
        <w:tc>
          <w:tcPr>
            <w:vMerge/>
            <w:tcBorders>
              <w:left w:val="single" w:sz="4"/>
            </w:tcBorders>
            <w:shd w:val="clear" w:color="auto" w:fill="FBE5D7"/>
            <w:vAlign w:val="bottom"/>
          </w:tcPr>
          <w:p>
            <w:pPr/>
          </w:p>
        </w:tc>
        <w:tc>
          <w:tcPr>
            <w:vMerge/>
            <w:tcBorders>
              <w:left w:val="single" w:sz="4"/>
            </w:tcBorders>
            <w:shd w:val="clear" w:color="auto" w:fill="FBE5D7"/>
            <w:vAlign w:val="bottom"/>
          </w:tcPr>
          <w:p>
            <w:pPr/>
          </w:p>
        </w:tc>
        <w:tc>
          <w:tcPr>
            <w:tcBorders>
              <w:top w:val="single" w:sz="4"/>
              <w:left w:val="single" w:sz="4"/>
            </w:tcBorders>
            <w:shd w:val="clear" w:color="auto" w:fill="FBE5D7"/>
            <w:vAlign w:val="bottom"/>
          </w:tcPr>
          <w:p>
            <w:pPr>
              <w:pStyle w:val="Style1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Rozměr pneumatiky</w:t>
            </w:r>
          </w:p>
        </w:tc>
        <w:tc>
          <w:tcPr>
            <w:tcBorders>
              <w:top w:val="single" w:sz="4"/>
              <w:left w:val="single" w:sz="4"/>
            </w:tcBorders>
            <w:shd w:val="clear" w:color="auto" w:fill="FBE5D7"/>
            <w:vAlign w:val="bottom"/>
          </w:tcPr>
          <w:p>
            <w:pPr>
              <w:pStyle w:val="Style1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Umístění na nápravě</w:t>
            </w:r>
          </w:p>
        </w:tc>
        <w:tc>
          <w:tcPr>
            <w:tcBorders>
              <w:top w:val="single" w:sz="4"/>
              <w:left w:val="single" w:sz="4"/>
            </w:tcBorders>
            <w:shd w:val="clear" w:color="auto" w:fill="FBE5D7"/>
            <w:vAlign w:val="bottom"/>
          </w:tcPr>
          <w:p>
            <w:pPr>
              <w:pStyle w:val="Style1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Počet kusů</w:t>
            </w:r>
          </w:p>
        </w:tc>
        <w:tc>
          <w:tcPr>
            <w:tcBorders>
              <w:top w:val="single" w:sz="4"/>
              <w:left w:val="single" w:sz="4"/>
            </w:tcBorders>
            <w:shd w:val="clear" w:color="auto" w:fill="FBE5D7"/>
            <w:vAlign w:val="bottom"/>
          </w:tcPr>
          <w:p>
            <w:pPr>
              <w:pStyle w:val="Style1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za 1 kus bez DPH</w:t>
            </w:r>
          </w:p>
        </w:tc>
        <w:tc>
          <w:tcPr>
            <w:tcBorders>
              <w:top w:val="single" w:sz="4"/>
              <w:left w:val="single" w:sz="4"/>
              <w:right w:val="single" w:sz="4"/>
            </w:tcBorders>
            <w:shd w:val="clear" w:color="auto" w:fill="FBE5D7"/>
            <w:vAlign w:val="bottom"/>
          </w:tcPr>
          <w:p>
            <w:pPr>
              <w:pStyle w:val="Style1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celkem bez DPH</w:t>
            </w:r>
          </w:p>
        </w:tc>
      </w:tr>
      <w:tr>
        <w:trPr>
          <w:trHeight w:val="21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shd w:val="clear" w:color="auto" w:fill="auto"/>
                <w:lang w:val="cs-CZ" w:eastAsia="cs-CZ" w:bidi="cs-CZ"/>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34350000-5</w:t>
            </w:r>
          </w:p>
        </w:tc>
        <w:tc>
          <w:tcPr>
            <w:tcBorders>
              <w:top w:val="single" w:sz="4"/>
              <w:left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Iveco Trekker/2920</w:t>
            </w:r>
          </w:p>
        </w:tc>
        <w:tc>
          <w:tcPr>
            <w:tcBorders>
              <w:top w:val="single" w:sz="4"/>
              <w:left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385/65R22,5 160K zimní, používáno celoročně</w:t>
            </w:r>
          </w:p>
        </w:tc>
        <w:tc>
          <w:tcPr>
            <w:tcBorders>
              <w:top w:val="single" w:sz="4"/>
              <w:left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zadní,hnaná</w:t>
            </w:r>
          </w:p>
        </w:tc>
        <w:tc>
          <w:tcPr>
            <w:tcBorders>
              <w:top w:val="single" w:sz="4"/>
              <w:left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1660" w:right="0" w:firstLine="0"/>
              <w:jc w:val="left"/>
              <w:rPr>
                <w:sz w:val="13"/>
                <w:szCs w:val="13"/>
              </w:rPr>
            </w:pPr>
            <w:r>
              <w:rPr>
                <w:color w:val="000000"/>
                <w:spacing w:val="0"/>
                <w:w w:val="100"/>
                <w:position w:val="0"/>
                <w:sz w:val="13"/>
                <w:szCs w:val="13"/>
                <w:shd w:val="clear" w:color="auto" w:fill="auto"/>
                <w:lang w:val="cs-CZ" w:eastAsia="cs-CZ" w:bidi="cs-CZ"/>
              </w:rPr>
              <w:t>7,190.00 Kč</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28,760.00 Kč</w:t>
            </w:r>
          </w:p>
        </w:tc>
      </w:tr>
      <w:tr>
        <w:trPr>
          <w:trHeight w:val="21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shd w:val="clear" w:color="auto" w:fill="auto"/>
                <w:lang w:val="cs-CZ" w:eastAsia="cs-CZ" w:bidi="cs-CZ"/>
              </w:rPr>
              <w:t>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34350000-5</w:t>
            </w:r>
          </w:p>
        </w:tc>
        <w:tc>
          <w:tcPr>
            <w:tcBorders>
              <w:top w:val="single" w:sz="4"/>
              <w:left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Iveco Trekker/2829</w:t>
            </w:r>
          </w:p>
        </w:tc>
        <w:tc>
          <w:tcPr>
            <w:tcBorders>
              <w:top w:val="single" w:sz="4"/>
              <w:left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385/65R22,5 160K zimní, používáno celoročně</w:t>
            </w:r>
          </w:p>
        </w:tc>
        <w:tc>
          <w:tcPr>
            <w:tcBorders>
              <w:top w:val="single" w:sz="4"/>
              <w:left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zadní,hnaná</w:t>
            </w:r>
          </w:p>
        </w:tc>
        <w:tc>
          <w:tcPr>
            <w:tcBorders>
              <w:top w:val="single" w:sz="4"/>
              <w:left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1660" w:right="0" w:firstLine="0"/>
              <w:jc w:val="left"/>
              <w:rPr>
                <w:sz w:val="13"/>
                <w:szCs w:val="13"/>
              </w:rPr>
            </w:pPr>
            <w:r>
              <w:rPr>
                <w:color w:val="000000"/>
                <w:spacing w:val="0"/>
                <w:w w:val="100"/>
                <w:position w:val="0"/>
                <w:sz w:val="13"/>
                <w:szCs w:val="13"/>
                <w:shd w:val="clear" w:color="auto" w:fill="auto"/>
                <w:lang w:val="cs-CZ" w:eastAsia="cs-CZ" w:bidi="cs-CZ"/>
              </w:rPr>
              <w:t>7,190.00 Kč</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28,760.00 Kč</w:t>
            </w:r>
          </w:p>
        </w:tc>
      </w:tr>
      <w:tr>
        <w:trPr>
          <w:trHeight w:val="21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shd w:val="clear" w:color="auto" w:fill="auto"/>
                <w:lang w:val="cs-CZ" w:eastAsia="cs-CZ" w:bidi="cs-CZ"/>
              </w:rPr>
              <w:t>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34350000-5</w:t>
            </w:r>
          </w:p>
        </w:tc>
        <w:tc>
          <w:tcPr>
            <w:tcBorders>
              <w:top w:val="single" w:sz="4"/>
              <w:left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Unimog U500/2896</w:t>
            </w:r>
          </w:p>
        </w:tc>
        <w:tc>
          <w:tcPr>
            <w:tcBorders>
              <w:top w:val="single" w:sz="4"/>
              <w:left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365/85R20 164G zimní,používáno celoročně</w:t>
            </w:r>
          </w:p>
        </w:tc>
        <w:tc>
          <w:tcPr>
            <w:tcBorders>
              <w:top w:val="single" w:sz="4"/>
              <w:left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4x4</w:t>
            </w:r>
          </w:p>
        </w:tc>
        <w:tc>
          <w:tcPr>
            <w:tcBorders>
              <w:top w:val="single" w:sz="4"/>
              <w:left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20,400.00 Kč</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81,600.00 Kč</w:t>
            </w:r>
          </w:p>
        </w:tc>
      </w:tr>
      <w:tr>
        <w:trPr>
          <w:trHeight w:val="21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shd w:val="clear" w:color="auto" w:fill="auto"/>
                <w:lang w:val="cs-CZ" w:eastAsia="cs-CZ" w:bidi="cs-CZ"/>
              </w:rPr>
              <w:t>4</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34350000-5</w:t>
            </w:r>
          </w:p>
        </w:tc>
        <w:tc>
          <w:tcPr>
            <w:tcBorders>
              <w:top w:val="single" w:sz="4"/>
              <w:left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Iveco Eurocargo/2891</w:t>
            </w:r>
          </w:p>
        </w:tc>
        <w:tc>
          <w:tcPr>
            <w:tcBorders>
              <w:top w:val="single" w:sz="4"/>
              <w:left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9,5R17,5 129/127L zimní, používáno celoročně</w:t>
            </w:r>
          </w:p>
        </w:tc>
        <w:tc>
          <w:tcPr>
            <w:tcBorders>
              <w:top w:val="single" w:sz="4"/>
              <w:left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zadní,hnaná</w:t>
            </w:r>
          </w:p>
        </w:tc>
        <w:tc>
          <w:tcPr>
            <w:tcBorders>
              <w:top w:val="single" w:sz="4"/>
              <w:left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1660" w:right="0" w:firstLine="0"/>
              <w:jc w:val="left"/>
              <w:rPr>
                <w:sz w:val="13"/>
                <w:szCs w:val="13"/>
              </w:rPr>
            </w:pPr>
            <w:r>
              <w:rPr>
                <w:color w:val="000000"/>
                <w:spacing w:val="0"/>
                <w:w w:val="100"/>
                <w:position w:val="0"/>
                <w:sz w:val="13"/>
                <w:szCs w:val="13"/>
                <w:shd w:val="clear" w:color="auto" w:fill="auto"/>
                <w:lang w:val="cs-CZ" w:eastAsia="cs-CZ" w:bidi="cs-CZ"/>
              </w:rPr>
              <w:t>5,500.00 Kč</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22,000.00 Kč</w:t>
            </w:r>
          </w:p>
        </w:tc>
      </w:tr>
      <w:tr>
        <w:trPr>
          <w:trHeight w:val="216"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shd w:val="clear" w:color="auto" w:fill="auto"/>
                <w:lang w:val="cs-CZ" w:eastAsia="cs-CZ" w:bidi="cs-CZ"/>
              </w:rPr>
              <w:t>5</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34350000-5</w:t>
            </w:r>
          </w:p>
        </w:tc>
        <w:tc>
          <w:tcPr>
            <w:tcBorders>
              <w:top w:val="single" w:sz="4"/>
              <w:left w:val="single" w:sz="4"/>
              <w:bottom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Iveco Eurocargo/2891</w:t>
            </w:r>
          </w:p>
        </w:tc>
        <w:tc>
          <w:tcPr>
            <w:tcBorders>
              <w:top w:val="single" w:sz="4"/>
              <w:left w:val="single" w:sz="4"/>
              <w:bottom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9,5R17,5 129/127L zimní, používáno celoročně</w:t>
            </w:r>
          </w:p>
        </w:tc>
        <w:tc>
          <w:tcPr>
            <w:tcBorders>
              <w:top w:val="single" w:sz="4"/>
              <w:left w:val="single" w:sz="4"/>
              <w:bottom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přední,vodící</w:t>
            </w:r>
          </w:p>
        </w:tc>
        <w:tc>
          <w:tcPr>
            <w:tcBorders>
              <w:top w:val="single" w:sz="4"/>
              <w:left w:val="single" w:sz="4"/>
              <w:bottom w:val="single" w:sz="4"/>
            </w:tcBorders>
            <w:shd w:val="clear" w:color="auto" w:fill="FFFF00"/>
            <w:vAlign w:val="bottom"/>
          </w:tcPr>
          <w:p>
            <w:pPr>
              <w:pStyle w:val="Style15"/>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1660" w:right="0" w:firstLine="0"/>
              <w:jc w:val="left"/>
              <w:rPr>
                <w:sz w:val="13"/>
                <w:szCs w:val="13"/>
              </w:rPr>
            </w:pPr>
            <w:r>
              <w:rPr>
                <w:color w:val="000000"/>
                <w:spacing w:val="0"/>
                <w:w w:val="100"/>
                <w:position w:val="0"/>
                <w:sz w:val="13"/>
                <w:szCs w:val="13"/>
                <w:shd w:val="clear" w:color="auto" w:fill="auto"/>
                <w:lang w:val="cs-CZ" w:eastAsia="cs-CZ" w:bidi="cs-CZ"/>
              </w:rPr>
              <w:t>5,000.00 Kč</w:t>
            </w:r>
          </w:p>
        </w:tc>
        <w:tc>
          <w:tcPr>
            <w:tcBorders>
              <w:top w:val="single" w:sz="4"/>
              <w:left w:val="single" w:sz="4"/>
              <w:bottom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10,000.00 Kč</w:t>
            </w:r>
          </w:p>
        </w:tc>
      </w:tr>
    </w:tbl>
    <w:p>
      <w:pPr>
        <w:widowControl w:val="0"/>
        <w:spacing w:after="159" w:line="1" w:lineRule="exact"/>
      </w:pPr>
    </w:p>
    <w:tbl>
      <w:tblPr>
        <w:tblOverlap w:val="never"/>
        <w:jc w:val="right"/>
        <w:tblLayout w:type="fixed"/>
      </w:tblPr>
      <w:tblGrid>
        <w:gridCol w:w="1795"/>
        <w:gridCol w:w="768"/>
        <w:gridCol w:w="2323"/>
        <w:gridCol w:w="2328"/>
      </w:tblGrid>
      <w:tr>
        <w:trPr>
          <w:trHeight w:val="547" w:hRule="exact"/>
        </w:trPr>
        <w:tc>
          <w:tcPr>
            <w:tcBorders>
              <w:top w:val="single" w:sz="4"/>
              <w:left w:val="single" w:sz="4"/>
              <w:bottom w:val="single" w:sz="4"/>
            </w:tcBorders>
            <w:shd w:val="clear" w:color="auto" w:fill="DEEAF6"/>
            <w:vAlign w:val="center"/>
          </w:tcPr>
          <w:p>
            <w:pPr>
              <w:pStyle w:val="Style15"/>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Celkový počet pneumatik</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18</w:t>
            </w:r>
          </w:p>
        </w:tc>
        <w:tc>
          <w:tcPr>
            <w:tcBorders>
              <w:top w:val="single" w:sz="4"/>
              <w:left w:val="single" w:sz="4"/>
              <w:bottom w:val="single" w:sz="4"/>
            </w:tcBorders>
            <w:shd w:val="clear" w:color="auto" w:fill="DEEAF6"/>
            <w:vAlign w:val="center"/>
          </w:tcPr>
          <w:p>
            <w:pPr>
              <w:pStyle w:val="Style15"/>
              <w:keepNext w:val="0"/>
              <w:keepLines w:val="0"/>
              <w:widowControl w:val="0"/>
              <w:shd w:val="clear" w:color="auto" w:fill="auto"/>
              <w:bidi w:val="0"/>
              <w:spacing w:before="0" w:after="0" w:line="202"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 xml:space="preserve">Nabídková cena za celkové množství bez DPH </w:t>
            </w:r>
            <w:r>
              <w:rPr>
                <w:color w:val="000000"/>
                <w:spacing w:val="0"/>
                <w:w w:val="100"/>
                <w:position w:val="0"/>
                <w:sz w:val="13"/>
                <w:szCs w:val="13"/>
                <w:shd w:val="clear" w:color="auto" w:fill="auto"/>
                <w:lang w:val="cs-CZ" w:eastAsia="cs-CZ" w:bidi="cs-CZ"/>
              </w:rPr>
              <w:t>(hodnotící kritérium)</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right"/>
              <w:rPr>
                <w:sz w:val="13"/>
                <w:szCs w:val="13"/>
              </w:rPr>
            </w:pPr>
            <w:r>
              <w:rPr>
                <w:b/>
                <w:bCs/>
                <w:color w:val="000000"/>
                <w:spacing w:val="0"/>
                <w:w w:val="100"/>
                <w:position w:val="0"/>
                <w:sz w:val="13"/>
                <w:szCs w:val="13"/>
                <w:shd w:val="clear" w:color="auto" w:fill="auto"/>
                <w:lang w:val="cs-CZ" w:eastAsia="cs-CZ" w:bidi="cs-CZ"/>
              </w:rPr>
              <w:t>171,120.00 Kč</w:t>
            </w:r>
          </w:p>
        </w:tc>
      </w:tr>
    </w:tbl>
    <w:sectPr>
      <w:headerReference w:type="default" r:id="rId6"/>
      <w:footnotePr>
        <w:pos w:val="pageBottom"/>
        <w:numFmt w:val="decimal"/>
        <w:numRestart w:val="continuous"/>
      </w:footnotePr>
      <w:pgSz w:w="16840" w:h="11900" w:orient="landscape"/>
      <w:pgMar w:top="1559" w:left="1004" w:right="2252" w:bottom="1559" w:header="0" w:footer="1131"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916305</wp:posOffset>
              </wp:positionH>
              <wp:positionV relativeFrom="page">
                <wp:posOffset>463550</wp:posOffset>
              </wp:positionV>
              <wp:extent cx="5745480" cy="140335"/>
              <wp:wrapNone/>
              <wp:docPr id="1" name="Shape 1"/>
              <a:graphic xmlns:a="http://schemas.openxmlformats.org/drawingml/2006/main">
                <a:graphicData uri="http://schemas.microsoft.com/office/word/2010/wordprocessingShape">
                  <wps:wsp>
                    <wps:cNvSpPr txBox="1"/>
                    <wps:spPr>
                      <a:xfrm>
                        <a:ext cx="5745480" cy="140335"/>
                      </a:xfrm>
                      <a:prstGeom prst="rect"/>
                      <a:noFill/>
                    </wps:spPr>
                    <wps:txbx>
                      <w:txbxContent>
                        <w:p>
                          <w:pPr>
                            <w:pStyle w:val="Style4"/>
                            <w:keepNext w:val="0"/>
                            <w:keepLines w:val="0"/>
                            <w:widowControl w:val="0"/>
                            <w:shd w:val="clear" w:color="auto" w:fill="auto"/>
                            <w:tabs>
                              <w:tab w:pos="3120" w:val="right"/>
                              <w:tab w:pos="9048" w:val="right"/>
                            </w:tabs>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DNS083 až DNS092 2021 - ZNP</w:t>
                            <w:tab/>
                            <w:tab/>
                          </w:r>
                          <w:r>
                            <w:rPr>
                              <w:rFonts w:ascii="Calibri" w:eastAsia="Calibri" w:hAnsi="Calibri" w:cs="Calibri"/>
                              <w:color w:val="000000"/>
                              <w:spacing w:val="0"/>
                              <w:w w:val="100"/>
                              <w:position w:val="0"/>
                              <w:sz w:val="22"/>
                              <w:szCs w:val="22"/>
                              <w:u w:val="single"/>
                              <w:shd w:val="clear" w:color="auto" w:fill="auto"/>
                              <w:lang w:val="cs-CZ" w:eastAsia="cs-CZ" w:bidi="cs-CZ"/>
                            </w:rPr>
                            <w:t>Číslo smlouvy kupujícího: N-DO-4-2019-84</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2.150000000000006pt;margin-top:36.5pt;width:452.39999999999998pt;height:11.050000000000001pt;z-index:-18874406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3120" w:val="right"/>
                        <w:tab w:pos="9048" w:val="right"/>
                      </w:tabs>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DNS083 až DNS092 2021 - ZNP</w:t>
                      <w:tab/>
                      <w:tab/>
                    </w:r>
                    <w:r>
                      <w:rPr>
                        <w:rFonts w:ascii="Calibri" w:eastAsia="Calibri" w:hAnsi="Calibri" w:cs="Calibri"/>
                        <w:color w:val="000000"/>
                        <w:spacing w:val="0"/>
                        <w:w w:val="100"/>
                        <w:position w:val="0"/>
                        <w:sz w:val="22"/>
                        <w:szCs w:val="22"/>
                        <w:u w:val="single"/>
                        <w:shd w:val="clear" w:color="auto" w:fill="auto"/>
                        <w:lang w:val="cs-CZ" w:eastAsia="cs-CZ" w:bidi="cs-CZ"/>
                      </w:rPr>
                      <w:t>Číslo smlouvy kupujícího: N-DO-4-2019-84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901065</wp:posOffset>
              </wp:positionH>
              <wp:positionV relativeFrom="page">
                <wp:posOffset>598805</wp:posOffset>
              </wp:positionV>
              <wp:extent cx="5763895" cy="0"/>
              <wp:wrapNone/>
              <wp:docPr id="3" name="Shape 3"/>
              <a:graphic xmlns:a="http://schemas.openxmlformats.org/drawingml/2006/main">
                <a:graphicData uri="http://schemas.microsoft.com/office/word/2010/wordprocessingShape">
                  <wps:wsp>
                    <wps:cNvCnPr/>
                    <wps:spPr>
                      <a:xfrm>
                        <a:ext cx="5763895" cy="0"/>
                      </a:xfrm>
                      <a:prstGeom prst="straightConnector1"/>
                      <a:ln w="12700">
                        <a:solidFill/>
                      </a:ln>
                    </wps:spPr>
                    <wps:bodyPr/>
                  </wps:wsp>
                </a:graphicData>
              </a:graphic>
            </wp:anchor>
          </w:drawing>
        </mc:Choice>
        <mc:Fallback>
          <w:pict>
            <v:shape o:spt="32" o:oned="true" path="m,l21600,21600e" style="position:absolute;margin-left:70.950000000000003pt;margin-top:47.149999999999999pt;width:453.85000000000002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3996690</wp:posOffset>
              </wp:positionH>
              <wp:positionV relativeFrom="page">
                <wp:posOffset>746125</wp:posOffset>
              </wp:positionV>
              <wp:extent cx="5711825" cy="113030"/>
              <wp:wrapNone/>
              <wp:docPr id="8" name="Shape 8"/>
              <a:graphic xmlns:a="http://schemas.openxmlformats.org/drawingml/2006/main">
                <a:graphicData uri="http://schemas.microsoft.com/office/word/2010/wordprocessingShape">
                  <wps:wsp>
                    <wps:cNvSpPr txBox="1"/>
                    <wps:spPr>
                      <a:xfrm>
                        <a:ext cx="5711825" cy="113030"/>
                      </a:xfrm>
                      <a:prstGeom prst="rect"/>
                      <a:noFill/>
                    </wps:spPr>
                    <wps:txbx>
                      <w:txbxContent>
                        <w:p>
                          <w:pPr>
                            <w:pStyle w:val="Style4"/>
                            <w:keepNext w:val="0"/>
                            <w:keepLines w:val="0"/>
                            <w:widowControl w:val="0"/>
                            <w:shd w:val="clear" w:color="auto" w:fill="auto"/>
                            <w:tabs>
                              <w:tab w:pos="8995" w:val="right"/>
                            </w:tabs>
                            <w:bidi w:val="0"/>
                            <w:spacing w:before="0" w:after="0" w:line="240" w:lineRule="auto"/>
                            <w:ind w:left="0" w:right="0" w:firstLine="0"/>
                            <w:jc w:val="left"/>
                            <w:rPr>
                              <w:sz w:val="12"/>
                              <w:szCs w:val="12"/>
                            </w:rPr>
                          </w:pPr>
                          <w:r>
                            <w:rPr>
                              <w:rFonts w:ascii="Calibri" w:eastAsia="Calibri" w:hAnsi="Calibri" w:cs="Calibri"/>
                              <w:b/>
                              <w:bCs/>
                              <w:color w:val="000000"/>
                              <w:spacing w:val="0"/>
                              <w:w w:val="100"/>
                              <w:position w:val="0"/>
                              <w:sz w:val="20"/>
                              <w:szCs w:val="20"/>
                              <w:shd w:val="clear" w:color="auto" w:fill="auto"/>
                              <w:lang w:val="cs-CZ" w:eastAsia="cs-CZ" w:bidi="cs-CZ"/>
                            </w:rPr>
                            <w:t>Technická a množstevní specifikace</w:t>
                            <w:tab/>
                          </w:r>
                          <w:r>
                            <w:rPr>
                              <w:rFonts w:ascii="Calibri" w:eastAsia="Calibri" w:hAnsi="Calibri" w:cs="Calibri"/>
                              <w:color w:val="000000"/>
                              <w:spacing w:val="0"/>
                              <w:w w:val="100"/>
                              <w:position w:val="0"/>
                              <w:sz w:val="12"/>
                              <w:szCs w:val="12"/>
                              <w:shd w:val="clear" w:color="auto" w:fill="auto"/>
                              <w:lang w:val="cs-CZ" w:eastAsia="cs-CZ" w:bidi="cs-CZ"/>
                            </w:rPr>
                            <w:t>Příloha V1/84</w:t>
                          </w:r>
                        </w:p>
                      </w:txbxContent>
                    </wps:txbx>
                    <wps:bodyPr lIns="0" tIns="0" rIns="0" bIns="0">
                      <a:spAutoFit/>
                    </wps:bodyPr>
                  </wps:wsp>
                </a:graphicData>
              </a:graphic>
            </wp:anchor>
          </w:drawing>
        </mc:Choice>
        <mc:Fallback>
          <w:pict>
            <v:shape id="_x0000_s1034" type="#_x0000_t202" style="position:absolute;margin-left:314.69999999999999pt;margin-top:58.75pt;width:449.75pt;height:8.9000000000000004pt;z-index:-18874406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8995" w:val="right"/>
                      </w:tabs>
                      <w:bidi w:val="0"/>
                      <w:spacing w:before="0" w:after="0" w:line="240" w:lineRule="auto"/>
                      <w:ind w:left="0" w:right="0" w:firstLine="0"/>
                      <w:jc w:val="left"/>
                      <w:rPr>
                        <w:sz w:val="12"/>
                        <w:szCs w:val="12"/>
                      </w:rPr>
                    </w:pPr>
                    <w:r>
                      <w:rPr>
                        <w:rFonts w:ascii="Calibri" w:eastAsia="Calibri" w:hAnsi="Calibri" w:cs="Calibri"/>
                        <w:b/>
                        <w:bCs/>
                        <w:color w:val="000000"/>
                        <w:spacing w:val="0"/>
                        <w:w w:val="100"/>
                        <w:position w:val="0"/>
                        <w:sz w:val="20"/>
                        <w:szCs w:val="20"/>
                        <w:shd w:val="clear" w:color="auto" w:fill="auto"/>
                        <w:lang w:val="cs-CZ" w:eastAsia="cs-CZ" w:bidi="cs-CZ"/>
                      </w:rPr>
                      <w:t>Technická a množstevní specifikace</w:t>
                      <w:tab/>
                    </w:r>
                    <w:r>
                      <w:rPr>
                        <w:rFonts w:ascii="Calibri" w:eastAsia="Calibri" w:hAnsi="Calibri" w:cs="Calibri"/>
                        <w:color w:val="000000"/>
                        <w:spacing w:val="0"/>
                        <w:w w:val="100"/>
                        <w:position w:val="0"/>
                        <w:sz w:val="12"/>
                        <w:szCs w:val="12"/>
                        <w:shd w:val="clear" w:color="auto" w:fill="auto"/>
                        <w:lang w:val="cs-CZ" w:eastAsia="cs-CZ" w:bidi="cs-CZ"/>
                      </w:rPr>
                      <w:t>Příloha V1/84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634365</wp:posOffset>
              </wp:positionH>
              <wp:positionV relativeFrom="page">
                <wp:posOffset>803910</wp:posOffset>
              </wp:positionV>
              <wp:extent cx="8632190" cy="0"/>
              <wp:wrapNone/>
              <wp:docPr id="10" name="Shape 10"/>
              <a:graphic xmlns:a="http://schemas.openxmlformats.org/drawingml/2006/main">
                <a:graphicData uri="http://schemas.microsoft.com/office/word/2010/wordprocessingShape">
                  <wps:wsp>
                    <wps:cNvCnPr/>
                    <wps:spPr>
                      <a:xfrm>
                        <a:ext cx="8632190" cy="0"/>
                      </a:xfrm>
                      <a:prstGeom prst="straightConnector1"/>
                      <a:ln w="12700">
                        <a:solidFill/>
                      </a:ln>
                    </wps:spPr>
                    <wps:bodyPr/>
                  </wps:wsp>
                </a:graphicData>
              </a:graphic>
            </wp:anchor>
          </w:drawing>
        </mc:Choice>
        <mc:Fallback>
          <w:pict>
            <v:shape o:spt="32" o:oned="true" path="m,l21600,21600e" style="position:absolute;margin-left:49.950000000000003pt;margin-top:63.299999999999997pt;width:679.70000000000005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Calibri" w:eastAsia="Calibri" w:hAnsi="Calibri" w:cs="Calibri"/>
      <w:b/>
      <w:bCs/>
      <w:i w:val="0"/>
      <w:iCs w:val="0"/>
      <w:smallCaps w:val="0"/>
      <w:strike w:val="0"/>
      <w:sz w:val="28"/>
      <w:szCs w:val="28"/>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Základní text_"/>
    <w:basedOn w:val="DefaultParagraphFont"/>
    <w:link w:val="Style8"/>
    <w:rPr>
      <w:rFonts w:ascii="Calibri" w:eastAsia="Calibri" w:hAnsi="Calibri" w:cs="Calibri"/>
      <w:b w:val="0"/>
      <w:bCs w:val="0"/>
      <w:i w:val="0"/>
      <w:iCs w:val="0"/>
      <w:smallCaps w:val="0"/>
      <w:strike w:val="0"/>
      <w:sz w:val="24"/>
      <w:szCs w:val="24"/>
      <w:u w:val="none"/>
    </w:rPr>
  </w:style>
  <w:style w:type="character" w:customStyle="1" w:styleId="CharStyle12">
    <w:name w:val="Nadpis #2_"/>
    <w:basedOn w:val="DefaultParagraphFont"/>
    <w:link w:val="Style11"/>
    <w:rPr>
      <w:rFonts w:ascii="Calibri" w:eastAsia="Calibri" w:hAnsi="Calibri" w:cs="Calibri"/>
      <w:b/>
      <w:bCs/>
      <w:i w:val="0"/>
      <w:iCs w:val="0"/>
      <w:smallCaps w:val="0"/>
      <w:strike w:val="0"/>
      <w:sz w:val="24"/>
      <w:szCs w:val="24"/>
      <w:u w:val="none"/>
    </w:rPr>
  </w:style>
  <w:style w:type="character" w:customStyle="1" w:styleId="CharStyle14">
    <w:name w:val="Titulek tabulky_"/>
    <w:basedOn w:val="DefaultParagraphFont"/>
    <w:link w:val="Style13"/>
    <w:rPr>
      <w:rFonts w:ascii="Calibri" w:eastAsia="Calibri" w:hAnsi="Calibri" w:cs="Calibri"/>
      <w:b w:val="0"/>
      <w:bCs w:val="0"/>
      <w:i w:val="0"/>
      <w:iCs w:val="0"/>
      <w:smallCaps w:val="0"/>
      <w:strike w:val="0"/>
      <w:sz w:val="24"/>
      <w:szCs w:val="24"/>
      <w:u w:val="none"/>
    </w:rPr>
  </w:style>
  <w:style w:type="character" w:customStyle="1" w:styleId="CharStyle16">
    <w:name w:val="Jiné_"/>
    <w:basedOn w:val="DefaultParagraphFont"/>
    <w:link w:val="Style15"/>
    <w:rPr>
      <w:rFonts w:ascii="Calibri" w:eastAsia="Calibri" w:hAnsi="Calibri" w:cs="Calibri"/>
      <w:b w:val="0"/>
      <w:bCs w:val="0"/>
      <w:i w:val="0"/>
      <w:iCs w:val="0"/>
      <w:smallCaps w:val="0"/>
      <w:strike w:val="0"/>
      <w:sz w:val="24"/>
      <w:szCs w:val="24"/>
      <w:u w:val="none"/>
    </w:rPr>
  </w:style>
  <w:style w:type="character" w:customStyle="1" w:styleId="CharStyle25">
    <w:name w:val="Základní text (2)_"/>
    <w:basedOn w:val="DefaultParagraphFont"/>
    <w:link w:val="Style24"/>
    <w:rPr>
      <w:rFonts w:ascii="Calibri" w:eastAsia="Calibri" w:hAnsi="Calibri" w:cs="Calibri"/>
      <w:b w:val="0"/>
      <w:bCs w:val="0"/>
      <w:i w:val="0"/>
      <w:iCs w:val="0"/>
      <w:smallCaps w:val="0"/>
      <w:strike w:val="0"/>
      <w:sz w:val="20"/>
      <w:szCs w:val="20"/>
      <w:u w:val="none"/>
    </w:rPr>
  </w:style>
  <w:style w:type="paragraph" w:customStyle="1" w:styleId="Style2">
    <w:name w:val="Nadpis #1"/>
    <w:basedOn w:val="Normal"/>
    <w:link w:val="CharStyle3"/>
    <w:pPr>
      <w:widowControl w:val="0"/>
      <w:shd w:val="clear" w:color="auto" w:fill="FFFFFF"/>
      <w:spacing w:after="680"/>
      <w:jc w:val="center"/>
      <w:outlineLvl w:val="0"/>
    </w:pPr>
    <w:rPr>
      <w:rFonts w:ascii="Calibri" w:eastAsia="Calibri" w:hAnsi="Calibri" w:cs="Calibri"/>
      <w:b/>
      <w:bCs/>
      <w:i w:val="0"/>
      <w:iCs w:val="0"/>
      <w:smallCaps w:val="0"/>
      <w:strike w:val="0"/>
      <w:sz w:val="28"/>
      <w:szCs w:val="28"/>
      <w:u w:val="none"/>
    </w:rPr>
  </w:style>
  <w:style w:type="paragraph" w:customStyle="1" w:styleId="Style4">
    <w:name w:val="Záhlaví nebo zápatí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8">
    <w:name w:val="Základní text"/>
    <w:basedOn w:val="Normal"/>
    <w:link w:val="CharStyle9"/>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11">
    <w:name w:val="Nadpis #2"/>
    <w:basedOn w:val="Normal"/>
    <w:link w:val="CharStyle12"/>
    <w:pPr>
      <w:widowControl w:val="0"/>
      <w:shd w:val="clear" w:color="auto" w:fill="FFFFFF"/>
      <w:spacing w:after="100"/>
      <w:jc w:val="center"/>
      <w:outlineLvl w:val="1"/>
    </w:pPr>
    <w:rPr>
      <w:rFonts w:ascii="Calibri" w:eastAsia="Calibri" w:hAnsi="Calibri" w:cs="Calibri"/>
      <w:b/>
      <w:bCs/>
      <w:i w:val="0"/>
      <w:iCs w:val="0"/>
      <w:smallCaps w:val="0"/>
      <w:strike w:val="0"/>
      <w:sz w:val="24"/>
      <w:szCs w:val="24"/>
      <w:u w:val="none"/>
    </w:rPr>
  </w:style>
  <w:style w:type="paragraph" w:customStyle="1" w:styleId="Style13">
    <w:name w:val="Titulek tabulky"/>
    <w:basedOn w:val="Normal"/>
    <w:link w:val="CharStyle14"/>
    <w:pPr>
      <w:widowControl w:val="0"/>
      <w:shd w:val="clear" w:color="auto" w:fill="FFFFFF"/>
    </w:pPr>
    <w:rPr>
      <w:rFonts w:ascii="Calibri" w:eastAsia="Calibri" w:hAnsi="Calibri" w:cs="Calibri"/>
      <w:b w:val="0"/>
      <w:bCs w:val="0"/>
      <w:i w:val="0"/>
      <w:iCs w:val="0"/>
      <w:smallCaps w:val="0"/>
      <w:strike w:val="0"/>
      <w:sz w:val="24"/>
      <w:szCs w:val="24"/>
      <w:u w:val="none"/>
    </w:rPr>
  </w:style>
  <w:style w:type="paragraph" w:customStyle="1" w:styleId="Style15">
    <w:name w:val="Jiné"/>
    <w:basedOn w:val="Normal"/>
    <w:link w:val="CharStyle16"/>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24">
    <w:name w:val="Základní text (2)"/>
    <w:basedOn w:val="Normal"/>
    <w:link w:val="CharStyle25"/>
    <w:pPr>
      <w:widowControl w:val="0"/>
      <w:shd w:val="clear" w:color="auto" w:fill="FFFFFF"/>
      <w:spacing w:after="820"/>
      <w:jc w:val="right"/>
    </w:pPr>
    <w:rPr>
      <w:rFonts w:ascii="Calibri" w:eastAsia="Calibri" w:hAnsi="Calibri" w:cs="Calibri"/>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