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815" w:rsidRDefault="00584815" w:rsidP="00E5206C">
      <w:pPr>
        <w:pStyle w:val="Zkladntext"/>
        <w:spacing w:beforeLines="20" w:before="48"/>
        <w:jc w:val="center"/>
        <w:rPr>
          <w:rFonts w:ascii="Times New Roman" w:hAnsi="Times New Roman"/>
          <w:i w:val="0"/>
          <w:caps/>
          <w:spacing w:val="100"/>
          <w:sz w:val="36"/>
        </w:rPr>
      </w:pPr>
      <w:bookmarkStart w:id="0" w:name="_GoBack"/>
      <w:bookmarkEnd w:id="0"/>
    </w:p>
    <w:p w:rsidR="008F59AC" w:rsidRPr="00095FDB" w:rsidRDefault="00064B1D" w:rsidP="00E5206C">
      <w:pPr>
        <w:pStyle w:val="Zkladntext"/>
        <w:spacing w:beforeLines="20" w:before="48"/>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rsidR="002E7917" w:rsidRDefault="002E7917" w:rsidP="00E5206C">
      <w:pPr>
        <w:pStyle w:val="Zkladntext"/>
        <w:spacing w:beforeLines="20" w:before="48"/>
        <w:jc w:val="center"/>
        <w:rPr>
          <w:rFonts w:ascii="Times New Roman" w:hAnsi="Times New Roman"/>
          <w:b w:val="0"/>
          <w:i w:val="0"/>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584815" w:rsidRDefault="00584815" w:rsidP="00E5206C">
      <w:pPr>
        <w:pStyle w:val="Zkladntext"/>
        <w:spacing w:beforeLines="20" w:before="48"/>
        <w:jc w:val="center"/>
        <w:rPr>
          <w:rFonts w:ascii="Times New Roman" w:hAnsi="Times New Roman"/>
          <w:b w:val="0"/>
          <w:i w:val="0"/>
        </w:rPr>
      </w:pPr>
    </w:p>
    <w:p w:rsidR="00DC26F4" w:rsidRDefault="00DC26F4" w:rsidP="00E5206C">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473"/>
        <w:gridCol w:w="6305"/>
      </w:tblGrid>
      <w:tr w:rsidR="00AE2642" w:rsidRPr="00095FDB" w:rsidTr="00F8388B">
        <w:trPr>
          <w:trHeight w:val="317"/>
          <w:jc w:val="center"/>
        </w:trPr>
        <w:tc>
          <w:tcPr>
            <w:tcW w:w="3473" w:type="dxa"/>
            <w:shd w:val="clear" w:color="00FFFF" w:fill="auto"/>
          </w:tcPr>
          <w:p w:rsidR="006D6F14" w:rsidRPr="00095FDB" w:rsidRDefault="00AE2642" w:rsidP="00E5206C">
            <w:pPr>
              <w:spacing w:beforeLines="20" w:before="48"/>
              <w:rPr>
                <w:b/>
                <w:sz w:val="24"/>
              </w:rPr>
            </w:pPr>
            <w:r w:rsidRPr="00095FDB">
              <w:rPr>
                <w:b/>
                <w:sz w:val="24"/>
              </w:rPr>
              <w:t xml:space="preserve">OBJEDNATEL:    </w:t>
            </w:r>
          </w:p>
          <w:p w:rsidR="00AE2642" w:rsidRPr="00095FDB" w:rsidRDefault="006D6F14" w:rsidP="00E5206C">
            <w:pPr>
              <w:spacing w:beforeLines="20" w:before="48"/>
              <w:rPr>
                <w:b/>
                <w:sz w:val="24"/>
              </w:rPr>
            </w:pPr>
            <w:r w:rsidRPr="00095FDB">
              <w:rPr>
                <w:i/>
                <w:sz w:val="24"/>
              </w:rPr>
              <w:t>Zapsaný v obchodním rejstříku u:</w:t>
            </w:r>
            <w:r w:rsidR="00AE2642" w:rsidRPr="00095FDB">
              <w:rPr>
                <w:b/>
                <w:sz w:val="24"/>
              </w:rPr>
              <w:t xml:space="preserve">         </w:t>
            </w:r>
          </w:p>
        </w:tc>
        <w:tc>
          <w:tcPr>
            <w:tcW w:w="6305" w:type="dxa"/>
            <w:shd w:val="clear" w:color="00FFFF" w:fill="auto"/>
          </w:tcPr>
          <w:p w:rsidR="00AE2642" w:rsidRPr="00095FDB" w:rsidRDefault="005963A8" w:rsidP="00E5206C">
            <w:pPr>
              <w:pStyle w:val="Nadpis3"/>
              <w:spacing w:beforeLines="20" w:before="48" w:after="120"/>
              <w:rPr>
                <w:rFonts w:ascii="Times New Roman" w:hAnsi="Times New Roman"/>
              </w:rPr>
            </w:pPr>
            <w:r w:rsidRPr="00095FDB">
              <w:rPr>
                <w:rFonts w:ascii="Times New Roman" w:hAnsi="Times New Roman"/>
              </w:rPr>
              <w:t>Armádní Servisní, příspěvková organizace</w:t>
            </w:r>
          </w:p>
          <w:p w:rsidR="006D6F14" w:rsidRPr="00095FDB" w:rsidRDefault="000344C5" w:rsidP="00E5206C">
            <w:r>
              <w:rPr>
                <w:sz w:val="24"/>
              </w:rPr>
              <w:t>Městského soudu v Praze, sp.zn.</w:t>
            </w:r>
            <w:r w:rsidR="006D6F14" w:rsidRPr="00095FDB">
              <w:rPr>
                <w:sz w:val="24"/>
              </w:rPr>
              <w:t xml:space="preserve"> Pr. 1342</w:t>
            </w:r>
          </w:p>
        </w:tc>
      </w:tr>
      <w:tr w:rsidR="00AE2642" w:rsidRPr="00095FDB" w:rsidTr="00F8388B">
        <w:trPr>
          <w:trHeight w:val="280"/>
          <w:jc w:val="center"/>
        </w:trPr>
        <w:tc>
          <w:tcPr>
            <w:tcW w:w="3473" w:type="dxa"/>
          </w:tcPr>
          <w:p w:rsidR="00AE2642" w:rsidRPr="00095FDB" w:rsidRDefault="00731325" w:rsidP="00E5206C">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305" w:type="dxa"/>
          </w:tcPr>
          <w:p w:rsidR="00AE2642" w:rsidRPr="00095FDB" w:rsidRDefault="005963A8" w:rsidP="00E5206C">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F8388B">
        <w:trPr>
          <w:trHeight w:val="369"/>
          <w:jc w:val="center"/>
        </w:trPr>
        <w:tc>
          <w:tcPr>
            <w:tcW w:w="3473" w:type="dxa"/>
          </w:tcPr>
          <w:p w:rsidR="00AE2642" w:rsidRPr="00095FDB" w:rsidRDefault="00AE2642" w:rsidP="00E5206C">
            <w:pPr>
              <w:spacing w:beforeLines="20" w:before="48"/>
              <w:rPr>
                <w:i/>
                <w:sz w:val="24"/>
              </w:rPr>
            </w:pPr>
            <w:r w:rsidRPr="00095FDB">
              <w:rPr>
                <w:i/>
                <w:sz w:val="24"/>
              </w:rPr>
              <w:t>Sídlo:</w:t>
            </w:r>
          </w:p>
        </w:tc>
        <w:tc>
          <w:tcPr>
            <w:tcW w:w="6305" w:type="dxa"/>
          </w:tcPr>
          <w:p w:rsidR="00AE2642" w:rsidRPr="00095FDB" w:rsidRDefault="005963A8" w:rsidP="00E5206C">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F8388B">
        <w:trPr>
          <w:trHeight w:val="482"/>
          <w:jc w:val="center"/>
        </w:trPr>
        <w:tc>
          <w:tcPr>
            <w:tcW w:w="3473" w:type="dxa"/>
            <w:tcBorders>
              <w:bottom w:val="nil"/>
            </w:tcBorders>
          </w:tcPr>
          <w:p w:rsidR="00AE2642" w:rsidRPr="00095FDB" w:rsidRDefault="00036744" w:rsidP="00E5206C">
            <w:pPr>
              <w:spacing w:beforeLines="20" w:before="48"/>
              <w:rPr>
                <w:i/>
                <w:sz w:val="24"/>
              </w:rPr>
            </w:pPr>
            <w:r w:rsidRPr="00095FDB">
              <w:rPr>
                <w:i/>
                <w:sz w:val="24"/>
              </w:rPr>
              <w:t>IČ:</w:t>
            </w:r>
          </w:p>
          <w:p w:rsidR="00AE2642" w:rsidRPr="00095FDB" w:rsidRDefault="00AE2642" w:rsidP="00E5206C">
            <w:pPr>
              <w:spacing w:beforeLines="20" w:before="48"/>
              <w:rPr>
                <w:i/>
                <w:sz w:val="24"/>
              </w:rPr>
            </w:pPr>
            <w:r w:rsidRPr="00095FDB">
              <w:rPr>
                <w:i/>
                <w:sz w:val="24"/>
              </w:rPr>
              <w:t>DIČ</w:t>
            </w:r>
            <w:r w:rsidR="00036744" w:rsidRPr="00095FDB">
              <w:rPr>
                <w:i/>
                <w:sz w:val="24"/>
              </w:rPr>
              <w:t>:</w:t>
            </w:r>
          </w:p>
        </w:tc>
        <w:tc>
          <w:tcPr>
            <w:tcW w:w="6305" w:type="dxa"/>
            <w:tcBorders>
              <w:bottom w:val="nil"/>
            </w:tcBorders>
          </w:tcPr>
          <w:p w:rsidR="00AE2642" w:rsidRPr="00095FDB" w:rsidRDefault="00AE2642" w:rsidP="00E5206C">
            <w:pPr>
              <w:spacing w:beforeLines="20" w:before="48"/>
              <w:rPr>
                <w:sz w:val="24"/>
              </w:rPr>
            </w:pPr>
            <w:r w:rsidRPr="00095FDB">
              <w:rPr>
                <w:sz w:val="24"/>
              </w:rPr>
              <w:t>60460580</w:t>
            </w:r>
          </w:p>
          <w:p w:rsidR="00AE2642" w:rsidRPr="00095FDB" w:rsidRDefault="00AE2642" w:rsidP="00E5206C">
            <w:pPr>
              <w:spacing w:beforeLines="20" w:before="48"/>
              <w:rPr>
                <w:sz w:val="24"/>
              </w:rPr>
            </w:pPr>
            <w:r w:rsidRPr="00095FDB">
              <w:rPr>
                <w:sz w:val="24"/>
              </w:rPr>
              <w:t xml:space="preserve">CZ60460580 </w:t>
            </w:r>
          </w:p>
        </w:tc>
      </w:tr>
      <w:tr w:rsidR="00AE2642" w:rsidRPr="00095FDB" w:rsidTr="00F8388B">
        <w:trPr>
          <w:cantSplit/>
          <w:trHeight w:val="480"/>
          <w:jc w:val="center"/>
        </w:trPr>
        <w:tc>
          <w:tcPr>
            <w:tcW w:w="3473" w:type="dxa"/>
            <w:tcBorders>
              <w:bottom w:val="nil"/>
            </w:tcBorders>
          </w:tcPr>
          <w:p w:rsidR="00AE2642" w:rsidRPr="00095FDB" w:rsidRDefault="00AE2642" w:rsidP="00E5206C">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E5206C">
            <w:pPr>
              <w:spacing w:beforeLines="20" w:before="48"/>
              <w:rPr>
                <w:i/>
                <w:sz w:val="24"/>
              </w:rPr>
            </w:pPr>
            <w:r w:rsidRPr="00095FDB">
              <w:rPr>
                <w:i/>
                <w:sz w:val="24"/>
              </w:rPr>
              <w:t>Fax:</w:t>
            </w:r>
          </w:p>
        </w:tc>
        <w:tc>
          <w:tcPr>
            <w:tcW w:w="6305" w:type="dxa"/>
            <w:tcBorders>
              <w:bottom w:val="nil"/>
            </w:tcBorders>
          </w:tcPr>
          <w:p w:rsidR="00AE2642" w:rsidRPr="00095FDB" w:rsidRDefault="00AE2642" w:rsidP="00E5206C">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E5206C">
            <w:pPr>
              <w:spacing w:beforeLines="20" w:before="48"/>
              <w:rPr>
                <w:sz w:val="24"/>
              </w:rPr>
            </w:pPr>
            <w:r w:rsidRPr="00095FDB">
              <w:rPr>
                <w:sz w:val="24"/>
              </w:rPr>
              <w:t>973 204 092</w:t>
            </w:r>
          </w:p>
        </w:tc>
      </w:tr>
      <w:tr w:rsidR="00AE2642" w:rsidRPr="00095FDB" w:rsidTr="00F8388B">
        <w:trPr>
          <w:trHeight w:val="357"/>
          <w:jc w:val="center"/>
        </w:trPr>
        <w:tc>
          <w:tcPr>
            <w:tcW w:w="3473" w:type="dxa"/>
          </w:tcPr>
          <w:p w:rsidR="00753CAB" w:rsidRPr="00095FDB" w:rsidRDefault="00753CAB" w:rsidP="00E5206C">
            <w:pPr>
              <w:spacing w:beforeLines="20" w:before="48"/>
              <w:rPr>
                <w:i/>
                <w:sz w:val="24"/>
              </w:rPr>
            </w:pPr>
            <w:r w:rsidRPr="00095FDB">
              <w:rPr>
                <w:i/>
                <w:sz w:val="24"/>
              </w:rPr>
              <w:t>ID datové schránky:</w:t>
            </w:r>
          </w:p>
          <w:p w:rsidR="00AE2642" w:rsidRPr="00095FDB" w:rsidRDefault="00AE2642" w:rsidP="00E5206C">
            <w:pPr>
              <w:spacing w:beforeLines="20" w:before="48"/>
              <w:rPr>
                <w:i/>
                <w:sz w:val="24"/>
              </w:rPr>
            </w:pPr>
            <w:r w:rsidRPr="00095FDB">
              <w:rPr>
                <w:i/>
                <w:sz w:val="24"/>
              </w:rPr>
              <w:t>Odpovědní zástupci pro jednání:</w:t>
            </w:r>
          </w:p>
        </w:tc>
        <w:tc>
          <w:tcPr>
            <w:tcW w:w="6305" w:type="dxa"/>
          </w:tcPr>
          <w:p w:rsidR="00AE2642" w:rsidRPr="00095FDB" w:rsidRDefault="00753CAB" w:rsidP="00E5206C">
            <w:pPr>
              <w:spacing w:beforeLines="20" w:before="48"/>
              <w:rPr>
                <w:sz w:val="24"/>
                <w:szCs w:val="24"/>
              </w:rPr>
            </w:pPr>
            <w:r w:rsidRPr="00095FDB">
              <w:rPr>
                <w:sz w:val="24"/>
                <w:szCs w:val="24"/>
              </w:rPr>
              <w:t>dugmkm6</w:t>
            </w:r>
          </w:p>
        </w:tc>
      </w:tr>
      <w:tr w:rsidR="00AE2642" w:rsidRPr="00095FDB" w:rsidTr="00F8388B">
        <w:trPr>
          <w:trHeight w:val="294"/>
          <w:jc w:val="center"/>
        </w:trPr>
        <w:tc>
          <w:tcPr>
            <w:tcW w:w="3473" w:type="dxa"/>
          </w:tcPr>
          <w:p w:rsidR="00AE2642" w:rsidRPr="00095FDB" w:rsidRDefault="00AE2642" w:rsidP="00E5206C">
            <w:pPr>
              <w:rPr>
                <w:i/>
                <w:sz w:val="24"/>
              </w:rPr>
            </w:pPr>
            <w:r w:rsidRPr="00095FDB">
              <w:rPr>
                <w:i/>
                <w:sz w:val="24"/>
              </w:rPr>
              <w:t>- jednat ve věcech smluvních:</w:t>
            </w:r>
          </w:p>
        </w:tc>
        <w:tc>
          <w:tcPr>
            <w:tcW w:w="6305" w:type="dxa"/>
          </w:tcPr>
          <w:p w:rsidR="00AE2642" w:rsidRDefault="005963A8" w:rsidP="00E5206C">
            <w:pPr>
              <w:rPr>
                <w:color w:val="000000" w:themeColor="text1"/>
                <w:sz w:val="24"/>
              </w:rPr>
            </w:pPr>
            <w:r w:rsidRPr="00095FDB">
              <w:rPr>
                <w:sz w:val="24"/>
              </w:rPr>
              <w:t xml:space="preserve">Ing. </w:t>
            </w:r>
            <w:r w:rsidR="00560BF2">
              <w:rPr>
                <w:sz w:val="24"/>
              </w:rPr>
              <w:t>Martin Lehký</w:t>
            </w:r>
            <w:r w:rsidR="00855154">
              <w:rPr>
                <w:sz w:val="24"/>
              </w:rPr>
              <w:t>,</w:t>
            </w:r>
            <w:r w:rsidR="000344C5">
              <w:rPr>
                <w:sz w:val="24"/>
              </w:rPr>
              <w:t xml:space="preserve"> </w:t>
            </w:r>
            <w:r w:rsidR="00CC1D62">
              <w:rPr>
                <w:sz w:val="24"/>
              </w:rPr>
              <w:t xml:space="preserve">tel.: </w:t>
            </w:r>
            <w:r w:rsidR="00CC1D62" w:rsidRPr="00CC1D62">
              <w:rPr>
                <w:color w:val="000000" w:themeColor="text1"/>
                <w:sz w:val="24"/>
              </w:rPr>
              <w:t>973 204 091, fax 973 204</w:t>
            </w:r>
            <w:r w:rsidR="0046256E">
              <w:rPr>
                <w:color w:val="000000" w:themeColor="text1"/>
                <w:sz w:val="24"/>
              </w:rPr>
              <w:t> </w:t>
            </w:r>
            <w:r w:rsidR="00CC1D62" w:rsidRPr="00CC1D62">
              <w:rPr>
                <w:color w:val="000000" w:themeColor="text1"/>
                <w:sz w:val="24"/>
              </w:rPr>
              <w:t>092</w:t>
            </w:r>
          </w:p>
          <w:p w:rsidR="0046256E" w:rsidRPr="00095FDB" w:rsidRDefault="0046256E" w:rsidP="00E5206C">
            <w:pPr>
              <w:rPr>
                <w:sz w:val="24"/>
              </w:rPr>
            </w:pPr>
          </w:p>
        </w:tc>
      </w:tr>
      <w:tr w:rsidR="00AE2642" w:rsidRPr="00855154" w:rsidTr="00F8388B">
        <w:trPr>
          <w:trHeight w:val="480"/>
          <w:jc w:val="center"/>
        </w:trPr>
        <w:tc>
          <w:tcPr>
            <w:tcW w:w="3473" w:type="dxa"/>
          </w:tcPr>
          <w:p w:rsidR="00AE2642" w:rsidRPr="009B1C5A" w:rsidRDefault="00AE2642" w:rsidP="00E5206C">
            <w:pPr>
              <w:rPr>
                <w:i/>
                <w:sz w:val="24"/>
              </w:rPr>
            </w:pPr>
            <w:r w:rsidRPr="009B1C5A">
              <w:rPr>
                <w:i/>
                <w:sz w:val="24"/>
              </w:rPr>
              <w:t>- jednat ve věcech technických:</w:t>
            </w:r>
          </w:p>
        </w:tc>
        <w:tc>
          <w:tcPr>
            <w:tcW w:w="6305" w:type="dxa"/>
            <w:shd w:val="clear" w:color="auto" w:fill="auto"/>
          </w:tcPr>
          <w:p w:rsidR="00855154" w:rsidRDefault="00644B4F" w:rsidP="00E5206C">
            <w:pPr>
              <w:rPr>
                <w:bCs/>
                <w:sz w:val="24"/>
                <w:szCs w:val="24"/>
              </w:rPr>
            </w:pPr>
            <w:r>
              <w:rPr>
                <w:sz w:val="24"/>
                <w:szCs w:val="24"/>
              </w:rPr>
              <w:t>Miroslav Táborský</w:t>
            </w:r>
            <w:r w:rsidR="00855154" w:rsidRPr="009B1C5A">
              <w:rPr>
                <w:sz w:val="24"/>
                <w:szCs w:val="24"/>
              </w:rPr>
              <w:t>, tel.</w:t>
            </w:r>
            <w:r>
              <w:rPr>
                <w:bCs/>
                <w:sz w:val="24"/>
                <w:szCs w:val="24"/>
              </w:rPr>
              <w:t xml:space="preserve"> 602 550</w:t>
            </w:r>
            <w:r w:rsidR="00F8388B">
              <w:rPr>
                <w:bCs/>
                <w:sz w:val="24"/>
                <w:szCs w:val="24"/>
              </w:rPr>
              <w:t> </w:t>
            </w:r>
            <w:r>
              <w:rPr>
                <w:bCs/>
                <w:sz w:val="24"/>
                <w:szCs w:val="24"/>
              </w:rPr>
              <w:t>512</w:t>
            </w:r>
            <w:r w:rsidR="00F8388B">
              <w:rPr>
                <w:bCs/>
                <w:sz w:val="24"/>
                <w:szCs w:val="24"/>
              </w:rPr>
              <w:t>,</w:t>
            </w:r>
          </w:p>
          <w:p w:rsidR="00644B4F" w:rsidRPr="009B1C5A" w:rsidRDefault="00644B4F" w:rsidP="00E5206C">
            <w:pPr>
              <w:rPr>
                <w:bCs/>
                <w:sz w:val="24"/>
                <w:szCs w:val="24"/>
              </w:rPr>
            </w:pPr>
            <w:r>
              <w:rPr>
                <w:bCs/>
                <w:sz w:val="24"/>
                <w:szCs w:val="24"/>
              </w:rPr>
              <w:t>e-mail: miroslav.taborsky@as-po.cz</w:t>
            </w:r>
          </w:p>
          <w:p w:rsidR="00ED6119" w:rsidRDefault="00644B4F" w:rsidP="00E5206C">
            <w:pPr>
              <w:rPr>
                <w:bCs/>
                <w:sz w:val="24"/>
                <w:szCs w:val="24"/>
              </w:rPr>
            </w:pPr>
            <w:r>
              <w:rPr>
                <w:bCs/>
                <w:sz w:val="24"/>
                <w:szCs w:val="24"/>
              </w:rPr>
              <w:t>Tomáš Brunclík</w:t>
            </w:r>
            <w:r w:rsidR="00ED6119" w:rsidRPr="009B1C5A">
              <w:rPr>
                <w:bCs/>
                <w:sz w:val="24"/>
                <w:szCs w:val="24"/>
              </w:rPr>
              <w:t xml:space="preserve">, tel. </w:t>
            </w:r>
            <w:r>
              <w:rPr>
                <w:bCs/>
                <w:sz w:val="24"/>
                <w:szCs w:val="24"/>
              </w:rPr>
              <w:t>602 279</w:t>
            </w:r>
            <w:r w:rsidR="00F8388B">
              <w:rPr>
                <w:bCs/>
                <w:sz w:val="24"/>
                <w:szCs w:val="24"/>
              </w:rPr>
              <w:t> </w:t>
            </w:r>
            <w:r>
              <w:rPr>
                <w:bCs/>
                <w:sz w:val="24"/>
                <w:szCs w:val="24"/>
              </w:rPr>
              <w:t>460</w:t>
            </w:r>
            <w:r w:rsidR="00F8388B">
              <w:rPr>
                <w:bCs/>
                <w:sz w:val="24"/>
                <w:szCs w:val="24"/>
              </w:rPr>
              <w:t>,</w:t>
            </w:r>
          </w:p>
          <w:p w:rsidR="00644B4F" w:rsidRPr="009B1C5A" w:rsidRDefault="00644B4F" w:rsidP="00E5206C">
            <w:pPr>
              <w:rPr>
                <w:bCs/>
                <w:sz w:val="24"/>
                <w:szCs w:val="24"/>
              </w:rPr>
            </w:pPr>
            <w:r>
              <w:rPr>
                <w:bCs/>
                <w:sz w:val="24"/>
                <w:szCs w:val="24"/>
              </w:rPr>
              <w:t>e-mail: tomas.brunclik@as-po.cz</w:t>
            </w:r>
          </w:p>
          <w:p w:rsidR="00ED6119" w:rsidRPr="009B1C5A" w:rsidRDefault="00ED6119" w:rsidP="00E5206C">
            <w:pPr>
              <w:rPr>
                <w:sz w:val="24"/>
                <w:szCs w:val="24"/>
              </w:rPr>
            </w:pPr>
          </w:p>
        </w:tc>
      </w:tr>
      <w:tr w:rsidR="00A37116" w:rsidRPr="00095FDB" w:rsidTr="00F8388B">
        <w:trPr>
          <w:trHeight w:val="480"/>
          <w:jc w:val="center"/>
        </w:trPr>
        <w:tc>
          <w:tcPr>
            <w:tcW w:w="3473" w:type="dxa"/>
          </w:tcPr>
          <w:p w:rsidR="00A37116" w:rsidRPr="00095FDB" w:rsidRDefault="00A37116" w:rsidP="00E5206C">
            <w:pPr>
              <w:rPr>
                <w:i/>
                <w:sz w:val="24"/>
              </w:rPr>
            </w:pPr>
            <w:r w:rsidRPr="00095FDB">
              <w:rPr>
                <w:i/>
                <w:sz w:val="24"/>
              </w:rPr>
              <w:t>(dále jen „objednatel“)</w:t>
            </w:r>
          </w:p>
        </w:tc>
        <w:tc>
          <w:tcPr>
            <w:tcW w:w="6305" w:type="dxa"/>
          </w:tcPr>
          <w:p w:rsidR="00A37116" w:rsidRPr="00095FDB" w:rsidRDefault="00A37116" w:rsidP="00E5206C">
            <w:pPr>
              <w:rPr>
                <w:sz w:val="24"/>
              </w:rPr>
            </w:pPr>
          </w:p>
        </w:tc>
      </w:tr>
      <w:tr w:rsidR="00840F2C" w:rsidRPr="00403490" w:rsidTr="00F8388B">
        <w:trPr>
          <w:trHeight w:val="284"/>
          <w:jc w:val="center"/>
        </w:trPr>
        <w:tc>
          <w:tcPr>
            <w:tcW w:w="3473" w:type="dxa"/>
            <w:shd w:val="clear" w:color="auto" w:fill="auto"/>
          </w:tcPr>
          <w:p w:rsidR="00840F2C" w:rsidRDefault="00840F2C" w:rsidP="00E5206C">
            <w:pPr>
              <w:spacing w:before="120" w:after="120"/>
              <w:rPr>
                <w:b/>
                <w:sz w:val="24"/>
              </w:rPr>
            </w:pPr>
            <w:r>
              <w:rPr>
                <w:b/>
                <w:sz w:val="24"/>
              </w:rPr>
              <w:t xml:space="preserve">ZHOTOVITEL:        </w:t>
            </w:r>
          </w:p>
          <w:p w:rsidR="00840F2C" w:rsidRDefault="00840F2C" w:rsidP="00E5206C">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305" w:type="dxa"/>
            <w:shd w:val="clear" w:color="auto" w:fill="auto"/>
          </w:tcPr>
          <w:p w:rsidR="00855154" w:rsidRPr="00011E1E" w:rsidRDefault="00011E1E" w:rsidP="00E5206C">
            <w:pPr>
              <w:spacing w:before="120"/>
              <w:rPr>
                <w:bCs/>
                <w:sz w:val="24"/>
              </w:rPr>
            </w:pPr>
            <w:r w:rsidRPr="00011E1E">
              <w:rPr>
                <w:bCs/>
                <w:sz w:val="24"/>
              </w:rPr>
              <w:t>Vodní zdroje Ekomonitor spol. s r.o.</w:t>
            </w:r>
          </w:p>
          <w:p w:rsidR="00840F2C" w:rsidRPr="00011E1E" w:rsidRDefault="00011E1E" w:rsidP="00E5206C">
            <w:pPr>
              <w:spacing w:before="120"/>
              <w:rPr>
                <w:bCs/>
                <w:sz w:val="24"/>
              </w:rPr>
            </w:pPr>
            <w:r w:rsidRPr="00011E1E">
              <w:rPr>
                <w:bCs/>
                <w:sz w:val="24"/>
              </w:rPr>
              <w:t>Krajského soudu v Hradci Králové, oddíl C, vložka 1036</w:t>
            </w:r>
          </w:p>
        </w:tc>
      </w:tr>
      <w:tr w:rsidR="00840F2C" w:rsidRPr="00403490" w:rsidTr="00F8388B">
        <w:trPr>
          <w:trHeight w:val="267"/>
          <w:jc w:val="center"/>
        </w:trPr>
        <w:tc>
          <w:tcPr>
            <w:tcW w:w="3473" w:type="dxa"/>
            <w:shd w:val="clear" w:color="auto" w:fill="auto"/>
          </w:tcPr>
          <w:p w:rsidR="00840F2C" w:rsidRDefault="00840F2C" w:rsidP="00E5206C">
            <w:pPr>
              <w:rPr>
                <w:i/>
                <w:sz w:val="24"/>
              </w:rPr>
            </w:pPr>
            <w:r>
              <w:rPr>
                <w:i/>
                <w:sz w:val="24"/>
              </w:rPr>
              <w:t>Zastoupený:</w:t>
            </w:r>
          </w:p>
        </w:tc>
        <w:tc>
          <w:tcPr>
            <w:tcW w:w="6305" w:type="dxa"/>
            <w:shd w:val="clear" w:color="auto" w:fill="auto"/>
          </w:tcPr>
          <w:p w:rsidR="00840F2C" w:rsidRPr="00011E1E" w:rsidRDefault="00011E1E" w:rsidP="00011E1E">
            <w:pPr>
              <w:spacing w:before="120"/>
              <w:rPr>
                <w:bCs/>
                <w:sz w:val="24"/>
              </w:rPr>
            </w:pPr>
            <w:r>
              <w:rPr>
                <w:bCs/>
                <w:sz w:val="24"/>
              </w:rPr>
              <w:t>Mgr. Pavlem Vančurou, Ing. Jose</w:t>
            </w:r>
            <w:r w:rsidRPr="00011E1E">
              <w:rPr>
                <w:bCs/>
                <w:sz w:val="24"/>
              </w:rPr>
              <w:t>fem Drahokoupilem,</w:t>
            </w:r>
            <w:r>
              <w:rPr>
                <w:bCs/>
                <w:sz w:val="24"/>
              </w:rPr>
              <w:br/>
            </w:r>
            <w:r w:rsidRPr="00011E1E">
              <w:rPr>
                <w:bCs/>
                <w:sz w:val="24"/>
              </w:rPr>
              <w:t>Ing. Jiřím Valou – jednateli společnosti</w:t>
            </w:r>
          </w:p>
        </w:tc>
      </w:tr>
      <w:tr w:rsidR="00840F2C" w:rsidRPr="00403490" w:rsidTr="00F8388B">
        <w:trPr>
          <w:trHeight w:val="207"/>
          <w:jc w:val="center"/>
        </w:trPr>
        <w:tc>
          <w:tcPr>
            <w:tcW w:w="3473" w:type="dxa"/>
            <w:tcBorders>
              <w:bottom w:val="nil"/>
            </w:tcBorders>
            <w:shd w:val="clear" w:color="auto" w:fill="auto"/>
          </w:tcPr>
          <w:p w:rsidR="00840F2C" w:rsidRDefault="00840F2C" w:rsidP="00E5206C">
            <w:pPr>
              <w:rPr>
                <w:i/>
                <w:sz w:val="24"/>
              </w:rPr>
            </w:pPr>
            <w:r>
              <w:rPr>
                <w:i/>
                <w:sz w:val="24"/>
              </w:rPr>
              <w:t>Sídlo:</w:t>
            </w:r>
          </w:p>
        </w:tc>
        <w:tc>
          <w:tcPr>
            <w:tcW w:w="6305" w:type="dxa"/>
            <w:tcBorders>
              <w:bottom w:val="nil"/>
            </w:tcBorders>
            <w:shd w:val="clear" w:color="auto" w:fill="auto"/>
          </w:tcPr>
          <w:p w:rsidR="00840F2C" w:rsidRPr="00011E1E" w:rsidRDefault="00011E1E" w:rsidP="00011E1E">
            <w:pPr>
              <w:spacing w:before="120"/>
              <w:rPr>
                <w:bCs/>
                <w:sz w:val="24"/>
              </w:rPr>
            </w:pPr>
            <w:r w:rsidRPr="00011E1E">
              <w:rPr>
                <w:bCs/>
                <w:sz w:val="24"/>
              </w:rPr>
              <w:t>Píšťovy 820, 537 01 Chrudim</w:t>
            </w:r>
          </w:p>
        </w:tc>
      </w:tr>
      <w:tr w:rsidR="00840F2C" w:rsidRPr="00403490" w:rsidTr="00F8388B">
        <w:trPr>
          <w:trHeight w:val="20"/>
          <w:jc w:val="center"/>
        </w:trPr>
        <w:tc>
          <w:tcPr>
            <w:tcW w:w="3473" w:type="dxa"/>
            <w:shd w:val="clear" w:color="auto" w:fill="auto"/>
          </w:tcPr>
          <w:p w:rsidR="00840F2C" w:rsidRDefault="00840F2C" w:rsidP="00E5206C">
            <w:pPr>
              <w:rPr>
                <w:i/>
                <w:sz w:val="24"/>
              </w:rPr>
            </w:pPr>
            <w:r>
              <w:rPr>
                <w:i/>
                <w:sz w:val="24"/>
              </w:rPr>
              <w:t>IČ, DIČ:</w:t>
            </w:r>
          </w:p>
        </w:tc>
        <w:tc>
          <w:tcPr>
            <w:tcW w:w="6305" w:type="dxa"/>
            <w:shd w:val="clear" w:color="auto" w:fill="auto"/>
          </w:tcPr>
          <w:p w:rsidR="00840F2C" w:rsidRPr="00011E1E" w:rsidRDefault="00011E1E" w:rsidP="00E5206C">
            <w:pPr>
              <w:spacing w:before="120"/>
              <w:rPr>
                <w:bCs/>
                <w:sz w:val="24"/>
              </w:rPr>
            </w:pPr>
            <w:r w:rsidRPr="00011E1E">
              <w:rPr>
                <w:bCs/>
                <w:sz w:val="24"/>
              </w:rPr>
              <w:t>15053695, CZ15053695</w:t>
            </w:r>
          </w:p>
        </w:tc>
      </w:tr>
      <w:tr w:rsidR="00840F2C" w:rsidRPr="00403490" w:rsidTr="00F8388B">
        <w:trPr>
          <w:trHeight w:val="20"/>
          <w:jc w:val="center"/>
        </w:trPr>
        <w:tc>
          <w:tcPr>
            <w:tcW w:w="3473" w:type="dxa"/>
            <w:shd w:val="clear" w:color="auto" w:fill="auto"/>
          </w:tcPr>
          <w:p w:rsidR="00840F2C" w:rsidRDefault="00840F2C" w:rsidP="00E5206C">
            <w:pPr>
              <w:rPr>
                <w:i/>
                <w:sz w:val="24"/>
              </w:rPr>
            </w:pPr>
            <w:r>
              <w:rPr>
                <w:i/>
                <w:sz w:val="24"/>
              </w:rPr>
              <w:t>Bankovní spojení:</w:t>
            </w:r>
          </w:p>
          <w:p w:rsidR="00840F2C" w:rsidRDefault="00840F2C" w:rsidP="00E5206C">
            <w:pPr>
              <w:rPr>
                <w:i/>
                <w:sz w:val="24"/>
              </w:rPr>
            </w:pPr>
            <w:r w:rsidRPr="0019273A">
              <w:rPr>
                <w:i/>
                <w:sz w:val="24"/>
              </w:rPr>
              <w:t>Číslo účtu:</w:t>
            </w:r>
          </w:p>
          <w:p w:rsidR="00840F2C" w:rsidRDefault="00840F2C" w:rsidP="00E5206C">
            <w:pPr>
              <w:rPr>
                <w:i/>
                <w:sz w:val="24"/>
              </w:rPr>
            </w:pPr>
            <w:r w:rsidRPr="0019273A">
              <w:rPr>
                <w:i/>
                <w:sz w:val="24"/>
              </w:rPr>
              <w:t>ID datové schránky:</w:t>
            </w:r>
          </w:p>
        </w:tc>
        <w:tc>
          <w:tcPr>
            <w:tcW w:w="6305" w:type="dxa"/>
            <w:shd w:val="clear" w:color="auto" w:fill="auto"/>
          </w:tcPr>
          <w:p w:rsidR="00855154" w:rsidRPr="00011E1E" w:rsidRDefault="00011E1E" w:rsidP="00E5206C">
            <w:pPr>
              <w:spacing w:before="120"/>
              <w:rPr>
                <w:bCs/>
                <w:sz w:val="24"/>
              </w:rPr>
            </w:pPr>
            <w:r w:rsidRPr="00011E1E">
              <w:rPr>
                <w:bCs/>
                <w:sz w:val="24"/>
              </w:rPr>
              <w:t>ČSOB Chrudim, č.ú.: 272199033/0300</w:t>
            </w:r>
          </w:p>
          <w:p w:rsidR="00840F2C" w:rsidRPr="00011E1E" w:rsidRDefault="00011E1E" w:rsidP="00E5206C">
            <w:pPr>
              <w:spacing w:before="120"/>
              <w:rPr>
                <w:bCs/>
                <w:sz w:val="24"/>
              </w:rPr>
            </w:pPr>
            <w:r w:rsidRPr="00011E1E">
              <w:rPr>
                <w:bCs/>
                <w:sz w:val="24"/>
              </w:rPr>
              <w:t>3v8a5db</w:t>
            </w:r>
          </w:p>
        </w:tc>
      </w:tr>
      <w:tr w:rsidR="00840F2C" w:rsidRPr="00403490" w:rsidTr="00F8388B">
        <w:trPr>
          <w:trHeight w:val="20"/>
          <w:jc w:val="center"/>
        </w:trPr>
        <w:tc>
          <w:tcPr>
            <w:tcW w:w="3473" w:type="dxa"/>
            <w:shd w:val="clear" w:color="auto" w:fill="auto"/>
          </w:tcPr>
          <w:p w:rsidR="00840F2C" w:rsidRDefault="00840F2C" w:rsidP="00E5206C">
            <w:pPr>
              <w:rPr>
                <w:i/>
                <w:sz w:val="24"/>
              </w:rPr>
            </w:pPr>
            <w:r>
              <w:rPr>
                <w:i/>
                <w:sz w:val="24"/>
              </w:rPr>
              <w:t>Odpovědní zástupci pro jednání:</w:t>
            </w:r>
          </w:p>
        </w:tc>
        <w:tc>
          <w:tcPr>
            <w:tcW w:w="6305" w:type="dxa"/>
            <w:shd w:val="clear" w:color="auto" w:fill="auto"/>
          </w:tcPr>
          <w:p w:rsidR="00840F2C" w:rsidRPr="00011E1E" w:rsidRDefault="00840F2C" w:rsidP="00E5206C">
            <w:pPr>
              <w:rPr>
                <w:sz w:val="24"/>
              </w:rPr>
            </w:pPr>
          </w:p>
        </w:tc>
      </w:tr>
      <w:tr w:rsidR="00840F2C" w:rsidRPr="00403490" w:rsidTr="00F8388B">
        <w:trPr>
          <w:trHeight w:val="481"/>
          <w:jc w:val="center"/>
        </w:trPr>
        <w:tc>
          <w:tcPr>
            <w:tcW w:w="3473" w:type="dxa"/>
            <w:shd w:val="clear" w:color="auto" w:fill="auto"/>
          </w:tcPr>
          <w:p w:rsidR="00840F2C" w:rsidRDefault="00840F2C" w:rsidP="00E5206C">
            <w:pPr>
              <w:rPr>
                <w:i/>
                <w:sz w:val="24"/>
              </w:rPr>
            </w:pPr>
            <w:r w:rsidRPr="00EA6BC7">
              <w:rPr>
                <w:i/>
                <w:sz w:val="24"/>
              </w:rPr>
              <w:t>-</w:t>
            </w:r>
            <w:r>
              <w:rPr>
                <w:i/>
                <w:sz w:val="24"/>
              </w:rPr>
              <w:t xml:space="preserve"> jednat ve věcech smluvních:</w:t>
            </w:r>
          </w:p>
          <w:p w:rsidR="009E0024" w:rsidRDefault="009E0024" w:rsidP="00E5206C">
            <w:pPr>
              <w:rPr>
                <w:i/>
                <w:sz w:val="24"/>
              </w:rPr>
            </w:pPr>
          </w:p>
          <w:p w:rsidR="009E0024" w:rsidRDefault="009E0024" w:rsidP="00E5206C">
            <w:pPr>
              <w:rPr>
                <w:i/>
                <w:sz w:val="24"/>
              </w:rPr>
            </w:pPr>
          </w:p>
        </w:tc>
        <w:tc>
          <w:tcPr>
            <w:tcW w:w="6305" w:type="dxa"/>
            <w:shd w:val="clear" w:color="auto" w:fill="auto"/>
          </w:tcPr>
          <w:p w:rsidR="009E0024" w:rsidRPr="00011E1E" w:rsidRDefault="00011E1E" w:rsidP="00E5206C">
            <w:pPr>
              <w:spacing w:before="120"/>
              <w:rPr>
                <w:bCs/>
                <w:sz w:val="24"/>
              </w:rPr>
            </w:pPr>
            <w:r w:rsidRPr="00011E1E">
              <w:rPr>
                <w:bCs/>
                <w:sz w:val="24"/>
              </w:rPr>
              <w:t xml:space="preserve">Mgr. Pavel Vančura, Ing. Josef Drahokoupil, Ing. Jiří Vala </w:t>
            </w:r>
            <w:r w:rsidRPr="00011E1E">
              <w:rPr>
                <w:bCs/>
                <w:sz w:val="24"/>
              </w:rPr>
              <w:br/>
              <w:t>tel.: 469 682 303-5</w:t>
            </w:r>
          </w:p>
        </w:tc>
      </w:tr>
      <w:tr w:rsidR="009E0024" w:rsidRPr="00403490" w:rsidTr="00F8388B">
        <w:trPr>
          <w:trHeight w:val="20"/>
          <w:jc w:val="center"/>
        </w:trPr>
        <w:tc>
          <w:tcPr>
            <w:tcW w:w="3473" w:type="dxa"/>
            <w:shd w:val="clear" w:color="auto" w:fill="auto"/>
          </w:tcPr>
          <w:p w:rsidR="009E0024" w:rsidRDefault="009E0024" w:rsidP="00E5206C">
            <w:pPr>
              <w:rPr>
                <w:i/>
                <w:sz w:val="24"/>
              </w:rPr>
            </w:pPr>
            <w:r>
              <w:rPr>
                <w:i/>
                <w:sz w:val="24"/>
              </w:rPr>
              <w:t>- jednat ve věcech technických:</w:t>
            </w:r>
          </w:p>
        </w:tc>
        <w:tc>
          <w:tcPr>
            <w:tcW w:w="6305" w:type="dxa"/>
            <w:shd w:val="clear" w:color="auto" w:fill="auto"/>
          </w:tcPr>
          <w:p w:rsidR="009E0024" w:rsidRPr="00011E1E" w:rsidRDefault="00011E1E" w:rsidP="00E5206C">
            <w:pPr>
              <w:spacing w:before="120"/>
              <w:rPr>
                <w:bCs/>
                <w:sz w:val="24"/>
              </w:rPr>
            </w:pPr>
            <w:r w:rsidRPr="00011E1E">
              <w:rPr>
                <w:bCs/>
                <w:sz w:val="24"/>
              </w:rPr>
              <w:t>Jiří Krňák, tel.: 725073545, e-mail: jiri.krnak@komonitor.cz</w:t>
            </w:r>
          </w:p>
        </w:tc>
      </w:tr>
      <w:tr w:rsidR="009E0024" w:rsidTr="00F8388B">
        <w:trPr>
          <w:trHeight w:val="20"/>
          <w:jc w:val="center"/>
        </w:trPr>
        <w:tc>
          <w:tcPr>
            <w:tcW w:w="3473" w:type="dxa"/>
            <w:tcBorders>
              <w:bottom w:val="nil"/>
            </w:tcBorders>
            <w:shd w:val="clear" w:color="auto" w:fill="auto"/>
          </w:tcPr>
          <w:p w:rsidR="009E0024" w:rsidRDefault="009E0024" w:rsidP="00E5206C">
            <w:pPr>
              <w:spacing w:after="120"/>
              <w:rPr>
                <w:i/>
                <w:sz w:val="24"/>
              </w:rPr>
            </w:pPr>
            <w:r>
              <w:rPr>
                <w:i/>
                <w:sz w:val="24"/>
              </w:rPr>
              <w:t xml:space="preserve">(dále jen „zhotovitel“)  </w:t>
            </w:r>
          </w:p>
        </w:tc>
        <w:tc>
          <w:tcPr>
            <w:tcW w:w="6305" w:type="dxa"/>
            <w:tcBorders>
              <w:bottom w:val="nil"/>
            </w:tcBorders>
          </w:tcPr>
          <w:p w:rsidR="009E0024" w:rsidRDefault="009E0024" w:rsidP="00E5206C">
            <w:pPr>
              <w:spacing w:beforeLines="20" w:before="48"/>
              <w:rPr>
                <w:sz w:val="24"/>
              </w:rPr>
            </w:pPr>
          </w:p>
        </w:tc>
      </w:tr>
    </w:tbl>
    <w:p w:rsidR="00584815" w:rsidRDefault="00584815" w:rsidP="00E5206C">
      <w:pPr>
        <w:spacing w:beforeLines="20" w:before="48"/>
        <w:ind w:left="-284"/>
        <w:jc w:val="both"/>
        <w:rPr>
          <w:sz w:val="24"/>
        </w:rPr>
      </w:pPr>
    </w:p>
    <w:p w:rsidR="00F8388B" w:rsidRDefault="00AE2642" w:rsidP="00E5206C">
      <w:pPr>
        <w:spacing w:beforeLines="20" w:before="48"/>
        <w:ind w:left="-284"/>
        <w:jc w:val="both"/>
        <w:rPr>
          <w:sz w:val="24"/>
        </w:rPr>
      </w:pPr>
      <w:r w:rsidRPr="007B268E">
        <w:rPr>
          <w:sz w:val="24"/>
        </w:rPr>
        <w:t>za takto dohodnutých podmínek:</w:t>
      </w:r>
    </w:p>
    <w:p w:rsidR="00F8388B" w:rsidRDefault="00F8388B" w:rsidP="00E5206C">
      <w:pPr>
        <w:spacing w:beforeLines="20" w:before="48"/>
        <w:ind w:left="-284"/>
        <w:jc w:val="both"/>
        <w:rPr>
          <w:sz w:val="24"/>
        </w:rPr>
      </w:pPr>
    </w:p>
    <w:p w:rsidR="00FE7B42" w:rsidRDefault="00FE7B42" w:rsidP="00E5206C">
      <w:pPr>
        <w:spacing w:beforeLines="20" w:before="48"/>
        <w:ind w:left="-284"/>
        <w:jc w:val="both"/>
        <w:rPr>
          <w:sz w:val="24"/>
        </w:rPr>
      </w:pPr>
    </w:p>
    <w:p w:rsidR="00857513" w:rsidRDefault="00F55D7F" w:rsidP="00011E1E">
      <w:pPr>
        <w:shd w:val="clear" w:color="00FFFF" w:fill="auto"/>
        <w:tabs>
          <w:tab w:val="center" w:pos="4253"/>
        </w:tabs>
        <w:spacing w:after="120"/>
        <w:jc w:val="both"/>
        <w:rPr>
          <w:b/>
          <w:bCs/>
          <w:sz w:val="24"/>
          <w:u w:val="single"/>
        </w:rPr>
      </w:pPr>
      <w:r w:rsidRPr="00F55D7F">
        <w:rPr>
          <w:b/>
          <w:bCs/>
          <w:sz w:val="24"/>
          <w:szCs w:val="24"/>
        </w:rPr>
        <w:tab/>
      </w:r>
      <w:r w:rsidR="00CC1D62">
        <w:rPr>
          <w:b/>
          <w:bCs/>
          <w:sz w:val="24"/>
          <w:szCs w:val="24"/>
          <w:u w:val="single"/>
        </w:rPr>
        <w:t xml:space="preserve">I. </w:t>
      </w:r>
      <w:r w:rsidR="00AE2642" w:rsidRPr="00CC1D62">
        <w:rPr>
          <w:b/>
          <w:bCs/>
          <w:sz w:val="24"/>
          <w:szCs w:val="24"/>
          <w:u w:val="single"/>
        </w:rPr>
        <w:t>PŘEDMĚT</w:t>
      </w:r>
      <w:r w:rsidR="00053D8D" w:rsidRPr="00CC1D62">
        <w:rPr>
          <w:b/>
          <w:bCs/>
          <w:sz w:val="24"/>
          <w:u w:val="single"/>
        </w:rPr>
        <w:t xml:space="preserve"> </w:t>
      </w:r>
      <w:r w:rsidR="00AE2642" w:rsidRPr="00CC1D62">
        <w:rPr>
          <w:b/>
          <w:bCs/>
          <w:sz w:val="24"/>
          <w:u w:val="single"/>
        </w:rPr>
        <w:t>DÍLA</w:t>
      </w:r>
    </w:p>
    <w:p w:rsidR="00636111" w:rsidRPr="00636111" w:rsidRDefault="00636111" w:rsidP="00011E1E">
      <w:pPr>
        <w:jc w:val="both"/>
        <w:rPr>
          <w:rFonts w:asciiTheme="minorHAnsi" w:hAnsiTheme="minorHAnsi"/>
          <w:b/>
          <w:sz w:val="24"/>
          <w:u w:val="single"/>
        </w:rPr>
      </w:pPr>
      <w:r w:rsidRPr="004975CF">
        <w:rPr>
          <w:sz w:val="24"/>
        </w:rPr>
        <w:t xml:space="preserve">Předmětem </w:t>
      </w:r>
      <w:r w:rsidR="00762332" w:rsidRPr="004975CF">
        <w:rPr>
          <w:sz w:val="24"/>
        </w:rPr>
        <w:t>této smlouvy je závazek zhotovitele zajistit pro objednatele vy</w:t>
      </w:r>
      <w:r w:rsidRPr="004975CF">
        <w:rPr>
          <w:sz w:val="24"/>
        </w:rPr>
        <w:t>budování domovní</w:t>
      </w:r>
      <w:r w:rsidRPr="00636111">
        <w:rPr>
          <w:sz w:val="24"/>
        </w:rPr>
        <w:t xml:space="preserve"> čistírny odpadních vod (dále jen DČOV)“ v areálu VŠZ Mladkov (tvrz Adam)</w:t>
      </w:r>
      <w:r w:rsidRPr="00636111">
        <w:rPr>
          <w:b/>
          <w:bCs/>
          <w:sz w:val="24"/>
        </w:rPr>
        <w:t xml:space="preserve"> </w:t>
      </w:r>
      <w:r w:rsidRPr="00636111">
        <w:rPr>
          <w:sz w:val="24"/>
        </w:rPr>
        <w:t>v místě stávající jímky na vyvážení.</w:t>
      </w:r>
    </w:p>
    <w:p w:rsidR="00350617" w:rsidRPr="00C711B4" w:rsidRDefault="00350617" w:rsidP="00011E1E">
      <w:pPr>
        <w:spacing w:before="120"/>
        <w:jc w:val="both"/>
        <w:rPr>
          <w:sz w:val="24"/>
          <w:u w:val="single"/>
        </w:rPr>
      </w:pPr>
      <w:r w:rsidRPr="00C711B4">
        <w:rPr>
          <w:sz w:val="24"/>
          <w:u w:val="single"/>
        </w:rPr>
        <w:t>Rozsah požadovaných prací:</w:t>
      </w:r>
    </w:p>
    <w:p w:rsidR="00636111" w:rsidRPr="00636111" w:rsidRDefault="00636111" w:rsidP="00011E1E">
      <w:pPr>
        <w:pStyle w:val="Odstavecseseznamem"/>
        <w:numPr>
          <w:ilvl w:val="0"/>
          <w:numId w:val="32"/>
        </w:numPr>
        <w:spacing w:line="240" w:lineRule="auto"/>
        <w:ind w:left="426" w:hanging="426"/>
        <w:jc w:val="both"/>
        <w:rPr>
          <w:rFonts w:ascii="Times New Roman" w:hAnsi="Times New Roman"/>
          <w:sz w:val="24"/>
          <w:szCs w:val="24"/>
        </w:rPr>
      </w:pPr>
      <w:r w:rsidRPr="00636111">
        <w:rPr>
          <w:rFonts w:ascii="Times New Roman" w:hAnsi="Times New Roman"/>
          <w:sz w:val="24"/>
          <w:szCs w:val="24"/>
        </w:rPr>
        <w:t xml:space="preserve">Provést demolici stávajícího septiku a ČOV podle zpracované projektové dokumentace „VŠZ Mladkov (tvrz Adam) – odstranění septiku a ČOV pro vybudování nové domovní čistírny odpadních vod“ pro výběr zhotovitele (zpracovatel JDS projekt, s.r.o., Džbánov 22, 566 01 Vysoké Mýto, IČ: 288 03 736, PD z 03/2016 pod zakázkovým číslem </w:t>
      </w:r>
      <w:r w:rsidR="006E6DD6">
        <w:rPr>
          <w:rFonts w:ascii="Times New Roman" w:hAnsi="Times New Roman"/>
          <w:sz w:val="24"/>
          <w:szCs w:val="24"/>
        </w:rPr>
        <w:br/>
      </w:r>
      <w:r w:rsidRPr="00636111">
        <w:rPr>
          <w:rFonts w:ascii="Times New Roman" w:hAnsi="Times New Roman"/>
          <w:sz w:val="24"/>
          <w:szCs w:val="24"/>
        </w:rPr>
        <w:t>126-15-3) a v souladu s vydanými stanovisky a dle naceněného soupisu prací a dodávek.</w:t>
      </w:r>
    </w:p>
    <w:p w:rsidR="00636111" w:rsidRPr="00636111" w:rsidRDefault="00636111" w:rsidP="00011E1E">
      <w:pPr>
        <w:pStyle w:val="Odstavecseseznamem"/>
        <w:spacing w:line="240" w:lineRule="auto"/>
        <w:ind w:left="426"/>
        <w:jc w:val="both"/>
        <w:rPr>
          <w:rFonts w:ascii="Times New Roman" w:hAnsi="Times New Roman"/>
          <w:sz w:val="24"/>
          <w:szCs w:val="24"/>
        </w:rPr>
      </w:pPr>
      <w:r w:rsidRPr="004975CF">
        <w:rPr>
          <w:rFonts w:ascii="Times New Roman" w:hAnsi="Times New Roman"/>
          <w:sz w:val="24"/>
          <w:szCs w:val="24"/>
        </w:rPr>
        <w:t>Práce</w:t>
      </w:r>
      <w:r w:rsidR="00762332" w:rsidRPr="004975CF">
        <w:rPr>
          <w:rFonts w:ascii="Times New Roman" w:hAnsi="Times New Roman"/>
          <w:sz w:val="24"/>
          <w:szCs w:val="24"/>
        </w:rPr>
        <w:t xml:space="preserve"> provést v</w:t>
      </w:r>
      <w:r w:rsidRPr="004975CF">
        <w:rPr>
          <w:rFonts w:ascii="Times New Roman" w:hAnsi="Times New Roman"/>
          <w:sz w:val="24"/>
          <w:szCs w:val="24"/>
        </w:rPr>
        <w:t> souladu s vydaným rozhodnutím Městského úřadu Žamberk pod čj.</w:t>
      </w:r>
      <w:r w:rsidRPr="00636111">
        <w:rPr>
          <w:rFonts w:ascii="Times New Roman" w:hAnsi="Times New Roman"/>
          <w:sz w:val="24"/>
          <w:szCs w:val="24"/>
        </w:rPr>
        <w:t xml:space="preserve"> MUZBK-4688/2016/ZPZE-5/231.8/JUNM-110, kterým se vydává povolení k odstranění staveb vodních děl.</w:t>
      </w:r>
    </w:p>
    <w:p w:rsidR="00636111" w:rsidRPr="00636111" w:rsidRDefault="00636111" w:rsidP="00011E1E">
      <w:pPr>
        <w:pStyle w:val="Odstavecseseznamem"/>
        <w:numPr>
          <w:ilvl w:val="0"/>
          <w:numId w:val="32"/>
        </w:numPr>
        <w:spacing w:line="240" w:lineRule="auto"/>
        <w:ind w:left="426" w:hanging="426"/>
        <w:jc w:val="both"/>
        <w:rPr>
          <w:rFonts w:ascii="Times New Roman" w:hAnsi="Times New Roman"/>
          <w:sz w:val="24"/>
          <w:szCs w:val="24"/>
        </w:rPr>
      </w:pPr>
      <w:r w:rsidRPr="00636111">
        <w:rPr>
          <w:rFonts w:ascii="Times New Roman" w:hAnsi="Times New Roman"/>
          <w:sz w:val="24"/>
          <w:szCs w:val="24"/>
        </w:rPr>
        <w:t>Provést vlastní realizaci díla podle zpracované projektové dokumentace „VŠZ Mladkov (tvrz Adam) - vybudování domovní čistírny odpadních vod“ pro výběr zhotovitele (zpracovatel JDS projekt, s.r.o., Džbánov 22, 566 01 Vysoké Mýto, IČ: 288 03 736, PD z 06/2015 pod zakázkovým číslem 126-15-3) a v souladu s vydanými stanovisky a dle naceněného soupisu prací a dodávek.</w:t>
      </w:r>
    </w:p>
    <w:p w:rsidR="00636111" w:rsidRPr="00636111" w:rsidRDefault="00636111" w:rsidP="00011E1E">
      <w:pPr>
        <w:pStyle w:val="Odstavecseseznamem"/>
        <w:spacing w:line="240" w:lineRule="auto"/>
        <w:ind w:left="426"/>
        <w:jc w:val="both"/>
        <w:rPr>
          <w:rFonts w:ascii="Times New Roman" w:hAnsi="Times New Roman"/>
          <w:sz w:val="24"/>
          <w:szCs w:val="24"/>
        </w:rPr>
      </w:pPr>
      <w:r w:rsidRPr="004975CF">
        <w:rPr>
          <w:rFonts w:ascii="Times New Roman" w:hAnsi="Times New Roman"/>
          <w:sz w:val="24"/>
          <w:szCs w:val="24"/>
        </w:rPr>
        <w:t xml:space="preserve">Práce </w:t>
      </w:r>
      <w:r w:rsidR="00762332" w:rsidRPr="004975CF">
        <w:rPr>
          <w:rFonts w:ascii="Times New Roman" w:hAnsi="Times New Roman"/>
          <w:sz w:val="24"/>
          <w:szCs w:val="24"/>
        </w:rPr>
        <w:t>provést v</w:t>
      </w:r>
      <w:r w:rsidRPr="004975CF">
        <w:rPr>
          <w:rFonts w:ascii="Times New Roman" w:hAnsi="Times New Roman"/>
          <w:sz w:val="24"/>
          <w:szCs w:val="24"/>
        </w:rPr>
        <w:t> souladu</w:t>
      </w:r>
      <w:r w:rsidRPr="00636111">
        <w:rPr>
          <w:rFonts w:ascii="Times New Roman" w:hAnsi="Times New Roman"/>
          <w:sz w:val="24"/>
          <w:szCs w:val="24"/>
        </w:rPr>
        <w:t xml:space="preserve"> s vydaným rozhodnutím Městského úřadu Žamberk pod čj. MUZBK-1184/2016/ZPZE-14/231.8/JUNM-92, kterým se vydává stavební povolení k provedení stavby vodního díla ČOV VŠZ Mladkov a současně vydává povolení k vypouštění odpadních vod do vod povrchových.</w:t>
      </w:r>
    </w:p>
    <w:p w:rsidR="00636111" w:rsidRPr="00636111" w:rsidRDefault="00636111" w:rsidP="00011E1E">
      <w:pPr>
        <w:pStyle w:val="Odstavecseseznamem"/>
        <w:numPr>
          <w:ilvl w:val="0"/>
          <w:numId w:val="32"/>
        </w:numPr>
        <w:spacing w:line="240" w:lineRule="auto"/>
        <w:ind w:left="426" w:hanging="426"/>
        <w:jc w:val="both"/>
        <w:rPr>
          <w:rFonts w:ascii="Times New Roman" w:hAnsi="Times New Roman"/>
          <w:sz w:val="24"/>
          <w:szCs w:val="24"/>
        </w:rPr>
      </w:pPr>
      <w:r w:rsidRPr="00636111">
        <w:rPr>
          <w:rFonts w:ascii="Times New Roman" w:hAnsi="Times New Roman"/>
          <w:sz w:val="24"/>
          <w:szCs w:val="24"/>
        </w:rPr>
        <w:t>Zajistit vytyčení stávajících podzemních inženýrských sítí před zahájením prací, provede kopané sondy k ověření polohy sítí v přiměřených rozestupech. Obnažené inženýrské sítě zabezpečí proti poškození a při zasypávání výkopů ochrání zásypy, obsypy, výstražnými foliemi, atd. v souladu s technickými normami a PD.</w:t>
      </w:r>
    </w:p>
    <w:p w:rsidR="00636111" w:rsidRPr="00636111" w:rsidRDefault="00636111" w:rsidP="00011E1E">
      <w:pPr>
        <w:jc w:val="both"/>
        <w:rPr>
          <w:sz w:val="24"/>
          <w:szCs w:val="24"/>
          <w:u w:val="single"/>
        </w:rPr>
      </w:pPr>
      <w:r w:rsidRPr="00636111">
        <w:rPr>
          <w:sz w:val="24"/>
          <w:szCs w:val="24"/>
          <w:u w:val="single"/>
        </w:rPr>
        <w:t xml:space="preserve">Součástí </w:t>
      </w:r>
      <w:r w:rsidR="00762332">
        <w:rPr>
          <w:sz w:val="24"/>
          <w:szCs w:val="24"/>
          <w:u w:val="single"/>
        </w:rPr>
        <w:t>díla je dále</w:t>
      </w:r>
      <w:r w:rsidRPr="00636111">
        <w:rPr>
          <w:sz w:val="24"/>
          <w:szCs w:val="24"/>
          <w:u w:val="single"/>
        </w:rPr>
        <w:t>:</w:t>
      </w:r>
    </w:p>
    <w:p w:rsidR="00636111" w:rsidRPr="004975CF" w:rsidRDefault="00762332"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4975CF">
        <w:rPr>
          <w:rFonts w:ascii="Times New Roman" w:hAnsi="Times New Roman"/>
          <w:sz w:val="24"/>
          <w:szCs w:val="24"/>
        </w:rPr>
        <w:t>V rámci demolice st</w:t>
      </w:r>
      <w:r w:rsidR="00636111" w:rsidRPr="004975CF">
        <w:rPr>
          <w:rFonts w:ascii="Times New Roman" w:hAnsi="Times New Roman"/>
          <w:sz w:val="24"/>
          <w:szCs w:val="24"/>
        </w:rPr>
        <w:t xml:space="preserve">ávající betonové jímky a stávající DČOV </w:t>
      </w:r>
      <w:r w:rsidRPr="004975CF">
        <w:rPr>
          <w:rFonts w:ascii="Times New Roman" w:hAnsi="Times New Roman"/>
          <w:sz w:val="24"/>
          <w:szCs w:val="24"/>
        </w:rPr>
        <w:t>ekologická likvidace</w:t>
      </w:r>
      <w:r w:rsidR="00636111" w:rsidRPr="004975CF">
        <w:rPr>
          <w:rFonts w:ascii="Times New Roman" w:hAnsi="Times New Roman"/>
          <w:sz w:val="24"/>
          <w:szCs w:val="24"/>
        </w:rPr>
        <w:t xml:space="preserve"> demontovaného materiálu</w:t>
      </w:r>
      <w:r w:rsidRPr="004975CF">
        <w:rPr>
          <w:rFonts w:ascii="Times New Roman" w:hAnsi="Times New Roman"/>
          <w:sz w:val="24"/>
          <w:szCs w:val="24"/>
        </w:rPr>
        <w:t xml:space="preserve"> a</w:t>
      </w:r>
      <w:r w:rsidR="00636111" w:rsidRPr="004975CF">
        <w:rPr>
          <w:rFonts w:ascii="Times New Roman" w:hAnsi="Times New Roman"/>
          <w:sz w:val="24"/>
          <w:szCs w:val="24"/>
        </w:rPr>
        <w:t xml:space="preserve"> obsahu jímky.</w:t>
      </w:r>
    </w:p>
    <w:p w:rsidR="00636111" w:rsidRPr="004975CF" w:rsidRDefault="00762332"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4975CF">
        <w:rPr>
          <w:rFonts w:ascii="Times New Roman" w:hAnsi="Times New Roman"/>
          <w:sz w:val="24"/>
          <w:szCs w:val="24"/>
        </w:rPr>
        <w:t>Z</w:t>
      </w:r>
      <w:r w:rsidR="00636111" w:rsidRPr="004975CF">
        <w:rPr>
          <w:rFonts w:ascii="Times New Roman" w:hAnsi="Times New Roman"/>
          <w:sz w:val="24"/>
          <w:szCs w:val="24"/>
        </w:rPr>
        <w:t xml:space="preserve"> důvodu nutnosti odstavení stávajícího čištění </w:t>
      </w:r>
      <w:r w:rsidRPr="004975CF">
        <w:rPr>
          <w:rFonts w:ascii="Times New Roman" w:hAnsi="Times New Roman"/>
          <w:sz w:val="24"/>
          <w:szCs w:val="24"/>
        </w:rPr>
        <w:t>koordinace</w:t>
      </w:r>
      <w:r w:rsidR="00636111" w:rsidRPr="004975CF">
        <w:rPr>
          <w:rFonts w:ascii="Times New Roman" w:hAnsi="Times New Roman"/>
          <w:sz w:val="24"/>
          <w:szCs w:val="24"/>
        </w:rPr>
        <w:t xml:space="preserve"> stavební</w:t>
      </w:r>
      <w:r w:rsidRPr="004975CF">
        <w:rPr>
          <w:rFonts w:ascii="Times New Roman" w:hAnsi="Times New Roman"/>
          <w:sz w:val="24"/>
          <w:szCs w:val="24"/>
        </w:rPr>
        <w:t>ch</w:t>
      </w:r>
      <w:r w:rsidR="00636111" w:rsidRPr="004975CF">
        <w:rPr>
          <w:rFonts w:ascii="Times New Roman" w:hAnsi="Times New Roman"/>
          <w:sz w:val="24"/>
          <w:szCs w:val="24"/>
        </w:rPr>
        <w:t xml:space="preserve"> pr</w:t>
      </w:r>
      <w:r w:rsidR="001504A2" w:rsidRPr="004975CF">
        <w:rPr>
          <w:rFonts w:ascii="Times New Roman" w:hAnsi="Times New Roman"/>
          <w:sz w:val="24"/>
          <w:szCs w:val="24"/>
        </w:rPr>
        <w:t>a</w:t>
      </w:r>
      <w:r w:rsidR="00636111" w:rsidRPr="004975CF">
        <w:rPr>
          <w:rFonts w:ascii="Times New Roman" w:hAnsi="Times New Roman"/>
          <w:sz w:val="24"/>
          <w:szCs w:val="24"/>
        </w:rPr>
        <w:t>c</w:t>
      </w:r>
      <w:r w:rsidRPr="004975CF">
        <w:rPr>
          <w:rFonts w:ascii="Times New Roman" w:hAnsi="Times New Roman"/>
          <w:sz w:val="24"/>
          <w:szCs w:val="24"/>
        </w:rPr>
        <w:t>í</w:t>
      </w:r>
      <w:r w:rsidR="00636111" w:rsidRPr="004975CF">
        <w:rPr>
          <w:rFonts w:ascii="Times New Roman" w:hAnsi="Times New Roman"/>
          <w:sz w:val="24"/>
          <w:szCs w:val="24"/>
        </w:rPr>
        <w:t xml:space="preserve"> s provozem stavby a</w:t>
      </w:r>
      <w:r w:rsidR="004975CF">
        <w:rPr>
          <w:rFonts w:ascii="Times New Roman" w:hAnsi="Times New Roman"/>
          <w:sz w:val="24"/>
          <w:szCs w:val="24"/>
        </w:rPr>
        <w:t xml:space="preserve"> zajištění</w:t>
      </w:r>
      <w:r w:rsidR="00636111" w:rsidRPr="004975CF">
        <w:rPr>
          <w:rFonts w:ascii="Times New Roman" w:hAnsi="Times New Roman"/>
          <w:sz w:val="24"/>
          <w:szCs w:val="24"/>
        </w:rPr>
        <w:t xml:space="preserve"> náhradní</w:t>
      </w:r>
      <w:r w:rsidRPr="004975CF">
        <w:rPr>
          <w:rFonts w:ascii="Times New Roman" w:hAnsi="Times New Roman"/>
          <w:sz w:val="24"/>
          <w:szCs w:val="24"/>
        </w:rPr>
        <w:t>ho</w:t>
      </w:r>
      <w:r w:rsidR="00636111" w:rsidRPr="004975CF">
        <w:rPr>
          <w:rFonts w:ascii="Times New Roman" w:hAnsi="Times New Roman"/>
          <w:sz w:val="24"/>
          <w:szCs w:val="24"/>
        </w:rPr>
        <w:t xml:space="preserve"> čerpání splaškových vod po dobu výstavby do fekálního vozu.</w:t>
      </w:r>
    </w:p>
    <w:p w:rsidR="00636111" w:rsidRPr="004975CF" w:rsidRDefault="00636111"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4975CF">
        <w:rPr>
          <w:rFonts w:ascii="Times New Roman" w:hAnsi="Times New Roman"/>
          <w:sz w:val="24"/>
          <w:szCs w:val="24"/>
        </w:rPr>
        <w:t>Proči</w:t>
      </w:r>
      <w:r w:rsidR="00762332" w:rsidRPr="004975CF">
        <w:rPr>
          <w:rFonts w:ascii="Times New Roman" w:hAnsi="Times New Roman"/>
          <w:sz w:val="24"/>
          <w:szCs w:val="24"/>
        </w:rPr>
        <w:t>štění</w:t>
      </w:r>
      <w:r w:rsidRPr="004975CF">
        <w:rPr>
          <w:rFonts w:ascii="Times New Roman" w:hAnsi="Times New Roman"/>
          <w:sz w:val="24"/>
          <w:szCs w:val="24"/>
        </w:rPr>
        <w:t xml:space="preserve"> nátokové</w:t>
      </w:r>
      <w:r w:rsidR="00762332" w:rsidRPr="004975CF">
        <w:rPr>
          <w:rFonts w:ascii="Times New Roman" w:hAnsi="Times New Roman"/>
          <w:sz w:val="24"/>
          <w:szCs w:val="24"/>
        </w:rPr>
        <w:t>ho</w:t>
      </w:r>
      <w:r w:rsidRPr="004975CF">
        <w:rPr>
          <w:rFonts w:ascii="Times New Roman" w:hAnsi="Times New Roman"/>
          <w:sz w:val="24"/>
          <w:szCs w:val="24"/>
        </w:rPr>
        <w:t xml:space="preserve"> potrubí.</w:t>
      </w:r>
    </w:p>
    <w:p w:rsidR="00636111" w:rsidRPr="00636111" w:rsidRDefault="00636111"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636111">
        <w:rPr>
          <w:rFonts w:ascii="Times New Roman" w:hAnsi="Times New Roman"/>
          <w:sz w:val="24"/>
          <w:szCs w:val="24"/>
        </w:rPr>
        <w:t>Zpracování návrhu provozního řádu v písemné i elektronické podobě 1x na CD (formát *.pdf a *.doc) včetně předání návodů na obsluhu jednotlivých zařízení, záruční listy, provést zaškolení obsluhy vč. podpisů školených.</w:t>
      </w:r>
    </w:p>
    <w:p w:rsidR="00636111" w:rsidRPr="00636111" w:rsidRDefault="00636111"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636111">
        <w:rPr>
          <w:rFonts w:ascii="Times New Roman" w:hAnsi="Times New Roman"/>
          <w:sz w:val="24"/>
          <w:szCs w:val="24"/>
        </w:rPr>
        <w:t>Doložení veškerých protokolů o příslušných zkouškách, prohlášení o shodě k výrobkům, včetně údajů o tom, že splňují zákonné požadavky, atesty výrobků a materiálů, případně ostatní doklady pro vydání kolaudačního souhlasu.</w:t>
      </w:r>
    </w:p>
    <w:p w:rsidR="00636111" w:rsidRPr="00636111" w:rsidRDefault="00636111"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636111">
        <w:rPr>
          <w:rFonts w:ascii="Times New Roman" w:hAnsi="Times New Roman"/>
          <w:sz w:val="24"/>
          <w:szCs w:val="24"/>
        </w:rPr>
        <w:t xml:space="preserve">Podání žádosti o kolaudační souhlas; veškeré administrativní poplatky (žádost </w:t>
      </w:r>
      <w:r w:rsidR="006E6DD6">
        <w:rPr>
          <w:rFonts w:ascii="Times New Roman" w:hAnsi="Times New Roman"/>
          <w:sz w:val="24"/>
          <w:szCs w:val="24"/>
        </w:rPr>
        <w:br/>
      </w:r>
      <w:r w:rsidRPr="00636111">
        <w:rPr>
          <w:rFonts w:ascii="Times New Roman" w:hAnsi="Times New Roman"/>
          <w:sz w:val="24"/>
          <w:szCs w:val="24"/>
        </w:rPr>
        <w:t>o kolaudační souhlas, atd.) hradí zhotovitel.</w:t>
      </w:r>
    </w:p>
    <w:p w:rsidR="00636111" w:rsidRPr="00636111" w:rsidRDefault="00636111"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636111">
        <w:rPr>
          <w:rFonts w:ascii="Times New Roman" w:hAnsi="Times New Roman"/>
          <w:sz w:val="24"/>
          <w:szCs w:val="24"/>
        </w:rPr>
        <w:t>Do doby vydání kolaudačního souhlasu zaji</w:t>
      </w:r>
      <w:r w:rsidR="00762332">
        <w:rPr>
          <w:rFonts w:ascii="Times New Roman" w:hAnsi="Times New Roman"/>
          <w:sz w:val="24"/>
          <w:szCs w:val="24"/>
        </w:rPr>
        <w:t>štění</w:t>
      </w:r>
      <w:r w:rsidRPr="00636111">
        <w:rPr>
          <w:rFonts w:ascii="Times New Roman" w:hAnsi="Times New Roman"/>
          <w:sz w:val="24"/>
          <w:szCs w:val="24"/>
        </w:rPr>
        <w:t xml:space="preserve"> provoz</w:t>
      </w:r>
      <w:r w:rsidR="00762332">
        <w:rPr>
          <w:rFonts w:ascii="Times New Roman" w:hAnsi="Times New Roman"/>
          <w:sz w:val="24"/>
          <w:szCs w:val="24"/>
        </w:rPr>
        <w:t>u</w:t>
      </w:r>
      <w:r w:rsidRPr="00636111">
        <w:rPr>
          <w:rFonts w:ascii="Times New Roman" w:hAnsi="Times New Roman"/>
          <w:sz w:val="24"/>
          <w:szCs w:val="24"/>
        </w:rPr>
        <w:t xml:space="preserve"> domovní čistírny.</w:t>
      </w:r>
    </w:p>
    <w:p w:rsidR="00636111" w:rsidRPr="00636111" w:rsidRDefault="00636111"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636111">
        <w:rPr>
          <w:rFonts w:ascii="Times New Roman" w:hAnsi="Times New Roman"/>
          <w:sz w:val="24"/>
          <w:szCs w:val="24"/>
        </w:rPr>
        <w:t>Zpracování projektové dokumentace skutečného provedení 3x v listinné podobě a 1x v elektronické podobě ve formátu *.pdf, *.doc, *.xls a *.dwg na nosiči CD – dle Vyhlášky č. 499/2006 Sb., příloha č. 7.</w:t>
      </w:r>
    </w:p>
    <w:p w:rsidR="00636111" w:rsidRPr="00636111" w:rsidRDefault="00636111"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636111">
        <w:rPr>
          <w:rFonts w:ascii="Times New Roman" w:hAnsi="Times New Roman"/>
          <w:sz w:val="24"/>
          <w:szCs w:val="24"/>
        </w:rPr>
        <w:lastRenderedPageBreak/>
        <w:t>Po ukončení díla zpracovat geometrického zaměření a geometrický plán skutečného provedení obsahující i čísla a hranice dotčených parcel a vyznačení ochranných pásem (soubory typu *.dwg a *.pdf).</w:t>
      </w:r>
    </w:p>
    <w:p w:rsidR="00636111" w:rsidRPr="00636111" w:rsidRDefault="00636111"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4975CF">
        <w:rPr>
          <w:rFonts w:ascii="Times New Roman" w:hAnsi="Times New Roman"/>
          <w:sz w:val="24"/>
          <w:szCs w:val="24"/>
        </w:rPr>
        <w:t xml:space="preserve">Součástí plnění </w:t>
      </w:r>
      <w:r w:rsidR="00762332" w:rsidRPr="004975CF">
        <w:rPr>
          <w:rFonts w:ascii="Times New Roman" w:hAnsi="Times New Roman"/>
          <w:sz w:val="24"/>
          <w:szCs w:val="24"/>
        </w:rPr>
        <w:t xml:space="preserve">je </w:t>
      </w:r>
      <w:r w:rsidRPr="004975CF">
        <w:rPr>
          <w:rFonts w:ascii="Times New Roman" w:hAnsi="Times New Roman"/>
          <w:sz w:val="24"/>
          <w:szCs w:val="24"/>
        </w:rPr>
        <w:t>průběžný</w:t>
      </w:r>
      <w:r w:rsidRPr="00636111">
        <w:rPr>
          <w:rFonts w:ascii="Times New Roman" w:hAnsi="Times New Roman"/>
          <w:sz w:val="24"/>
          <w:szCs w:val="24"/>
        </w:rPr>
        <w:t xml:space="preserve"> a závěrečný úklid, odvoz a ekologická likvidace ostatního demontovaného materiálu a veškerého vzniklého odpadu včetně uložení na skládku, doklady o likvidaci odpadu předá zhotovitel objednateli nejpozději do kolaudace.</w:t>
      </w:r>
    </w:p>
    <w:p w:rsidR="00636111" w:rsidRPr="00636111" w:rsidRDefault="00636111"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636111">
        <w:rPr>
          <w:rFonts w:ascii="Times New Roman" w:hAnsi="Times New Roman"/>
          <w:sz w:val="24"/>
          <w:szCs w:val="24"/>
        </w:rPr>
        <w:t>Po ukončení výkopových prací provést zapravení terénu včetně travního osevu (parková úprava).</w:t>
      </w:r>
    </w:p>
    <w:p w:rsidR="00636111" w:rsidRPr="00636111" w:rsidRDefault="00636111" w:rsidP="00011E1E">
      <w:pPr>
        <w:pStyle w:val="Odstavecseseznamem"/>
        <w:numPr>
          <w:ilvl w:val="0"/>
          <w:numId w:val="33"/>
        </w:numPr>
        <w:spacing w:after="120" w:line="240" w:lineRule="auto"/>
        <w:ind w:left="567"/>
        <w:contextualSpacing/>
        <w:jc w:val="both"/>
        <w:rPr>
          <w:rFonts w:ascii="Times New Roman" w:hAnsi="Times New Roman"/>
          <w:sz w:val="24"/>
          <w:szCs w:val="24"/>
        </w:rPr>
      </w:pPr>
      <w:r w:rsidRPr="00636111">
        <w:rPr>
          <w:rFonts w:ascii="Times New Roman" w:hAnsi="Times New Roman"/>
          <w:sz w:val="24"/>
          <w:szCs w:val="24"/>
        </w:rPr>
        <w:t>Po zapracování ČOV provést rozbor vypouštěné odpadní vody. V případě nevyhovujícího rozboru upravit chod ČOV. Zhotovitel je povinen toto sledovat do doby, než bude chod ČOV na optimální úrovni a sledované parametry znečištění budou splňovat limity dané rozhodnutím vodoprávního úřadu MěÚ Žamberk o povolení k vypouštění odpadních vod. Doložit rozbor s vyhovujícími parametry.</w:t>
      </w:r>
    </w:p>
    <w:p w:rsidR="00FB3861" w:rsidRPr="00310364" w:rsidRDefault="00FB3861" w:rsidP="00011E1E">
      <w:pPr>
        <w:pStyle w:val="Zkladntext3"/>
        <w:spacing w:before="0" w:after="120"/>
        <w:jc w:val="both"/>
        <w:rPr>
          <w:szCs w:val="24"/>
        </w:rPr>
      </w:pPr>
      <w:r>
        <w:rPr>
          <w:szCs w:val="24"/>
        </w:rPr>
        <w:t xml:space="preserve">Objednatel </w:t>
      </w:r>
      <w:r w:rsidRPr="00310364">
        <w:rPr>
          <w:szCs w:val="24"/>
        </w:rPr>
        <w:t>nepřipouští variantní řešení.</w:t>
      </w:r>
    </w:p>
    <w:p w:rsidR="00996646" w:rsidRDefault="00996646" w:rsidP="00011E1E">
      <w:pPr>
        <w:pStyle w:val="Odstavecseseznamem"/>
        <w:spacing w:before="60" w:after="0" w:line="240" w:lineRule="auto"/>
        <w:ind w:left="714"/>
        <w:jc w:val="both"/>
        <w:rPr>
          <w:rFonts w:ascii="Times New Roman" w:eastAsia="Calibri" w:hAnsi="Times New Roman"/>
          <w:color w:val="FF0000"/>
          <w:sz w:val="24"/>
          <w:szCs w:val="24"/>
          <w:lang w:eastAsia="en-US"/>
        </w:rPr>
      </w:pPr>
    </w:p>
    <w:p w:rsidR="00584815" w:rsidRDefault="00584815" w:rsidP="00011E1E">
      <w:pPr>
        <w:pStyle w:val="Odstavecseseznamem"/>
        <w:spacing w:before="60" w:after="0" w:line="240" w:lineRule="auto"/>
        <w:ind w:left="714"/>
        <w:jc w:val="both"/>
        <w:rPr>
          <w:rFonts w:ascii="Times New Roman" w:eastAsia="Calibri" w:hAnsi="Times New Roman"/>
          <w:color w:val="FF0000"/>
          <w:sz w:val="24"/>
          <w:szCs w:val="24"/>
          <w:lang w:eastAsia="en-US"/>
        </w:rPr>
      </w:pPr>
    </w:p>
    <w:p w:rsidR="00AE2642" w:rsidRPr="00095FDB" w:rsidRDefault="00F55D7F" w:rsidP="00011E1E">
      <w:pPr>
        <w:shd w:val="clear" w:color="00FFFF" w:fill="auto"/>
        <w:tabs>
          <w:tab w:val="center" w:pos="4253"/>
        </w:tabs>
        <w:spacing w:beforeLines="20" w:before="48" w:after="120"/>
        <w:jc w:val="both"/>
        <w:rPr>
          <w:b/>
          <w:sz w:val="24"/>
          <w:u w:val="single"/>
        </w:rPr>
      </w:pPr>
      <w:r w:rsidRPr="00F55D7F">
        <w:rPr>
          <w:b/>
          <w:caps/>
          <w:sz w:val="24"/>
          <w:szCs w:val="24"/>
        </w:rPr>
        <w:tab/>
      </w:r>
      <w:r w:rsidR="00F866AD" w:rsidRPr="00095FDB">
        <w:rPr>
          <w:b/>
          <w:caps/>
          <w:sz w:val="24"/>
          <w:szCs w:val="24"/>
          <w:u w:val="single"/>
        </w:rPr>
        <w:t xml:space="preserve">II. </w:t>
      </w:r>
      <w:r w:rsidR="00AE2642" w:rsidRPr="00095FDB">
        <w:rPr>
          <w:b/>
          <w:caps/>
          <w:sz w:val="24"/>
          <w:szCs w:val="24"/>
          <w:u w:val="single"/>
        </w:rPr>
        <w:t>Termín</w:t>
      </w:r>
      <w:r w:rsidR="00AE2642" w:rsidRPr="00095FDB">
        <w:rPr>
          <w:b/>
          <w:caps/>
          <w:sz w:val="24"/>
          <w:u w:val="single"/>
        </w:rPr>
        <w:t xml:space="preserve"> a místo</w:t>
      </w:r>
      <w:r w:rsidR="00AE2642" w:rsidRPr="00095FDB">
        <w:rPr>
          <w:b/>
          <w:sz w:val="24"/>
          <w:u w:val="single"/>
        </w:rPr>
        <w:t xml:space="preserve"> PLNĚNÍ</w:t>
      </w:r>
    </w:p>
    <w:p w:rsidR="00636111" w:rsidRDefault="00636111" w:rsidP="00011E1E">
      <w:pPr>
        <w:jc w:val="both"/>
        <w:rPr>
          <w:b/>
          <w:sz w:val="24"/>
        </w:rPr>
      </w:pPr>
      <w:r w:rsidRPr="00636111">
        <w:rPr>
          <w:sz w:val="24"/>
        </w:rPr>
        <w:t xml:space="preserve">Termín zahájení:           </w:t>
      </w:r>
      <w:r w:rsidRPr="00636111">
        <w:rPr>
          <w:sz w:val="24"/>
        </w:rPr>
        <w:tab/>
      </w:r>
      <w:r w:rsidRPr="00636111">
        <w:rPr>
          <w:sz w:val="24"/>
        </w:rPr>
        <w:tab/>
      </w:r>
      <w:r w:rsidRPr="00636111">
        <w:rPr>
          <w:sz w:val="24"/>
        </w:rPr>
        <w:tab/>
      </w:r>
      <w:r w:rsidRPr="00636111">
        <w:rPr>
          <w:sz w:val="24"/>
        </w:rPr>
        <w:tab/>
      </w:r>
      <w:r w:rsidRPr="00636111">
        <w:rPr>
          <w:sz w:val="24"/>
        </w:rPr>
        <w:tab/>
      </w:r>
      <w:r w:rsidRPr="00636111">
        <w:rPr>
          <w:sz w:val="24"/>
        </w:rPr>
        <w:tab/>
        <w:t xml:space="preserve">         </w:t>
      </w:r>
      <w:r>
        <w:rPr>
          <w:sz w:val="24"/>
        </w:rPr>
        <w:t xml:space="preserve">                </w:t>
      </w:r>
      <w:r w:rsidRPr="00636111">
        <w:rPr>
          <w:b/>
          <w:sz w:val="24"/>
        </w:rPr>
        <w:t>7.</w:t>
      </w:r>
      <w:r>
        <w:rPr>
          <w:b/>
          <w:sz w:val="24"/>
        </w:rPr>
        <w:t xml:space="preserve"> </w:t>
      </w:r>
      <w:r w:rsidRPr="00636111">
        <w:rPr>
          <w:b/>
          <w:sz w:val="24"/>
        </w:rPr>
        <w:t>10.</w:t>
      </w:r>
      <w:r>
        <w:rPr>
          <w:b/>
          <w:sz w:val="24"/>
        </w:rPr>
        <w:t xml:space="preserve"> </w:t>
      </w:r>
      <w:r w:rsidRPr="00636111">
        <w:rPr>
          <w:b/>
          <w:sz w:val="24"/>
        </w:rPr>
        <w:t>2016</w:t>
      </w:r>
    </w:p>
    <w:p w:rsidR="00636111" w:rsidRPr="00636111" w:rsidRDefault="00636111" w:rsidP="00011E1E">
      <w:pPr>
        <w:jc w:val="both"/>
        <w:rPr>
          <w:sz w:val="24"/>
        </w:rPr>
      </w:pPr>
    </w:p>
    <w:p w:rsidR="00636111" w:rsidRDefault="00636111" w:rsidP="00011E1E">
      <w:pPr>
        <w:jc w:val="both"/>
        <w:rPr>
          <w:b/>
          <w:sz w:val="24"/>
        </w:rPr>
      </w:pPr>
      <w:r w:rsidRPr="00636111">
        <w:rPr>
          <w:sz w:val="24"/>
        </w:rPr>
        <w:t>Termín ukončení plnění vč. podání žádosti o kolaudační souhlas:</w:t>
      </w:r>
      <w:r w:rsidRPr="00636111">
        <w:rPr>
          <w:sz w:val="24"/>
        </w:rPr>
        <w:tab/>
      </w:r>
      <w:r w:rsidRPr="00636111">
        <w:rPr>
          <w:sz w:val="24"/>
        </w:rPr>
        <w:tab/>
      </w:r>
      <w:r>
        <w:rPr>
          <w:sz w:val="24"/>
        </w:rPr>
        <w:t xml:space="preserve">           </w:t>
      </w:r>
      <w:r w:rsidRPr="00636111">
        <w:rPr>
          <w:b/>
          <w:sz w:val="24"/>
        </w:rPr>
        <w:t>23.</w:t>
      </w:r>
      <w:r>
        <w:rPr>
          <w:b/>
          <w:sz w:val="24"/>
        </w:rPr>
        <w:t xml:space="preserve"> </w:t>
      </w:r>
      <w:r w:rsidRPr="00636111">
        <w:rPr>
          <w:b/>
          <w:sz w:val="24"/>
        </w:rPr>
        <w:t>10.</w:t>
      </w:r>
      <w:r>
        <w:rPr>
          <w:b/>
          <w:sz w:val="24"/>
        </w:rPr>
        <w:t xml:space="preserve"> </w:t>
      </w:r>
      <w:r w:rsidRPr="00636111">
        <w:rPr>
          <w:b/>
          <w:sz w:val="24"/>
        </w:rPr>
        <w:t>2016</w:t>
      </w:r>
    </w:p>
    <w:p w:rsidR="00636111" w:rsidRPr="00636111" w:rsidRDefault="00636111" w:rsidP="00011E1E">
      <w:pPr>
        <w:jc w:val="both"/>
        <w:rPr>
          <w:sz w:val="24"/>
        </w:rPr>
      </w:pPr>
    </w:p>
    <w:p w:rsidR="00636111" w:rsidRDefault="00636111" w:rsidP="00011E1E">
      <w:pPr>
        <w:jc w:val="both"/>
        <w:rPr>
          <w:b/>
          <w:sz w:val="24"/>
        </w:rPr>
      </w:pPr>
      <w:r w:rsidRPr="00636111">
        <w:rPr>
          <w:sz w:val="24"/>
        </w:rPr>
        <w:t>Předložení kolaudačního souhlasu a všech potřebných dokumentů k provozu</w:t>
      </w:r>
      <w:r>
        <w:rPr>
          <w:sz w:val="24"/>
        </w:rPr>
        <w:t xml:space="preserve">:       </w:t>
      </w:r>
      <w:r w:rsidRPr="00636111">
        <w:rPr>
          <w:b/>
          <w:sz w:val="24"/>
        </w:rPr>
        <w:t>30. 11. 2016</w:t>
      </w:r>
    </w:p>
    <w:p w:rsidR="00636111" w:rsidRPr="00636111" w:rsidRDefault="00636111" w:rsidP="00011E1E">
      <w:pPr>
        <w:jc w:val="both"/>
        <w:rPr>
          <w:sz w:val="24"/>
        </w:rPr>
      </w:pPr>
    </w:p>
    <w:p w:rsidR="00636111" w:rsidRPr="00636111" w:rsidRDefault="00636111" w:rsidP="00011E1E">
      <w:pPr>
        <w:spacing w:after="120"/>
        <w:jc w:val="both"/>
        <w:rPr>
          <w:sz w:val="24"/>
        </w:rPr>
      </w:pPr>
      <w:r w:rsidRPr="00636111">
        <w:rPr>
          <w:sz w:val="24"/>
        </w:rPr>
        <w:t xml:space="preserve">Místem plnění </w:t>
      </w:r>
      <w:r w:rsidR="00762332" w:rsidRPr="004975CF">
        <w:rPr>
          <w:sz w:val="24"/>
        </w:rPr>
        <w:t>díla</w:t>
      </w:r>
      <w:r w:rsidRPr="00636111">
        <w:rPr>
          <w:sz w:val="24"/>
        </w:rPr>
        <w:t xml:space="preserve"> je areál Vojenského školícího zařízení Mladkov, tvrz ADAM v katastrálním území </w:t>
      </w:r>
      <w:hyperlink r:id="rId9" w:history="1">
        <w:r w:rsidRPr="00636111">
          <w:rPr>
            <w:sz w:val="24"/>
          </w:rPr>
          <w:t>České Petrovice [622702]</w:t>
        </w:r>
      </w:hyperlink>
      <w:r w:rsidRPr="00636111">
        <w:rPr>
          <w:sz w:val="24"/>
        </w:rPr>
        <w:t>.</w:t>
      </w:r>
    </w:p>
    <w:p w:rsidR="005F09C9" w:rsidRDefault="005F09C9" w:rsidP="00011E1E">
      <w:pPr>
        <w:jc w:val="both"/>
        <w:rPr>
          <w:sz w:val="24"/>
        </w:rPr>
      </w:pPr>
    </w:p>
    <w:p w:rsidR="00584815" w:rsidRPr="00636111" w:rsidRDefault="00584815" w:rsidP="00011E1E">
      <w:pPr>
        <w:jc w:val="both"/>
        <w:rPr>
          <w:sz w:val="24"/>
        </w:rPr>
      </w:pPr>
    </w:p>
    <w:p w:rsidR="00AE2642" w:rsidRDefault="00F55D7F" w:rsidP="00011E1E">
      <w:pPr>
        <w:pStyle w:val="Nadpis4"/>
        <w:keepNext w:val="0"/>
        <w:tabs>
          <w:tab w:val="center" w:pos="4253"/>
        </w:tabs>
        <w:spacing w:beforeLines="20" w:before="48" w:after="120"/>
        <w:jc w:val="both"/>
        <w:rPr>
          <w:rFonts w:ascii="Times New Roman" w:hAnsi="Times New Roman"/>
          <w:color w:val="auto"/>
        </w:rPr>
      </w:pPr>
      <w:r w:rsidRPr="00F55D7F">
        <w:rPr>
          <w:rFonts w:ascii="Times New Roman" w:hAnsi="Times New Roman"/>
          <w:color w:val="auto"/>
          <w:szCs w:val="24"/>
          <w:u w:val="none"/>
        </w:rPr>
        <w:tab/>
      </w:r>
      <w:r w:rsidR="00F866AD" w:rsidRPr="00095FDB">
        <w:rPr>
          <w:rFonts w:ascii="Times New Roman" w:hAnsi="Times New Roman"/>
          <w:color w:val="auto"/>
          <w:szCs w:val="24"/>
        </w:rPr>
        <w:t xml:space="preserve">III. </w:t>
      </w:r>
      <w:r w:rsidR="00AE2642" w:rsidRPr="00095FDB">
        <w:rPr>
          <w:rFonts w:ascii="Times New Roman" w:hAnsi="Times New Roman"/>
          <w:color w:val="auto"/>
          <w:szCs w:val="24"/>
        </w:rPr>
        <w:t>CENA</w:t>
      </w:r>
      <w:r w:rsidR="00AE2642" w:rsidRPr="00095FDB">
        <w:rPr>
          <w:rFonts w:ascii="Times New Roman" w:hAnsi="Times New Roman"/>
          <w:color w:val="auto"/>
        </w:rPr>
        <w:t xml:space="preserve"> DÍLA</w:t>
      </w:r>
    </w:p>
    <w:p w:rsidR="008249EE" w:rsidRPr="008249EE" w:rsidRDefault="008249EE" w:rsidP="00011E1E">
      <w:pPr>
        <w:jc w:val="both"/>
      </w:pPr>
    </w:p>
    <w:p w:rsidR="009A3F58" w:rsidRPr="00756BB0" w:rsidRDefault="009A3F58" w:rsidP="00011E1E">
      <w:pPr>
        <w:spacing w:after="120"/>
        <w:jc w:val="both"/>
        <w:rPr>
          <w:sz w:val="24"/>
        </w:rPr>
      </w:pPr>
      <w:r w:rsidRPr="004D43D9">
        <w:rPr>
          <w:sz w:val="24"/>
        </w:rPr>
        <w:t>Cena za předmět díla bez DPH je cenou konečnou, nejvýše přípustnou, ve které jsou</w:t>
      </w:r>
      <w:r w:rsidRPr="00756BB0">
        <w:rPr>
          <w:sz w:val="24"/>
        </w:rPr>
        <w:t xml:space="preserve"> zahrnuty veškeré náklady dle článku I</w:t>
      </w:r>
      <w:r w:rsidR="005F09C9">
        <w:rPr>
          <w:sz w:val="24"/>
        </w:rPr>
        <w:t>.</w:t>
      </w:r>
      <w:r w:rsidRPr="00756BB0">
        <w:rPr>
          <w:sz w:val="24"/>
        </w:rPr>
        <w:t xml:space="preserve"> této smlouvy a činí</w:t>
      </w:r>
      <w:r w:rsidR="003B5832">
        <w:rPr>
          <w:sz w:val="24"/>
        </w:rPr>
        <w:t xml:space="preserve">: </w:t>
      </w:r>
      <w:r w:rsidR="00011E1E">
        <w:rPr>
          <w:sz w:val="24"/>
        </w:rPr>
        <w:t xml:space="preserve">348 999,91 </w:t>
      </w:r>
      <w:r w:rsidRPr="004D43D9">
        <w:rPr>
          <w:sz w:val="24"/>
        </w:rPr>
        <w:t>Kč</w:t>
      </w:r>
    </w:p>
    <w:p w:rsidR="009A3F58" w:rsidRPr="00756BB0" w:rsidRDefault="009A3F58" w:rsidP="00011E1E">
      <w:pPr>
        <w:tabs>
          <w:tab w:val="left" w:pos="1080"/>
          <w:tab w:val="right" w:pos="7740"/>
        </w:tabs>
        <w:ind w:left="540"/>
        <w:jc w:val="both"/>
        <w:rPr>
          <w:b/>
          <w:sz w:val="24"/>
        </w:rPr>
      </w:pPr>
    </w:p>
    <w:p w:rsidR="009A3F58" w:rsidRPr="00756BB0" w:rsidRDefault="009A3F58" w:rsidP="00011E1E">
      <w:pPr>
        <w:tabs>
          <w:tab w:val="left" w:pos="1080"/>
          <w:tab w:val="right" w:pos="7740"/>
        </w:tabs>
        <w:jc w:val="both"/>
        <w:rPr>
          <w:sz w:val="24"/>
        </w:rPr>
      </w:pPr>
      <w:r w:rsidRPr="00FE7B42">
        <w:rPr>
          <w:sz w:val="24"/>
        </w:rPr>
        <w:t>slovy:</w:t>
      </w:r>
      <w:r w:rsidRPr="00FE7B42">
        <w:rPr>
          <w:sz w:val="24"/>
        </w:rPr>
        <w:tab/>
        <w:t>„</w:t>
      </w:r>
      <w:r w:rsidR="00011E1E" w:rsidRPr="00FE7B42">
        <w:rPr>
          <w:sz w:val="24"/>
        </w:rPr>
        <w:t>třistačtyřicetosmtisícdev</w:t>
      </w:r>
      <w:r w:rsidR="00FE7B42" w:rsidRPr="00FE7B42">
        <w:rPr>
          <w:sz w:val="24"/>
        </w:rPr>
        <w:t>ětsetdevadesátdevětkorunčeskýchdevadesáthaléřů“</w:t>
      </w:r>
    </w:p>
    <w:p w:rsidR="009A3F58" w:rsidRPr="00756BB0" w:rsidRDefault="009A3F58" w:rsidP="00011E1E">
      <w:pPr>
        <w:jc w:val="both"/>
        <w:rPr>
          <w:sz w:val="24"/>
        </w:rPr>
      </w:pPr>
    </w:p>
    <w:p w:rsidR="009A3F58" w:rsidRDefault="009A3F58" w:rsidP="00011E1E">
      <w:pPr>
        <w:jc w:val="both"/>
        <w:rPr>
          <w:sz w:val="24"/>
          <w:szCs w:val="24"/>
        </w:rPr>
      </w:pPr>
      <w:r w:rsidRPr="00866F32">
        <w:rPr>
          <w:sz w:val="24"/>
          <w:szCs w:val="24"/>
        </w:rPr>
        <w:t>DPH bude účtováno v sazbě platné ke dni uskutečnění zdanitelného plnění.</w:t>
      </w:r>
    </w:p>
    <w:p w:rsidR="00E5206C" w:rsidRDefault="00E5206C" w:rsidP="00011E1E">
      <w:pPr>
        <w:tabs>
          <w:tab w:val="center" w:pos="4253"/>
        </w:tabs>
        <w:spacing w:beforeLines="20" w:before="48" w:after="120"/>
        <w:jc w:val="both"/>
        <w:rPr>
          <w:sz w:val="24"/>
          <w:szCs w:val="24"/>
        </w:rPr>
      </w:pPr>
    </w:p>
    <w:p w:rsidR="00584815" w:rsidRDefault="00584815" w:rsidP="00011E1E">
      <w:pPr>
        <w:tabs>
          <w:tab w:val="center" w:pos="4253"/>
        </w:tabs>
        <w:spacing w:beforeLines="20" w:before="48" w:after="120"/>
        <w:jc w:val="both"/>
        <w:rPr>
          <w:sz w:val="24"/>
          <w:szCs w:val="24"/>
        </w:rPr>
      </w:pPr>
    </w:p>
    <w:p w:rsidR="00AE2642" w:rsidRDefault="00F55D7F" w:rsidP="00011E1E">
      <w:pPr>
        <w:tabs>
          <w:tab w:val="center" w:pos="4253"/>
        </w:tabs>
        <w:spacing w:beforeLines="20" w:before="48" w:after="120"/>
        <w:jc w:val="both"/>
        <w:rPr>
          <w:b/>
          <w:caps/>
          <w:sz w:val="24"/>
          <w:u w:val="single"/>
        </w:rPr>
      </w:pPr>
      <w:r>
        <w:rPr>
          <w:sz w:val="24"/>
          <w:szCs w:val="24"/>
        </w:rPr>
        <w:tab/>
      </w:r>
      <w:r w:rsidR="00F866AD" w:rsidRPr="00095FDB">
        <w:rPr>
          <w:b/>
          <w:caps/>
          <w:sz w:val="24"/>
          <w:u w:val="single"/>
        </w:rPr>
        <w:t xml:space="preserve">IV. </w:t>
      </w:r>
      <w:r w:rsidR="00AE2642" w:rsidRPr="00095FDB">
        <w:rPr>
          <w:b/>
          <w:caps/>
          <w:sz w:val="24"/>
          <w:u w:val="single"/>
        </w:rPr>
        <w:t>platební a fakturační podmínky</w:t>
      </w:r>
    </w:p>
    <w:p w:rsidR="00095FDB" w:rsidRPr="00095FDB" w:rsidRDefault="00AE2642" w:rsidP="00011E1E">
      <w:pPr>
        <w:numPr>
          <w:ilvl w:val="0"/>
          <w:numId w:val="2"/>
        </w:numPr>
        <w:tabs>
          <w:tab w:val="left" w:pos="0"/>
        </w:tabs>
        <w:spacing w:before="100" w:beforeAutospacing="1" w:after="120"/>
        <w:jc w:val="both"/>
        <w:rPr>
          <w:sz w:val="24"/>
        </w:rPr>
      </w:pPr>
      <w:r w:rsidRPr="00095FDB">
        <w:rPr>
          <w:sz w:val="24"/>
        </w:rPr>
        <w:t>Objednatel zálohy neposkytuje.</w:t>
      </w:r>
    </w:p>
    <w:p w:rsidR="000A76C4" w:rsidRPr="000A76C4" w:rsidRDefault="000A76C4" w:rsidP="00011E1E">
      <w:pPr>
        <w:numPr>
          <w:ilvl w:val="0"/>
          <w:numId w:val="2"/>
        </w:numPr>
        <w:tabs>
          <w:tab w:val="left" w:pos="0"/>
        </w:tabs>
        <w:spacing w:beforeLines="20" w:before="48" w:after="120"/>
        <w:jc w:val="both"/>
        <w:rPr>
          <w:bCs/>
          <w:sz w:val="24"/>
        </w:rPr>
      </w:pPr>
      <w:r>
        <w:rPr>
          <w:color w:val="000000"/>
          <w:sz w:val="24"/>
          <w:szCs w:val="24"/>
        </w:rPr>
        <w:t>Fakturace bude provedena jednou fakturou do výše 100 % ceny díla na základě soupisu provedených prací potvrzených zástupci objednatele. Z faktury bude pozastavena částka ve výši 10% z ceny bez DPH. Pozastávka ve výši 10% bude uvolněna po odstranění všech vad a nedodělků.</w:t>
      </w:r>
    </w:p>
    <w:p w:rsidR="0075034C" w:rsidRDefault="0075034C" w:rsidP="00011E1E">
      <w:pPr>
        <w:numPr>
          <w:ilvl w:val="0"/>
          <w:numId w:val="2"/>
        </w:numPr>
        <w:tabs>
          <w:tab w:val="left" w:pos="0"/>
        </w:tabs>
        <w:spacing w:beforeLines="20" w:before="48" w:after="120"/>
        <w:jc w:val="both"/>
        <w:rPr>
          <w:bCs/>
          <w:sz w:val="24"/>
        </w:rPr>
      </w:pPr>
      <w:r w:rsidRPr="00095FDB">
        <w:rPr>
          <w:bCs/>
          <w:sz w:val="24"/>
        </w:rPr>
        <w:lastRenderedPageBreak/>
        <w:t>Zhotovitel je povinen v předmětu fakturace uvést přesný název akce včetně čísla smlouvy. Jinak bude faktura vrácena zhotoviteli k doplnění.</w:t>
      </w:r>
    </w:p>
    <w:p w:rsidR="00A87620" w:rsidRPr="00095FDB" w:rsidRDefault="00A87620" w:rsidP="00011E1E">
      <w:pPr>
        <w:numPr>
          <w:ilvl w:val="0"/>
          <w:numId w:val="2"/>
        </w:numPr>
        <w:tabs>
          <w:tab w:val="left" w:pos="0"/>
        </w:tabs>
        <w:spacing w:beforeLines="20" w:before="48"/>
        <w:jc w:val="both"/>
        <w:rPr>
          <w:bCs/>
          <w:sz w:val="24"/>
        </w:rPr>
      </w:pPr>
      <w:r w:rsidRPr="00095FDB">
        <w:rPr>
          <w:bCs/>
          <w:sz w:val="24"/>
        </w:rPr>
        <w:t>Daňový doklad musí obsahovat údaje podle zákona č. 235/2004 Sb., o dani z přidané hodnot</w:t>
      </w:r>
      <w:r w:rsidR="008C12D8" w:rsidRPr="00095FDB">
        <w:rPr>
          <w:bCs/>
          <w:sz w:val="24"/>
        </w:rPr>
        <w:t>y, ve znění pozdějších předpisů, včetně uvedení klasifikace CZ-CPA, a dále údaje pro účely stanovení režimu přenesené daňové povinnosti v souladu s § 92a zákona.</w:t>
      </w:r>
    </w:p>
    <w:p w:rsidR="00F55D7F" w:rsidRPr="00F55D7F" w:rsidRDefault="00095FDB" w:rsidP="00011E1E">
      <w:pPr>
        <w:numPr>
          <w:ilvl w:val="0"/>
          <w:numId w:val="2"/>
        </w:numPr>
        <w:tabs>
          <w:tab w:val="left" w:pos="0"/>
        </w:tabs>
        <w:spacing w:before="120"/>
        <w:jc w:val="both"/>
        <w:rPr>
          <w:sz w:val="24"/>
          <w:szCs w:val="24"/>
        </w:rPr>
      </w:pPr>
      <w:r w:rsidRPr="00F55D7F">
        <w:rPr>
          <w:sz w:val="24"/>
          <w:szCs w:val="24"/>
        </w:rPr>
        <w:t xml:space="preserve">Lhůta splatnosti je </w:t>
      </w:r>
      <w:r w:rsidR="00BE3A33" w:rsidRPr="00F55D7F">
        <w:rPr>
          <w:sz w:val="24"/>
          <w:szCs w:val="24"/>
        </w:rPr>
        <w:t>3</w:t>
      </w:r>
      <w:r w:rsidR="00F634A8" w:rsidRPr="00F55D7F">
        <w:rPr>
          <w:sz w:val="24"/>
          <w:szCs w:val="24"/>
        </w:rPr>
        <w:t>0</w:t>
      </w:r>
      <w:r w:rsidRPr="00F55D7F">
        <w:rPr>
          <w:sz w:val="24"/>
          <w:szCs w:val="24"/>
        </w:rPr>
        <w:t xml:space="preserve"> dní od doručení faktury objednateli (</w:t>
      </w:r>
      <w:r w:rsidR="00866F32" w:rsidRPr="00F55D7F">
        <w:rPr>
          <w:sz w:val="24"/>
          <w:szCs w:val="24"/>
        </w:rPr>
        <w:t>originál faktury + 1 kopie včetně soupisu skutečně provedených prací potvrzeného ve smlouvě uvedenými zástupci objednatele a zhotovitele a zápisu o předání a převzetí</w:t>
      </w:r>
      <w:r w:rsidRPr="00F55D7F">
        <w:rPr>
          <w:sz w:val="24"/>
          <w:szCs w:val="24"/>
        </w:rPr>
        <w:t>).</w:t>
      </w:r>
      <w:r w:rsidRPr="00F55D7F">
        <w:rPr>
          <w:sz w:val="24"/>
        </w:rPr>
        <w:t xml:space="preserve"> Adresa pro zaslání faktury: A</w:t>
      </w:r>
      <w:r w:rsidR="00BF2F1E" w:rsidRPr="00F55D7F">
        <w:rPr>
          <w:sz w:val="24"/>
        </w:rPr>
        <w:t>rmádní Servisní</w:t>
      </w:r>
      <w:r w:rsidRPr="00F55D7F">
        <w:rPr>
          <w:sz w:val="24"/>
        </w:rPr>
        <w:t xml:space="preserve">, příspěvková organizace, Podbabská 1589/1, 160 00 </w:t>
      </w:r>
      <w:r w:rsidR="00011E1E">
        <w:rPr>
          <w:sz w:val="24"/>
        </w:rPr>
        <w:br/>
      </w:r>
      <w:r w:rsidRPr="00F55D7F">
        <w:rPr>
          <w:sz w:val="24"/>
        </w:rPr>
        <w:t>Praha 6 – Dejvice</w:t>
      </w:r>
      <w:r w:rsidR="0075034C" w:rsidRPr="00F55D7F">
        <w:rPr>
          <w:color w:val="000000"/>
          <w:sz w:val="24"/>
        </w:rPr>
        <w:t>.</w:t>
      </w:r>
    </w:p>
    <w:p w:rsidR="00F55D7F" w:rsidRDefault="00971C78" w:rsidP="00011E1E">
      <w:pPr>
        <w:numPr>
          <w:ilvl w:val="0"/>
          <w:numId w:val="2"/>
        </w:numPr>
        <w:tabs>
          <w:tab w:val="left" w:pos="0"/>
        </w:tabs>
        <w:spacing w:before="120"/>
        <w:jc w:val="both"/>
        <w:rPr>
          <w:sz w:val="24"/>
          <w:szCs w:val="24"/>
        </w:rPr>
      </w:pPr>
      <w:r w:rsidRPr="00F55D7F">
        <w:rPr>
          <w:sz w:val="24"/>
          <w:szCs w:val="24"/>
        </w:rPr>
        <w:t>Celkové zdanitelné plnění se považuje za uskutečněné dnem protokolárního převzetí celého díla objednavatelem. Zhotovitel je povinen nejpozději do 10 dnů od uskutečnění celkového zdanitelného plnění vystavit daňový doklad (dále jen „konečná faktura“). Podkladem pro vystavení konečné faktury je oprávněnými zástupci smluvních stran podepsaný Protokol o předání a převzetí díla, jakož i soupis provedených prací jednotlivých částí díla, jehož součástí bude písemné potvrzení provedených prací technickým dozorem objednavatele a zástupcem objednavatele.</w:t>
      </w:r>
    </w:p>
    <w:p w:rsidR="00AE2642" w:rsidRPr="00F55D7F" w:rsidRDefault="00AE2642" w:rsidP="00011E1E">
      <w:pPr>
        <w:numPr>
          <w:ilvl w:val="0"/>
          <w:numId w:val="2"/>
        </w:numPr>
        <w:tabs>
          <w:tab w:val="left" w:pos="0"/>
        </w:tabs>
        <w:spacing w:before="120"/>
        <w:jc w:val="both"/>
        <w:rPr>
          <w:sz w:val="24"/>
          <w:szCs w:val="24"/>
        </w:rPr>
      </w:pPr>
      <w:r w:rsidRPr="00F55D7F">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Při vrácení faktury objednatel uvede důvod jejího vrácení a v případě oprávněného vrácení </w:t>
      </w:r>
      <w:r w:rsidR="006B45DB" w:rsidRPr="00F55D7F">
        <w:rPr>
          <w:color w:val="000000"/>
          <w:sz w:val="24"/>
          <w:szCs w:val="24"/>
        </w:rPr>
        <w:t>zhotovitel</w:t>
      </w:r>
      <w:r w:rsidRPr="00F55D7F">
        <w:rPr>
          <w:color w:val="000000"/>
          <w:sz w:val="24"/>
          <w:szCs w:val="24"/>
        </w:rPr>
        <w:t xml:space="preserve"> vystaví fakturu novou. Oprávněným vrácením faktury přestává běžet původní lhůta splatnosti a běží znovu ode dne doručení nové faktury objednateli.</w:t>
      </w:r>
    </w:p>
    <w:p w:rsidR="00F55D7F" w:rsidRDefault="00F55D7F" w:rsidP="00011E1E">
      <w:pPr>
        <w:pStyle w:val="Nadpis6"/>
        <w:tabs>
          <w:tab w:val="center" w:pos="4253"/>
        </w:tabs>
        <w:spacing w:beforeLines="20" w:before="48" w:after="120"/>
        <w:jc w:val="both"/>
        <w:rPr>
          <w:rFonts w:ascii="Times New Roman" w:hAnsi="Times New Roman"/>
          <w:b w:val="0"/>
          <w:caps w:val="0"/>
          <w:szCs w:val="24"/>
          <w:u w:val="none"/>
        </w:rPr>
      </w:pPr>
      <w:r>
        <w:rPr>
          <w:rFonts w:ascii="Times New Roman" w:hAnsi="Times New Roman"/>
          <w:b w:val="0"/>
          <w:caps w:val="0"/>
          <w:szCs w:val="24"/>
          <w:u w:val="none"/>
        </w:rPr>
        <w:tab/>
      </w:r>
    </w:p>
    <w:p w:rsidR="00584815" w:rsidRPr="00584815" w:rsidRDefault="00584815" w:rsidP="00584815"/>
    <w:p w:rsidR="00AE2642" w:rsidRDefault="00F866AD" w:rsidP="00584815">
      <w:pPr>
        <w:pStyle w:val="Nadpis6"/>
        <w:tabs>
          <w:tab w:val="center" w:pos="4253"/>
        </w:tabs>
        <w:spacing w:beforeLines="20" w:before="48" w:after="120"/>
        <w:rPr>
          <w:rFonts w:ascii="Times New Roman" w:hAnsi="Times New Roman"/>
        </w:rPr>
      </w:pPr>
      <w:r w:rsidRPr="00095FDB">
        <w:rPr>
          <w:rFonts w:ascii="Times New Roman" w:hAnsi="Times New Roman"/>
        </w:rPr>
        <w:t xml:space="preserve">V. </w:t>
      </w:r>
      <w:r w:rsidR="00AE2642" w:rsidRPr="00095FDB">
        <w:rPr>
          <w:rFonts w:ascii="Times New Roman" w:hAnsi="Times New Roman"/>
        </w:rPr>
        <w:t>SOUČINNOST OBJEDNATELE A ZHOTOVITELE</w:t>
      </w:r>
    </w:p>
    <w:p w:rsidR="002354D1" w:rsidRPr="002354D1" w:rsidRDefault="002354D1" w:rsidP="00011E1E">
      <w:pPr>
        <w:jc w:val="both"/>
      </w:pPr>
    </w:p>
    <w:p w:rsidR="0075034C" w:rsidRDefault="0075034C" w:rsidP="00011E1E">
      <w:pPr>
        <w:numPr>
          <w:ilvl w:val="0"/>
          <w:numId w:val="5"/>
        </w:numPr>
        <w:jc w:val="both"/>
        <w:rPr>
          <w:sz w:val="24"/>
        </w:rPr>
      </w:pPr>
      <w:r w:rsidRPr="00095FDB">
        <w:rPr>
          <w:sz w:val="24"/>
        </w:rPr>
        <w:t>Zhotovitel se zavazuje provést dílo kompletně, řádně, v patřičné kvalitě, včas, na svůj náklad a nebezpečí v souladu s platnými právními předpisy a ČSN a dodržovat platné hygienické, zdravotní, požární, bez</w:t>
      </w:r>
      <w:r w:rsidR="0063584C" w:rsidRPr="00095FDB">
        <w:rPr>
          <w:sz w:val="24"/>
        </w:rPr>
        <w:t>pečnostní a ekologické předpisy</w:t>
      </w:r>
      <w:r w:rsidRPr="00095FDB">
        <w:rPr>
          <w:sz w:val="24"/>
        </w:rPr>
        <w:t xml:space="preserve"> a závazné normy.</w:t>
      </w:r>
    </w:p>
    <w:p w:rsidR="001504A2" w:rsidRDefault="001504A2" w:rsidP="00011E1E">
      <w:pPr>
        <w:ind w:left="851"/>
        <w:jc w:val="both"/>
        <w:rPr>
          <w:sz w:val="24"/>
        </w:rPr>
      </w:pPr>
    </w:p>
    <w:p w:rsidR="00C328DE" w:rsidRPr="00095FDB" w:rsidRDefault="00C328DE" w:rsidP="00011E1E">
      <w:pPr>
        <w:numPr>
          <w:ilvl w:val="0"/>
          <w:numId w:val="5"/>
        </w:numPr>
        <w:jc w:val="both"/>
        <w:rPr>
          <w:sz w:val="24"/>
        </w:rPr>
      </w:pPr>
      <w:r w:rsidRPr="00C328DE">
        <w:rPr>
          <w:sz w:val="24"/>
        </w:rPr>
        <w:t>Práce budou provedeny při zajištění veškeré nezbytné přepravy, vyložení, svislé dopravy, zabudování, ochrany, bezpečnostních opatření v rámci BOZP a PO, potřebných pracovních sil a materiálů, řízení prací, lešení, výrobních prostor a jiných dočasných prací, které jsou zapotřebí k řádnému provedení a předání předmětu díla, provedení všech předepsaných zkoušek a revizí.</w:t>
      </w:r>
    </w:p>
    <w:p w:rsidR="003C7384" w:rsidRDefault="0075034C" w:rsidP="00011E1E">
      <w:pPr>
        <w:numPr>
          <w:ilvl w:val="0"/>
          <w:numId w:val="5"/>
        </w:numPr>
        <w:spacing w:before="120"/>
        <w:jc w:val="both"/>
        <w:rPr>
          <w:sz w:val="24"/>
        </w:rPr>
      </w:pPr>
      <w:r w:rsidRPr="004162E0">
        <w:rPr>
          <w:sz w:val="24"/>
        </w:rPr>
        <w:t xml:space="preserve">Objednatel se zavazuje předat zhotoviteli </w:t>
      </w:r>
      <w:r w:rsidR="00705208" w:rsidRPr="004162E0">
        <w:rPr>
          <w:sz w:val="24"/>
        </w:rPr>
        <w:t xml:space="preserve">a zhotovitel převzít do 7 dnů od podpisu smlouvy </w:t>
      </w:r>
      <w:r w:rsidR="00E34397">
        <w:rPr>
          <w:sz w:val="24"/>
        </w:rPr>
        <w:t>místo plnění</w:t>
      </w:r>
      <w:r w:rsidRPr="004162E0">
        <w:rPr>
          <w:sz w:val="24"/>
        </w:rPr>
        <w:t xml:space="preserve"> způsobilé k řádnému a nerušenému plnění předmětu díla ve smyslu této smlouvy. </w:t>
      </w:r>
      <w:r w:rsidR="003C7384" w:rsidRPr="004162E0">
        <w:rPr>
          <w:sz w:val="24"/>
        </w:rPr>
        <w:t xml:space="preserve"> </w:t>
      </w:r>
    </w:p>
    <w:p w:rsidR="00F66257" w:rsidRPr="0007619F" w:rsidRDefault="00F66257" w:rsidP="00011E1E">
      <w:pPr>
        <w:numPr>
          <w:ilvl w:val="0"/>
          <w:numId w:val="5"/>
        </w:numPr>
        <w:spacing w:before="120"/>
        <w:jc w:val="both"/>
        <w:rPr>
          <w:sz w:val="24"/>
          <w:szCs w:val="24"/>
        </w:rPr>
      </w:pPr>
      <w:r w:rsidRPr="0007619F">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w:t>
      </w:r>
      <w:r w:rsidR="00463E6F">
        <w:rPr>
          <w:sz w:val="24"/>
          <w:szCs w:val="24"/>
        </w:rPr>
        <w:br/>
      </w:r>
      <w:r w:rsidRPr="0007619F">
        <w:rPr>
          <w:sz w:val="24"/>
          <w:szCs w:val="24"/>
        </w:rPr>
        <w:t>tj. při přejímacím řízení.</w:t>
      </w:r>
    </w:p>
    <w:p w:rsidR="002B65DD" w:rsidRPr="0007619F" w:rsidRDefault="00E34397" w:rsidP="00011E1E">
      <w:pPr>
        <w:numPr>
          <w:ilvl w:val="0"/>
          <w:numId w:val="5"/>
        </w:numPr>
        <w:spacing w:before="120"/>
        <w:jc w:val="both"/>
        <w:rPr>
          <w:sz w:val="24"/>
        </w:rPr>
      </w:pPr>
      <w:r w:rsidRPr="0007619F">
        <w:rPr>
          <w:sz w:val="24"/>
        </w:rPr>
        <w:lastRenderedPageBreak/>
        <w:t>Zhotovitel zahájí</w:t>
      </w:r>
      <w:r w:rsidR="002B65DD" w:rsidRPr="0007619F">
        <w:rPr>
          <w:sz w:val="24"/>
        </w:rPr>
        <w:t xml:space="preserve"> práce </w:t>
      </w:r>
      <w:r w:rsidR="00791998" w:rsidRPr="0007619F">
        <w:rPr>
          <w:sz w:val="24"/>
        </w:rPr>
        <w:t>bez zbytečného odkladu</w:t>
      </w:r>
      <w:r w:rsidRPr="0007619F">
        <w:rPr>
          <w:sz w:val="24"/>
        </w:rPr>
        <w:t xml:space="preserve"> po předání místa </w:t>
      </w:r>
      <w:r w:rsidR="003A0942" w:rsidRPr="0007619F">
        <w:rPr>
          <w:sz w:val="24"/>
        </w:rPr>
        <w:t xml:space="preserve">plnění </w:t>
      </w:r>
      <w:r w:rsidR="002B65DD" w:rsidRPr="0007619F">
        <w:rPr>
          <w:sz w:val="24"/>
        </w:rPr>
        <w:t xml:space="preserve">objednatelem a ukončí stavební práce nejpozději do termínu </w:t>
      </w:r>
      <w:r w:rsidR="002354D1" w:rsidRPr="0007619F">
        <w:rPr>
          <w:sz w:val="24"/>
        </w:rPr>
        <w:t>uvedeného</w:t>
      </w:r>
      <w:r w:rsidR="002B65DD" w:rsidRPr="0007619F">
        <w:rPr>
          <w:sz w:val="24"/>
        </w:rPr>
        <w:t xml:space="preserve"> v</w:t>
      </w:r>
      <w:r w:rsidR="00791998" w:rsidRPr="0007619F">
        <w:rPr>
          <w:sz w:val="24"/>
        </w:rPr>
        <w:t> článku</w:t>
      </w:r>
      <w:r w:rsidR="002354D1" w:rsidRPr="0007619F">
        <w:rPr>
          <w:sz w:val="24"/>
        </w:rPr>
        <w:t xml:space="preserve"> </w:t>
      </w:r>
      <w:r w:rsidR="003C7384" w:rsidRPr="0007619F">
        <w:rPr>
          <w:sz w:val="24"/>
        </w:rPr>
        <w:t xml:space="preserve">II. </w:t>
      </w:r>
      <w:r w:rsidR="00791998" w:rsidRPr="0007619F">
        <w:rPr>
          <w:sz w:val="24"/>
        </w:rPr>
        <w:t> </w:t>
      </w:r>
      <w:r w:rsidR="002B65DD" w:rsidRPr="0007619F">
        <w:rPr>
          <w:sz w:val="24"/>
        </w:rPr>
        <w:t>této smlouvy.</w:t>
      </w:r>
    </w:p>
    <w:p w:rsidR="00613305" w:rsidRPr="0007619F" w:rsidRDefault="0075034C" w:rsidP="00011E1E">
      <w:pPr>
        <w:numPr>
          <w:ilvl w:val="0"/>
          <w:numId w:val="5"/>
        </w:numPr>
        <w:spacing w:before="120"/>
        <w:jc w:val="both"/>
        <w:rPr>
          <w:b/>
          <w:sz w:val="24"/>
        </w:rPr>
      </w:pPr>
      <w:r w:rsidRPr="0007619F">
        <w:rPr>
          <w:sz w:val="24"/>
        </w:rPr>
        <w:t>Objednatel se zavazuje, že umožní po dokončení díla zhotoviteli přístup do objektu díla za účelem odstranění případných vad.</w:t>
      </w:r>
    </w:p>
    <w:p w:rsidR="00613305" w:rsidRPr="00613305" w:rsidRDefault="00613305" w:rsidP="00011E1E">
      <w:pPr>
        <w:numPr>
          <w:ilvl w:val="0"/>
          <w:numId w:val="5"/>
        </w:numPr>
        <w:tabs>
          <w:tab w:val="left" w:pos="0"/>
        </w:tabs>
        <w:spacing w:before="120"/>
        <w:jc w:val="both"/>
        <w:rPr>
          <w:b/>
          <w:color w:val="FF0000"/>
          <w:sz w:val="24"/>
        </w:rPr>
      </w:pPr>
      <w:r w:rsidRPr="0007619F">
        <w:rPr>
          <w:sz w:val="24"/>
        </w:rPr>
        <w:t>Objednatel je oprávněn průběžně kontrolovat provádění díla formou kontrolních dnů, kdy 1. kontrolní den stanoví objednatel při předání staveniště. Další kontrolní den bude stanoven po dohodě se zhotovitelem</w:t>
      </w:r>
      <w:r w:rsidRPr="00613305">
        <w:rPr>
          <w:color w:val="FF0000"/>
          <w:sz w:val="24"/>
        </w:rPr>
        <w:t>.</w:t>
      </w:r>
    </w:p>
    <w:p w:rsidR="00455900" w:rsidRPr="00F8388B" w:rsidRDefault="003972B8" w:rsidP="00011E1E">
      <w:pPr>
        <w:numPr>
          <w:ilvl w:val="0"/>
          <w:numId w:val="5"/>
        </w:numPr>
        <w:spacing w:before="120"/>
        <w:jc w:val="both"/>
        <w:rPr>
          <w:b/>
          <w:sz w:val="24"/>
        </w:rPr>
      </w:pPr>
      <w:r w:rsidRPr="00F8388B">
        <w:rPr>
          <w:sz w:val="24"/>
        </w:rPr>
        <w:t xml:space="preserve">Zhotovitel je povinen písemně vyzvat objednatele k převzetí konstrukcí, které budou zakryty, minimálně 3 pracovní dny předem. O převzetí konstrukcí bude </w:t>
      </w:r>
      <w:r w:rsidR="003A0942" w:rsidRPr="00F8388B">
        <w:rPr>
          <w:sz w:val="24"/>
        </w:rPr>
        <w:t>učiněn zápis</w:t>
      </w:r>
      <w:r w:rsidRPr="00F8388B">
        <w:rPr>
          <w:sz w:val="24"/>
        </w:rPr>
        <w:t>.</w:t>
      </w:r>
    </w:p>
    <w:p w:rsidR="00455900" w:rsidRPr="00933172" w:rsidRDefault="00455900" w:rsidP="00011E1E">
      <w:pPr>
        <w:numPr>
          <w:ilvl w:val="0"/>
          <w:numId w:val="5"/>
        </w:numPr>
        <w:tabs>
          <w:tab w:val="left" w:pos="0"/>
        </w:tabs>
        <w:spacing w:before="120"/>
        <w:jc w:val="both"/>
        <w:rPr>
          <w:b/>
          <w:sz w:val="24"/>
        </w:rPr>
      </w:pPr>
      <w:r w:rsidRPr="00095FDB">
        <w:rPr>
          <w:sz w:val="24"/>
        </w:rPr>
        <w:t>V případě, že dojde ke změně subdodavatele, prostřednictvím, kterého zhotovitel prokazoval v zadávacím řízení kvalifikaci, je zhotovitel povinen před jeho změnou objednatele písemně informovat a vyžádat si jeho souhlasné stanovisko.</w:t>
      </w:r>
    </w:p>
    <w:p w:rsidR="00933172" w:rsidRPr="00E34397" w:rsidRDefault="00933172" w:rsidP="00011E1E">
      <w:pPr>
        <w:numPr>
          <w:ilvl w:val="0"/>
          <w:numId w:val="5"/>
        </w:numPr>
        <w:tabs>
          <w:tab w:val="left" w:pos="0"/>
        </w:tabs>
        <w:spacing w:before="120"/>
        <w:jc w:val="both"/>
        <w:rPr>
          <w:sz w:val="24"/>
        </w:rPr>
      </w:pPr>
      <w:r w:rsidRPr="00E34397">
        <w:rPr>
          <w:sz w:val="24"/>
        </w:rPr>
        <w:t xml:space="preserve">Původcem </w:t>
      </w:r>
      <w:r w:rsidR="004E0BD0">
        <w:rPr>
          <w:sz w:val="24"/>
        </w:rPr>
        <w:t xml:space="preserve">veškerého </w:t>
      </w:r>
      <w:r w:rsidRPr="00E34397">
        <w:rPr>
          <w:sz w:val="24"/>
        </w:rPr>
        <w:t>odpadu</w:t>
      </w:r>
      <w:r w:rsidR="004E0BD0">
        <w:rPr>
          <w:sz w:val="24"/>
        </w:rPr>
        <w:t xml:space="preserve"> vzniklého v souvislosti s realizací díla</w:t>
      </w:r>
      <w:r w:rsidRPr="00E34397">
        <w:rPr>
          <w:sz w:val="24"/>
        </w:rPr>
        <w:t xml:space="preserve"> je zhotovitel.</w:t>
      </w:r>
    </w:p>
    <w:p w:rsidR="00672836" w:rsidRDefault="00672836" w:rsidP="00011E1E">
      <w:pPr>
        <w:pStyle w:val="Nadpis6"/>
        <w:keepNext w:val="0"/>
        <w:spacing w:beforeLines="20" w:before="48" w:after="120"/>
        <w:jc w:val="both"/>
        <w:rPr>
          <w:rFonts w:ascii="Times New Roman" w:hAnsi="Times New Roman"/>
        </w:rPr>
      </w:pPr>
    </w:p>
    <w:p w:rsidR="00584815" w:rsidRPr="00584815" w:rsidRDefault="00584815" w:rsidP="00584815"/>
    <w:p w:rsidR="00AE2642" w:rsidRDefault="00F866AD" w:rsidP="00584815">
      <w:pPr>
        <w:pStyle w:val="Nadpis6"/>
        <w:keepNext w:val="0"/>
        <w:tabs>
          <w:tab w:val="center" w:pos="4253"/>
        </w:tabs>
        <w:spacing w:beforeLines="20" w:before="48" w:after="120"/>
        <w:rPr>
          <w:rFonts w:ascii="Times New Roman" w:hAnsi="Times New Roman"/>
        </w:rPr>
      </w:pPr>
      <w:r w:rsidRPr="00095FDB">
        <w:rPr>
          <w:rFonts w:ascii="Times New Roman" w:hAnsi="Times New Roman"/>
        </w:rPr>
        <w:t xml:space="preserve">VI. </w:t>
      </w:r>
      <w:r w:rsidR="00AE2642" w:rsidRPr="00095FDB">
        <w:rPr>
          <w:rFonts w:ascii="Times New Roman" w:hAnsi="Times New Roman"/>
        </w:rPr>
        <w:t>Odpovědnost za vady – záruka</w:t>
      </w:r>
    </w:p>
    <w:p w:rsidR="002354D1" w:rsidRPr="007008ED" w:rsidRDefault="002354D1" w:rsidP="00011E1E">
      <w:pPr>
        <w:jc w:val="both"/>
      </w:pPr>
    </w:p>
    <w:p w:rsidR="00AE2642" w:rsidRPr="007008ED" w:rsidRDefault="00AE2642" w:rsidP="00011E1E">
      <w:pPr>
        <w:numPr>
          <w:ilvl w:val="0"/>
          <w:numId w:val="6"/>
        </w:numPr>
        <w:spacing w:beforeLines="20" w:before="48"/>
        <w:jc w:val="both"/>
        <w:rPr>
          <w:sz w:val="24"/>
        </w:rPr>
      </w:pPr>
      <w:r w:rsidRPr="007008ED">
        <w:rPr>
          <w:sz w:val="24"/>
        </w:rPr>
        <w:t>Záruční doba na provedené dílo je</w:t>
      </w:r>
      <w:r w:rsidR="00D012E1" w:rsidRPr="007008ED">
        <w:rPr>
          <w:sz w:val="24"/>
        </w:rPr>
        <w:t xml:space="preserve"> </w:t>
      </w:r>
      <w:r w:rsidR="00D012E1" w:rsidRPr="00011E1E">
        <w:rPr>
          <w:sz w:val="24"/>
        </w:rPr>
        <w:t>60</w:t>
      </w:r>
      <w:r w:rsidR="004162E0" w:rsidRPr="00011E1E">
        <w:rPr>
          <w:sz w:val="24"/>
        </w:rPr>
        <w:t xml:space="preserve"> </w:t>
      </w:r>
      <w:r w:rsidR="00783D5E" w:rsidRPr="00011E1E">
        <w:rPr>
          <w:sz w:val="24"/>
        </w:rPr>
        <w:t>měsíců.</w:t>
      </w:r>
    </w:p>
    <w:p w:rsidR="0075034C" w:rsidRDefault="0075034C" w:rsidP="00011E1E">
      <w:pPr>
        <w:numPr>
          <w:ilvl w:val="0"/>
          <w:numId w:val="6"/>
        </w:numPr>
        <w:spacing w:before="120"/>
        <w:jc w:val="both"/>
        <w:rPr>
          <w:sz w:val="24"/>
        </w:rPr>
      </w:pPr>
      <w:r w:rsidRPr="00095FDB">
        <w:rPr>
          <w:sz w:val="24"/>
        </w:rPr>
        <w:t xml:space="preserve">Záruční doba počíná běžet dnem řádného dokončení díla, po odstranění všech </w:t>
      </w:r>
      <w:r w:rsidRPr="0007619F">
        <w:rPr>
          <w:sz w:val="24"/>
        </w:rPr>
        <w:t>případných vad z úspěšného přejímacího řízení. Zhotovitel zabezpečí odstranění případných skrytých vad díla, zjištěných v záruční době nejpozději do</w:t>
      </w:r>
      <w:r w:rsidR="00F66257" w:rsidRPr="0007619F">
        <w:rPr>
          <w:sz w:val="24"/>
        </w:rPr>
        <w:t xml:space="preserve"> </w:t>
      </w:r>
      <w:r w:rsidR="007F77A7" w:rsidRPr="0007619F">
        <w:rPr>
          <w:sz w:val="24"/>
        </w:rPr>
        <w:t>5</w:t>
      </w:r>
      <w:r w:rsidR="00F66257" w:rsidRPr="0007619F">
        <w:rPr>
          <w:sz w:val="24"/>
        </w:rPr>
        <w:t xml:space="preserve"> </w:t>
      </w:r>
      <w:r w:rsidR="008249EE" w:rsidRPr="0007619F">
        <w:rPr>
          <w:sz w:val="24"/>
        </w:rPr>
        <w:t xml:space="preserve">pracovních </w:t>
      </w:r>
      <w:r w:rsidR="00F66257" w:rsidRPr="0007619F">
        <w:rPr>
          <w:sz w:val="24"/>
        </w:rPr>
        <w:t>dní</w:t>
      </w:r>
      <w:r w:rsidRPr="0007619F">
        <w:rPr>
          <w:sz w:val="24"/>
        </w:rPr>
        <w:t xml:space="preserve"> od nahlášení závad.</w:t>
      </w:r>
    </w:p>
    <w:p w:rsidR="0075034C" w:rsidRPr="00095FDB" w:rsidRDefault="0075034C" w:rsidP="00011E1E">
      <w:pPr>
        <w:numPr>
          <w:ilvl w:val="0"/>
          <w:numId w:val="6"/>
        </w:numPr>
        <w:spacing w:before="120"/>
        <w:jc w:val="both"/>
        <w:rPr>
          <w:sz w:val="24"/>
        </w:rPr>
      </w:pPr>
      <w:r w:rsidRPr="00095FDB">
        <w:rPr>
          <w:sz w:val="24"/>
        </w:rPr>
        <w:t xml:space="preserve">V záruční době se odstraňují skryté vady zdarma. </w:t>
      </w:r>
    </w:p>
    <w:p w:rsidR="0075034C" w:rsidRPr="00095FDB" w:rsidRDefault="0075034C" w:rsidP="00011E1E">
      <w:pPr>
        <w:numPr>
          <w:ilvl w:val="0"/>
          <w:numId w:val="6"/>
        </w:numPr>
        <w:spacing w:before="120"/>
        <w:jc w:val="both"/>
        <w:rPr>
          <w:sz w:val="24"/>
        </w:rPr>
      </w:pPr>
      <w:r w:rsidRPr="00095FDB">
        <w:rPr>
          <w:sz w:val="24"/>
        </w:rPr>
        <w:t>Objednatel se zavazuje, že případnou reklamaci vady díla uplatní bez zbytečného odkladu po jejím zjištění, písemně do rukou oprávněného zástupce zhotovitele.</w:t>
      </w:r>
    </w:p>
    <w:p w:rsidR="0075034C" w:rsidRPr="00095FDB" w:rsidRDefault="0075034C" w:rsidP="00011E1E">
      <w:pPr>
        <w:numPr>
          <w:ilvl w:val="0"/>
          <w:numId w:val="6"/>
        </w:numPr>
        <w:spacing w:before="120"/>
        <w:jc w:val="both"/>
        <w:rPr>
          <w:b/>
          <w:sz w:val="24"/>
        </w:rPr>
      </w:pPr>
      <w:r w:rsidRPr="00095FDB">
        <w:rPr>
          <w:sz w:val="24"/>
        </w:rPr>
        <w:t>Po dobu záruční doby nesmí dojít bez souhlasu zhotovitele k zásahům do provedeného díla. V opačném případě ztrácí objednatel právo reklamace a záruční doba končí okamžikem neoprávněného zásahu na díle.</w:t>
      </w:r>
    </w:p>
    <w:p w:rsidR="00B46B1D" w:rsidRDefault="00B46B1D" w:rsidP="00011E1E">
      <w:pPr>
        <w:jc w:val="both"/>
      </w:pPr>
    </w:p>
    <w:p w:rsidR="00B46B1D" w:rsidRDefault="00B46B1D" w:rsidP="00011E1E">
      <w:pPr>
        <w:jc w:val="both"/>
      </w:pPr>
    </w:p>
    <w:p w:rsidR="00584815" w:rsidRPr="00B46B1D" w:rsidRDefault="00584815" w:rsidP="00011E1E">
      <w:pPr>
        <w:jc w:val="both"/>
      </w:pPr>
    </w:p>
    <w:p w:rsidR="00AE2642" w:rsidRDefault="00F866AD" w:rsidP="00584815">
      <w:pPr>
        <w:pStyle w:val="Nadpis6"/>
        <w:keepNext w:val="0"/>
        <w:spacing w:beforeLines="20" w:before="48" w:after="120"/>
        <w:rPr>
          <w:rFonts w:ascii="Times New Roman" w:hAnsi="Times New Roman"/>
        </w:rPr>
      </w:pPr>
      <w:r w:rsidRPr="00095FDB">
        <w:rPr>
          <w:rFonts w:ascii="Times New Roman" w:hAnsi="Times New Roman"/>
        </w:rPr>
        <w:t xml:space="preserve">VII. </w:t>
      </w:r>
      <w:r w:rsidR="00AE2642" w:rsidRPr="00095FDB">
        <w:rPr>
          <w:rFonts w:ascii="Times New Roman" w:hAnsi="Times New Roman"/>
        </w:rPr>
        <w:t>ZVLÁŠTNÍ UJEDNÁNÍ</w:t>
      </w:r>
    </w:p>
    <w:p w:rsidR="002354D1" w:rsidRPr="002354D1" w:rsidRDefault="002354D1" w:rsidP="00011E1E">
      <w:pPr>
        <w:jc w:val="both"/>
      </w:pPr>
    </w:p>
    <w:p w:rsidR="0075034C" w:rsidRDefault="0075034C" w:rsidP="00011E1E">
      <w:pPr>
        <w:numPr>
          <w:ilvl w:val="0"/>
          <w:numId w:val="17"/>
        </w:numPr>
        <w:spacing w:after="120"/>
        <w:jc w:val="both"/>
        <w:rPr>
          <w:sz w:val="24"/>
        </w:rPr>
      </w:pPr>
      <w:r w:rsidRPr="00095FDB">
        <w:rPr>
          <w:sz w:val="24"/>
        </w:rPr>
        <w:t>Zhotovitel je povinen po celou dobu realizace díla dodržovat na převzatém staveništi čistotu a pořádek.</w:t>
      </w:r>
    </w:p>
    <w:p w:rsidR="002354D1" w:rsidRPr="00F634A8" w:rsidRDefault="002354D1" w:rsidP="00011E1E">
      <w:pPr>
        <w:numPr>
          <w:ilvl w:val="0"/>
          <w:numId w:val="17"/>
        </w:numPr>
        <w:tabs>
          <w:tab w:val="right" w:pos="4253"/>
        </w:tabs>
        <w:spacing w:after="120"/>
        <w:jc w:val="both"/>
        <w:rPr>
          <w:sz w:val="24"/>
          <w:szCs w:val="24"/>
        </w:rPr>
      </w:pPr>
      <w:r w:rsidRPr="00095FDB">
        <w:rPr>
          <w:sz w:val="24"/>
          <w:szCs w:val="24"/>
        </w:rPr>
        <w:t>Technický dozor nesmí provádět zhotovitel ani osoba s ním propojená dle § 46d zákona č. 137/2006 Sb.</w:t>
      </w:r>
    </w:p>
    <w:p w:rsidR="0075034C" w:rsidRPr="00095FDB" w:rsidRDefault="003A0942" w:rsidP="00011E1E">
      <w:pPr>
        <w:numPr>
          <w:ilvl w:val="0"/>
          <w:numId w:val="17"/>
        </w:numPr>
        <w:spacing w:before="120"/>
        <w:jc w:val="both"/>
        <w:rPr>
          <w:sz w:val="24"/>
        </w:rPr>
      </w:pPr>
      <w:r>
        <w:rPr>
          <w:sz w:val="24"/>
        </w:rPr>
        <w:t>Převzetím místa plnění</w:t>
      </w:r>
      <w:r w:rsidR="0075034C" w:rsidRPr="00095FDB">
        <w:rPr>
          <w:sz w:val="24"/>
        </w:rPr>
        <w:t xml:space="preserve"> zhotovitel přebírá v plném rozsahu odpovědnost </w:t>
      </w:r>
      <w:r w:rsidR="008536EB">
        <w:rPr>
          <w:sz w:val="24"/>
        </w:rPr>
        <w:br/>
      </w:r>
      <w:r w:rsidR="0075034C" w:rsidRPr="00095FDB">
        <w:rPr>
          <w:sz w:val="24"/>
        </w:rPr>
        <w:t xml:space="preserve">za dodržování </w:t>
      </w:r>
      <w:r w:rsidR="00C12C0B" w:rsidRPr="00095FDB">
        <w:rPr>
          <w:sz w:val="24"/>
        </w:rPr>
        <w:t xml:space="preserve">platných </w:t>
      </w:r>
      <w:r w:rsidR="0075034C" w:rsidRPr="00095FDB">
        <w:rPr>
          <w:sz w:val="24"/>
        </w:rPr>
        <w:t xml:space="preserve">předpisů zajišťujících bezpečnost a ochranu zdraví, </w:t>
      </w:r>
      <w:r w:rsidR="008536EB">
        <w:rPr>
          <w:sz w:val="24"/>
        </w:rPr>
        <w:br/>
      </w:r>
      <w:r w:rsidR="0075034C" w:rsidRPr="00095FDB">
        <w:rPr>
          <w:sz w:val="24"/>
        </w:rPr>
        <w:t>za dodržování příslušných protipožárních opatření a hygienických předpisů</w:t>
      </w:r>
      <w:r w:rsidR="00C12C0B" w:rsidRPr="00095FDB">
        <w:rPr>
          <w:sz w:val="24"/>
        </w:rPr>
        <w:t xml:space="preserve"> a ČSN.</w:t>
      </w:r>
    </w:p>
    <w:p w:rsidR="00197CB7" w:rsidRPr="00095FDB" w:rsidRDefault="003A0942" w:rsidP="00011E1E">
      <w:pPr>
        <w:numPr>
          <w:ilvl w:val="0"/>
          <w:numId w:val="17"/>
        </w:numPr>
        <w:spacing w:before="120"/>
        <w:jc w:val="both"/>
        <w:rPr>
          <w:sz w:val="24"/>
        </w:rPr>
      </w:pPr>
      <w:r>
        <w:rPr>
          <w:sz w:val="24"/>
        </w:rPr>
        <w:t>Odstranění zařízení a vyklizení místa plnění</w:t>
      </w:r>
      <w:r w:rsidR="00197CB7" w:rsidRPr="00095FDB">
        <w:rPr>
          <w:sz w:val="24"/>
        </w:rPr>
        <w:t xml:space="preserve"> </w:t>
      </w:r>
      <w:r w:rsidR="0004438B" w:rsidRPr="00095FDB">
        <w:rPr>
          <w:sz w:val="24"/>
        </w:rPr>
        <w:t xml:space="preserve">bude provedeno nejpozději </w:t>
      </w:r>
      <w:r w:rsidR="008536EB">
        <w:rPr>
          <w:sz w:val="24"/>
        </w:rPr>
        <w:br/>
      </w:r>
      <w:r w:rsidR="00F76CCA">
        <w:rPr>
          <w:sz w:val="24"/>
        </w:rPr>
        <w:t>do 7 </w:t>
      </w:r>
      <w:r w:rsidR="00AB62F1" w:rsidRPr="00095FDB">
        <w:rPr>
          <w:sz w:val="24"/>
        </w:rPr>
        <w:t>kalendářních</w:t>
      </w:r>
      <w:r w:rsidR="0004438B" w:rsidRPr="00095FDB">
        <w:rPr>
          <w:sz w:val="24"/>
        </w:rPr>
        <w:t xml:space="preserve"> dnů ode dne</w:t>
      </w:r>
      <w:r w:rsidR="00197CB7" w:rsidRPr="00095FDB">
        <w:rPr>
          <w:sz w:val="24"/>
        </w:rPr>
        <w:t xml:space="preserve"> předání a převzetí díla.</w:t>
      </w:r>
    </w:p>
    <w:p w:rsidR="0075034C" w:rsidRDefault="0075034C" w:rsidP="00011E1E">
      <w:pPr>
        <w:numPr>
          <w:ilvl w:val="0"/>
          <w:numId w:val="17"/>
        </w:numPr>
        <w:spacing w:before="120"/>
        <w:jc w:val="both"/>
        <w:rPr>
          <w:sz w:val="24"/>
        </w:rPr>
      </w:pPr>
      <w:r w:rsidRPr="00095FDB">
        <w:rPr>
          <w:sz w:val="24"/>
        </w:rPr>
        <w:lastRenderedPageBreak/>
        <w:t>Zhotovitel se zavazuje, že všechny materiály a výrobky použité při plnění díla budou mít zákonem stanovené vlastnosti. Použité výrobky budou splňovat technické požadavky stanovené zákonem č. 22/1997 Sb., v platném znění a předpisy souvisejícími.</w:t>
      </w:r>
    </w:p>
    <w:p w:rsidR="00EA3BE5" w:rsidRPr="00654A49" w:rsidRDefault="00EA3BE5" w:rsidP="00011E1E">
      <w:pPr>
        <w:numPr>
          <w:ilvl w:val="0"/>
          <w:numId w:val="17"/>
        </w:numPr>
        <w:spacing w:before="120"/>
        <w:jc w:val="both"/>
        <w:rPr>
          <w:color w:val="000000" w:themeColor="text1"/>
          <w:sz w:val="24"/>
        </w:rPr>
      </w:pPr>
      <w:r w:rsidRPr="00EA3BE5">
        <w:rPr>
          <w:sz w:val="24"/>
        </w:rPr>
        <w:t xml:space="preserve">Všichni pracovníci realizace díla musí být státními příslušníky členských států EU nebo členských zemí NATO - realizace probíhá </w:t>
      </w:r>
      <w:r w:rsidR="00406998">
        <w:rPr>
          <w:rFonts w:eastAsia="Calibri"/>
          <w:sz w:val="24"/>
          <w:szCs w:val="24"/>
        </w:rPr>
        <w:t xml:space="preserve">na zařízení </w:t>
      </w:r>
      <w:r w:rsidR="001A6F2A" w:rsidRPr="00654A49">
        <w:rPr>
          <w:rFonts w:eastAsia="Calibri"/>
          <w:color w:val="000000" w:themeColor="text1"/>
          <w:sz w:val="24"/>
          <w:szCs w:val="24"/>
        </w:rPr>
        <w:t>ministerstva obrany.</w:t>
      </w:r>
    </w:p>
    <w:p w:rsidR="00197CB7" w:rsidRDefault="00197CB7" w:rsidP="00011E1E">
      <w:pPr>
        <w:numPr>
          <w:ilvl w:val="0"/>
          <w:numId w:val="17"/>
        </w:numPr>
        <w:spacing w:before="120" w:after="120"/>
        <w:jc w:val="both"/>
        <w:rPr>
          <w:sz w:val="24"/>
        </w:rPr>
      </w:pPr>
      <w:r w:rsidRPr="00095FDB">
        <w:rPr>
          <w:sz w:val="24"/>
        </w:rPr>
        <w:t>Zhotovitel souhlasí se zveřejněním smlouvy na</w:t>
      </w:r>
      <w:r w:rsidR="00971C78">
        <w:rPr>
          <w:sz w:val="24"/>
        </w:rPr>
        <w:t xml:space="preserve"> internetový stránkách objednatele</w:t>
      </w:r>
      <w:r w:rsidR="0044413B" w:rsidRPr="00E76541">
        <w:rPr>
          <w:sz w:val="24"/>
        </w:rPr>
        <w:t>.</w:t>
      </w:r>
      <w:r w:rsidR="00654A49">
        <w:rPr>
          <w:sz w:val="24"/>
        </w:rPr>
        <w:t xml:space="preserve"> </w:t>
      </w:r>
    </w:p>
    <w:p w:rsidR="00FB3861" w:rsidRPr="0007619F" w:rsidRDefault="00FB3861" w:rsidP="00011E1E">
      <w:pPr>
        <w:numPr>
          <w:ilvl w:val="0"/>
          <w:numId w:val="17"/>
        </w:numPr>
        <w:autoSpaceDE w:val="0"/>
        <w:autoSpaceDN w:val="0"/>
        <w:adjustRightInd w:val="0"/>
        <w:spacing w:after="120"/>
        <w:jc w:val="both"/>
        <w:rPr>
          <w:sz w:val="24"/>
          <w:szCs w:val="24"/>
        </w:rPr>
      </w:pPr>
      <w:r w:rsidRPr="00BE1AD9">
        <w:rPr>
          <w:sz w:val="24"/>
          <w:szCs w:val="24"/>
        </w:rPr>
        <w:t>Zhotovitel</w:t>
      </w:r>
      <w:r w:rsidRPr="00BE1AD9">
        <w:rPr>
          <w:bCs/>
          <w:sz w:val="24"/>
          <w:szCs w:val="24"/>
        </w:rPr>
        <w:t xml:space="preserve"> </w:t>
      </w:r>
      <w:r>
        <w:rPr>
          <w:bCs/>
          <w:sz w:val="24"/>
          <w:szCs w:val="24"/>
        </w:rPr>
        <w:t xml:space="preserve">čestně prohlašuje, že před podpisem smlouvy bude mít uzavřenou jedinou pojistnou smlouvu, jejímž předmětem je pojištění odpovědnosti za škodu způsobenou zhotovitelem třetí osobě ve výši </w:t>
      </w:r>
      <w:r w:rsidRPr="007008ED">
        <w:rPr>
          <w:bCs/>
          <w:sz w:val="24"/>
          <w:szCs w:val="24"/>
        </w:rPr>
        <w:t xml:space="preserve">minimálně </w:t>
      </w:r>
      <w:r w:rsidR="00463E6F" w:rsidRPr="00011E1E">
        <w:rPr>
          <w:bCs/>
          <w:sz w:val="24"/>
          <w:szCs w:val="24"/>
        </w:rPr>
        <w:t>1</w:t>
      </w:r>
      <w:r w:rsidR="00011E1E">
        <w:rPr>
          <w:bCs/>
          <w:sz w:val="24"/>
          <w:szCs w:val="24"/>
        </w:rPr>
        <w:t> 000 000</w:t>
      </w:r>
      <w:r w:rsidRPr="00011E1E">
        <w:rPr>
          <w:bCs/>
          <w:sz w:val="24"/>
          <w:szCs w:val="24"/>
        </w:rPr>
        <w:t xml:space="preserve"> Kč</w:t>
      </w:r>
      <w:r>
        <w:rPr>
          <w:bCs/>
          <w:sz w:val="24"/>
          <w:szCs w:val="24"/>
        </w:rPr>
        <w:t xml:space="preserve">. Tato </w:t>
      </w:r>
      <w:r w:rsidRPr="0007619F">
        <w:rPr>
          <w:bCs/>
          <w:sz w:val="24"/>
          <w:szCs w:val="24"/>
        </w:rPr>
        <w:t>smlouva bude platná po celou dobu realizace předmětu díla.</w:t>
      </w:r>
    </w:p>
    <w:p w:rsidR="001A6F2A" w:rsidRDefault="001A6F2A" w:rsidP="00011E1E">
      <w:pPr>
        <w:autoSpaceDE w:val="0"/>
        <w:autoSpaceDN w:val="0"/>
        <w:adjustRightInd w:val="0"/>
        <w:jc w:val="both"/>
        <w:rPr>
          <w:sz w:val="24"/>
          <w:szCs w:val="24"/>
        </w:rPr>
      </w:pPr>
    </w:p>
    <w:p w:rsidR="00584815" w:rsidRDefault="00584815" w:rsidP="00011E1E">
      <w:pPr>
        <w:autoSpaceDE w:val="0"/>
        <w:autoSpaceDN w:val="0"/>
        <w:adjustRightInd w:val="0"/>
        <w:jc w:val="both"/>
        <w:rPr>
          <w:sz w:val="24"/>
          <w:szCs w:val="24"/>
        </w:rPr>
      </w:pPr>
    </w:p>
    <w:p w:rsidR="00AE2642" w:rsidRDefault="00F55D7F" w:rsidP="00011E1E">
      <w:pPr>
        <w:pStyle w:val="Nadpis6"/>
        <w:keepNext w:val="0"/>
        <w:tabs>
          <w:tab w:val="center" w:pos="4253"/>
        </w:tabs>
        <w:spacing w:beforeLines="20" w:before="48" w:after="120"/>
        <w:jc w:val="both"/>
        <w:rPr>
          <w:rFonts w:ascii="Times New Roman" w:hAnsi="Times New Roman"/>
        </w:rPr>
      </w:pPr>
      <w:r w:rsidRPr="00F55D7F">
        <w:rPr>
          <w:rFonts w:ascii="Times New Roman" w:hAnsi="Times New Roman"/>
          <w:u w:val="none"/>
        </w:rPr>
        <w:tab/>
      </w:r>
      <w:r w:rsidR="00F866AD" w:rsidRPr="00095FDB">
        <w:rPr>
          <w:rFonts w:ascii="Times New Roman" w:hAnsi="Times New Roman"/>
        </w:rPr>
        <w:t xml:space="preserve">VIII. </w:t>
      </w:r>
      <w:r w:rsidR="00AE2642" w:rsidRPr="00095FDB">
        <w:rPr>
          <w:rFonts w:ascii="Times New Roman" w:hAnsi="Times New Roman"/>
        </w:rPr>
        <w:t>PŘEDÁNÍ DÍLA</w:t>
      </w:r>
    </w:p>
    <w:p w:rsidR="00EA3BE5" w:rsidRPr="00EA3BE5" w:rsidRDefault="00EA3BE5" w:rsidP="00011E1E">
      <w:pPr>
        <w:jc w:val="both"/>
      </w:pPr>
    </w:p>
    <w:p w:rsidR="00AE2642" w:rsidRDefault="009F4FB9" w:rsidP="00011E1E">
      <w:pPr>
        <w:shd w:val="clear" w:color="00FFFF" w:fill="auto"/>
        <w:ind w:left="851" w:hanging="851"/>
        <w:jc w:val="both"/>
        <w:rPr>
          <w:sz w:val="24"/>
        </w:rPr>
      </w:pPr>
      <w:r w:rsidRPr="004C0F09">
        <w:rPr>
          <w:sz w:val="24"/>
        </w:rPr>
        <w:t>8.1</w:t>
      </w:r>
      <w:r>
        <w:rPr>
          <w:sz w:val="24"/>
        </w:rPr>
        <w:t xml:space="preserve"> </w:t>
      </w:r>
      <w:r>
        <w:rPr>
          <w:sz w:val="24"/>
        </w:rPr>
        <w:tab/>
      </w:r>
      <w:r w:rsidR="0075034C" w:rsidRPr="00095FDB">
        <w:rPr>
          <w:sz w:val="24"/>
        </w:rPr>
        <w:t>Zhotovitel oznámí objednateli 7 dnů předem termín, kdy dílo bude dokončeno a připraveno k předání. O předání díla bude proveden zápis o předání a převzetí dokončeného díla, který podepíší zástupci obou smluvníc</w:t>
      </w:r>
      <w:r w:rsidR="00197CB7" w:rsidRPr="00095FDB">
        <w:rPr>
          <w:sz w:val="24"/>
        </w:rPr>
        <w:t>h stran, a při kterém zhotovitel předá a objednatel pře</w:t>
      </w:r>
      <w:r w:rsidR="002354D1">
        <w:rPr>
          <w:sz w:val="24"/>
        </w:rPr>
        <w:t xml:space="preserve">vezme veškerou dokumentaci dle </w:t>
      </w:r>
      <w:r w:rsidR="00654A49">
        <w:rPr>
          <w:sz w:val="24"/>
        </w:rPr>
        <w:t>č</w:t>
      </w:r>
      <w:r w:rsidR="00197CB7" w:rsidRPr="00095FDB">
        <w:rPr>
          <w:sz w:val="24"/>
        </w:rPr>
        <w:t xml:space="preserve">lánku </w:t>
      </w:r>
      <w:r w:rsidR="008536EB">
        <w:rPr>
          <w:sz w:val="24"/>
        </w:rPr>
        <w:t>I.</w:t>
      </w:r>
      <w:r w:rsidR="00197CB7" w:rsidRPr="00095FDB">
        <w:rPr>
          <w:sz w:val="24"/>
        </w:rPr>
        <w:t xml:space="preserve"> této smlouvy.</w:t>
      </w:r>
    </w:p>
    <w:p w:rsidR="00584815" w:rsidRDefault="00584815" w:rsidP="00011E1E">
      <w:pPr>
        <w:shd w:val="clear" w:color="00FFFF" w:fill="auto"/>
        <w:ind w:left="851" w:hanging="851"/>
        <w:jc w:val="both"/>
        <w:rPr>
          <w:sz w:val="24"/>
        </w:rPr>
      </w:pPr>
    </w:p>
    <w:p w:rsidR="00584815" w:rsidRPr="00095FDB" w:rsidRDefault="00584815" w:rsidP="00011E1E">
      <w:pPr>
        <w:shd w:val="clear" w:color="00FFFF" w:fill="auto"/>
        <w:ind w:left="851" w:hanging="851"/>
        <w:jc w:val="both"/>
        <w:rPr>
          <w:sz w:val="24"/>
        </w:rPr>
      </w:pPr>
    </w:p>
    <w:p w:rsidR="00AE2642" w:rsidRDefault="00F55D7F" w:rsidP="00011E1E">
      <w:pPr>
        <w:pStyle w:val="Nadpis6"/>
        <w:keepNext w:val="0"/>
        <w:tabs>
          <w:tab w:val="center" w:pos="4253"/>
        </w:tabs>
        <w:spacing w:beforeLines="20" w:before="48" w:after="120"/>
        <w:jc w:val="both"/>
        <w:rPr>
          <w:rFonts w:ascii="Times New Roman" w:hAnsi="Times New Roman"/>
        </w:rPr>
      </w:pPr>
      <w:r w:rsidRPr="00F55D7F">
        <w:rPr>
          <w:rFonts w:ascii="Times New Roman" w:hAnsi="Times New Roman"/>
          <w:u w:val="none"/>
        </w:rPr>
        <w:tab/>
      </w:r>
      <w:r w:rsidR="00F866AD" w:rsidRPr="00095FDB">
        <w:rPr>
          <w:rFonts w:ascii="Times New Roman" w:hAnsi="Times New Roman"/>
        </w:rPr>
        <w:t xml:space="preserve">IX. </w:t>
      </w:r>
      <w:r w:rsidR="00AE2642" w:rsidRPr="00095FDB">
        <w:rPr>
          <w:rFonts w:ascii="Times New Roman" w:hAnsi="Times New Roman"/>
        </w:rPr>
        <w:t>SMLUVNÍ POKUTY</w:t>
      </w:r>
    </w:p>
    <w:p w:rsidR="00EA3BE5" w:rsidRPr="00EA3BE5" w:rsidRDefault="00EA3BE5" w:rsidP="00011E1E">
      <w:pPr>
        <w:jc w:val="both"/>
      </w:pPr>
    </w:p>
    <w:p w:rsidR="001128D2" w:rsidRPr="001128D2" w:rsidRDefault="001128D2" w:rsidP="00011E1E">
      <w:pPr>
        <w:numPr>
          <w:ilvl w:val="0"/>
          <w:numId w:val="8"/>
        </w:numPr>
        <w:tabs>
          <w:tab w:val="right" w:pos="9071"/>
        </w:tabs>
        <w:spacing w:after="120"/>
        <w:jc w:val="both"/>
        <w:rPr>
          <w:sz w:val="24"/>
        </w:rPr>
      </w:pPr>
      <w:r w:rsidRPr="001128D2">
        <w:rPr>
          <w:sz w:val="24"/>
        </w:rPr>
        <w:t xml:space="preserve">Objednatel uhradí fakturu zhotoviteli nejpozději do 30 dnů po jejím doručení. Za prodlení s úhradou faktury zaplatí objednatel zhotoviteli smluvní pokutu ve výši </w:t>
      </w:r>
      <w:r w:rsidR="00C92C5B">
        <w:rPr>
          <w:sz w:val="24"/>
        </w:rPr>
        <w:br/>
      </w:r>
      <w:r w:rsidRPr="001128D2">
        <w:rPr>
          <w:sz w:val="24"/>
        </w:rPr>
        <w:t>0,05 % z fakturova</w:t>
      </w:r>
      <w:r w:rsidR="005D6449">
        <w:rPr>
          <w:sz w:val="24"/>
        </w:rPr>
        <w:t>né částky za každý den prodlení.</w:t>
      </w:r>
    </w:p>
    <w:p w:rsidR="00AE2642" w:rsidRPr="004461D5" w:rsidRDefault="00AE2642" w:rsidP="00011E1E">
      <w:pPr>
        <w:numPr>
          <w:ilvl w:val="0"/>
          <w:numId w:val="8"/>
        </w:numPr>
        <w:tabs>
          <w:tab w:val="right" w:pos="9071"/>
        </w:tabs>
        <w:spacing w:after="120"/>
        <w:jc w:val="both"/>
        <w:rPr>
          <w:bCs/>
          <w:sz w:val="24"/>
        </w:rPr>
      </w:pPr>
      <w:r w:rsidRPr="004461D5">
        <w:rPr>
          <w:bCs/>
          <w:sz w:val="24"/>
        </w:rPr>
        <w:t>V případě nedodržení termínu dokončení díla</w:t>
      </w:r>
      <w:r w:rsidR="005D6449" w:rsidRPr="004461D5">
        <w:rPr>
          <w:bCs/>
          <w:sz w:val="24"/>
        </w:rPr>
        <w:t xml:space="preserve"> uhradí zhotovitel objednateli smluvní pokutu ve výši 1 000 Kč i započatý den prodlení s předáním dokončeného díla. </w:t>
      </w:r>
    </w:p>
    <w:p w:rsidR="005D6449" w:rsidRPr="004461D5" w:rsidRDefault="005D6449" w:rsidP="00011E1E">
      <w:pPr>
        <w:numPr>
          <w:ilvl w:val="0"/>
          <w:numId w:val="8"/>
        </w:numPr>
        <w:tabs>
          <w:tab w:val="right" w:pos="9071"/>
        </w:tabs>
        <w:spacing w:after="120"/>
        <w:jc w:val="both"/>
        <w:rPr>
          <w:bCs/>
          <w:sz w:val="24"/>
        </w:rPr>
      </w:pPr>
      <w:r w:rsidRPr="004461D5">
        <w:rPr>
          <w:bCs/>
          <w:sz w:val="24"/>
        </w:rPr>
        <w:t>V případě prodlení s odstraněním vad a nedodělků v termínech stanovených v zápise o předání a převzetí díla uhradí zhotovitel smluvní pokutu ve výši 1000 Kč za každý i započatý den prodlení s jejich odstraněním.</w:t>
      </w:r>
    </w:p>
    <w:p w:rsidR="00C85501" w:rsidRDefault="00C85501" w:rsidP="00011E1E">
      <w:pPr>
        <w:numPr>
          <w:ilvl w:val="0"/>
          <w:numId w:val="8"/>
        </w:numPr>
        <w:tabs>
          <w:tab w:val="right" w:pos="9071"/>
        </w:tabs>
        <w:spacing w:after="120"/>
        <w:jc w:val="both"/>
        <w:rPr>
          <w:sz w:val="24"/>
        </w:rPr>
      </w:pPr>
      <w:r w:rsidRPr="00095FDB">
        <w:rPr>
          <w:sz w:val="24"/>
        </w:rPr>
        <w:t>Při neplnění podmínek smlouvy, porušování zákonných povinností nebo nedodržování schváleného harmonogramu provádění</w:t>
      </w:r>
      <w:r w:rsidR="00524874" w:rsidRPr="00095FDB">
        <w:rPr>
          <w:sz w:val="24"/>
        </w:rPr>
        <w:t xml:space="preserve"> (</w:t>
      </w:r>
      <w:r w:rsidRPr="00095FDB">
        <w:rPr>
          <w:sz w:val="24"/>
        </w:rPr>
        <w:t>při zpoždění větším než 10</w:t>
      </w:r>
      <w:r w:rsidR="00524874" w:rsidRPr="00095FDB">
        <w:rPr>
          <w:sz w:val="24"/>
        </w:rPr>
        <w:t xml:space="preserve"> kalendářních</w:t>
      </w:r>
      <w:r w:rsidRPr="00095FDB">
        <w:rPr>
          <w:sz w:val="24"/>
        </w:rPr>
        <w:t xml:space="preserve"> dnů</w:t>
      </w:r>
      <w:r w:rsidR="00524874" w:rsidRPr="00095FDB">
        <w:rPr>
          <w:sz w:val="24"/>
        </w:rPr>
        <w:t>)</w:t>
      </w:r>
      <w:r w:rsidRPr="00095FDB">
        <w:rPr>
          <w:sz w:val="24"/>
        </w:rPr>
        <w:t xml:space="preserve">, má právo objednatel na smluvní pokutu ve </w:t>
      </w:r>
      <w:r w:rsidRPr="004461D5">
        <w:rPr>
          <w:sz w:val="24"/>
        </w:rPr>
        <w:t xml:space="preserve">výši </w:t>
      </w:r>
      <w:r w:rsidR="006D05DB" w:rsidRPr="004461D5">
        <w:rPr>
          <w:sz w:val="24"/>
        </w:rPr>
        <w:t>2</w:t>
      </w:r>
      <w:r w:rsidR="00717884" w:rsidRPr="004461D5">
        <w:rPr>
          <w:sz w:val="24"/>
        </w:rPr>
        <w:t>.000,- Kč</w:t>
      </w:r>
      <w:r w:rsidRPr="004461D5">
        <w:rPr>
          <w:sz w:val="24"/>
        </w:rPr>
        <w:t xml:space="preserve"> </w:t>
      </w:r>
      <w:r w:rsidR="00C92C5B">
        <w:rPr>
          <w:sz w:val="24"/>
        </w:rPr>
        <w:br/>
      </w:r>
      <w:r w:rsidRPr="00095FDB">
        <w:rPr>
          <w:sz w:val="24"/>
        </w:rPr>
        <w:t>za každý započatý den a každé jednotlivé porušení.</w:t>
      </w:r>
    </w:p>
    <w:p w:rsidR="001A6F2A" w:rsidRDefault="001A6F2A" w:rsidP="00011E1E">
      <w:pPr>
        <w:numPr>
          <w:ilvl w:val="0"/>
          <w:numId w:val="8"/>
        </w:numPr>
        <w:tabs>
          <w:tab w:val="right" w:pos="9071"/>
        </w:tabs>
        <w:spacing w:after="120"/>
        <w:jc w:val="both"/>
        <w:rPr>
          <w:sz w:val="24"/>
        </w:rPr>
      </w:pPr>
      <w:r>
        <w:rPr>
          <w:sz w:val="24"/>
        </w:rPr>
        <w:t>Smluvní pokuta</w:t>
      </w:r>
      <w:r w:rsidR="002354D1" w:rsidRPr="002354D1">
        <w:rPr>
          <w:sz w:val="24"/>
        </w:rPr>
        <w:t xml:space="preserve"> za nedostatečné vedení stavebního deníku je </w:t>
      </w:r>
      <w:r>
        <w:rPr>
          <w:sz w:val="24"/>
        </w:rPr>
        <w:t xml:space="preserve">stanovena </w:t>
      </w:r>
      <w:r w:rsidR="00866F32">
        <w:rPr>
          <w:sz w:val="24"/>
        </w:rPr>
        <w:t xml:space="preserve">ve výši 1.000,- Kč/den, </w:t>
      </w:r>
      <w:r w:rsidR="008B7BBC">
        <w:rPr>
          <w:sz w:val="24"/>
        </w:rPr>
        <w:t>smluvní pokuta bude účtována až do doby odstranění nedostatků ve stavebním deníku.</w:t>
      </w:r>
    </w:p>
    <w:p w:rsidR="003A0942" w:rsidRPr="003A0942" w:rsidRDefault="003A0942" w:rsidP="00011E1E">
      <w:pPr>
        <w:numPr>
          <w:ilvl w:val="0"/>
          <w:numId w:val="8"/>
        </w:numPr>
        <w:shd w:val="clear" w:color="auto" w:fill="FFFFFF" w:themeFill="background1"/>
        <w:tabs>
          <w:tab w:val="right" w:pos="9071"/>
        </w:tabs>
        <w:spacing w:after="120"/>
        <w:jc w:val="both"/>
        <w:rPr>
          <w:color w:val="FF0000"/>
          <w:sz w:val="24"/>
        </w:rPr>
      </w:pPr>
      <w:r w:rsidRPr="00F62C34">
        <w:rPr>
          <w:sz w:val="24"/>
        </w:rPr>
        <w:t xml:space="preserve">Sankce za nedodržování BOZP, požární ochrany a ochrany životního prostředí se řídí dle sazebníku pokut, který je </w:t>
      </w:r>
      <w:r w:rsidR="00971C78">
        <w:rPr>
          <w:sz w:val="24"/>
        </w:rPr>
        <w:t>P</w:t>
      </w:r>
      <w:r w:rsidRPr="00F62C34">
        <w:rPr>
          <w:sz w:val="24"/>
        </w:rPr>
        <w:t>řílohou č. 1</w:t>
      </w:r>
      <w:r w:rsidR="00971C78">
        <w:rPr>
          <w:sz w:val="24"/>
        </w:rPr>
        <w:t xml:space="preserve"> této smlouvy.</w:t>
      </w:r>
    </w:p>
    <w:p w:rsidR="002354D1" w:rsidRPr="00095FDB" w:rsidRDefault="002354D1" w:rsidP="00011E1E">
      <w:pPr>
        <w:numPr>
          <w:ilvl w:val="0"/>
          <w:numId w:val="8"/>
        </w:numPr>
        <w:tabs>
          <w:tab w:val="right" w:pos="9071"/>
        </w:tabs>
        <w:spacing w:after="120"/>
        <w:jc w:val="both"/>
        <w:rPr>
          <w:sz w:val="24"/>
        </w:rPr>
      </w:pPr>
      <w:r w:rsidRPr="002354D1">
        <w:rPr>
          <w:sz w:val="24"/>
        </w:rPr>
        <w:t xml:space="preserve">Pokuty vzniklé vlivem stavební činnosti zhotovitele udělené </w:t>
      </w:r>
      <w:r w:rsidR="001A6F2A" w:rsidRPr="00654A49">
        <w:rPr>
          <w:color w:val="000000" w:themeColor="text1"/>
          <w:sz w:val="24"/>
        </w:rPr>
        <w:t xml:space="preserve">objednateli </w:t>
      </w:r>
      <w:r w:rsidR="001A6F2A">
        <w:rPr>
          <w:sz w:val="24"/>
        </w:rPr>
        <w:t>b</w:t>
      </w:r>
      <w:r w:rsidRPr="002354D1">
        <w:rPr>
          <w:sz w:val="24"/>
        </w:rPr>
        <w:t>udou převedeny na zhotovitele v plné výši a mohou být započteny proti neuhrazeným fakturám.</w:t>
      </w:r>
    </w:p>
    <w:p w:rsidR="00AE2642" w:rsidRDefault="00AE2642" w:rsidP="00011E1E">
      <w:pPr>
        <w:numPr>
          <w:ilvl w:val="0"/>
          <w:numId w:val="8"/>
        </w:numPr>
        <w:tabs>
          <w:tab w:val="right" w:pos="9071"/>
        </w:tabs>
        <w:spacing w:after="120"/>
        <w:jc w:val="both"/>
        <w:rPr>
          <w:sz w:val="24"/>
        </w:rPr>
      </w:pPr>
      <w:r w:rsidRPr="00095FDB">
        <w:rPr>
          <w:sz w:val="24"/>
        </w:rPr>
        <w:t>Úhradou smluvní pokuty není dotčeno právo požadovat náhradu škody v plné výši.</w:t>
      </w:r>
    </w:p>
    <w:p w:rsidR="00584815" w:rsidRDefault="00584815" w:rsidP="00584815">
      <w:pPr>
        <w:tabs>
          <w:tab w:val="right" w:pos="9071"/>
        </w:tabs>
        <w:spacing w:after="120"/>
        <w:ind w:left="851"/>
        <w:jc w:val="both"/>
        <w:rPr>
          <w:sz w:val="24"/>
        </w:rPr>
      </w:pPr>
    </w:p>
    <w:p w:rsidR="00051889" w:rsidRDefault="00F55D7F" w:rsidP="00011E1E">
      <w:pPr>
        <w:pStyle w:val="Zkladntext2"/>
        <w:tabs>
          <w:tab w:val="center" w:pos="4253"/>
        </w:tabs>
        <w:ind w:left="851" w:hanging="851"/>
        <w:rPr>
          <w:rFonts w:ascii="Times New Roman" w:hAnsi="Times New Roman"/>
          <w:bCs/>
          <w:caps/>
          <w:u w:val="single"/>
        </w:rPr>
      </w:pPr>
      <w:r>
        <w:rPr>
          <w:rFonts w:ascii="Times New Roman" w:hAnsi="Times New Roman"/>
          <w:b w:val="0"/>
        </w:rPr>
        <w:tab/>
      </w:r>
      <w:r w:rsidR="00051889" w:rsidRPr="004461D5">
        <w:rPr>
          <w:rFonts w:ascii="Times New Roman" w:hAnsi="Times New Roman"/>
          <w:bCs/>
          <w:caps/>
          <w:u w:val="single"/>
        </w:rPr>
        <w:t>X. Přechod vlastnictví a odpovědnosti za škodu na díle</w:t>
      </w:r>
    </w:p>
    <w:p w:rsidR="00051889" w:rsidRPr="004461D5" w:rsidRDefault="00051889" w:rsidP="00011E1E">
      <w:pPr>
        <w:pStyle w:val="Zkladntext2"/>
        <w:ind w:left="567" w:hanging="567"/>
        <w:rPr>
          <w:rFonts w:ascii="Times New Roman" w:hAnsi="Times New Roman"/>
          <w:b w:val="0"/>
        </w:rPr>
      </w:pPr>
      <w:r w:rsidRPr="004C0F09">
        <w:rPr>
          <w:rFonts w:ascii="Times New Roman" w:hAnsi="Times New Roman"/>
          <w:b w:val="0"/>
        </w:rPr>
        <w:t>10.1</w:t>
      </w:r>
      <w:r w:rsidRPr="004461D5">
        <w:rPr>
          <w:rFonts w:ascii="Times New Roman" w:hAnsi="Times New Roman"/>
        </w:rPr>
        <w:t xml:space="preserve">      </w:t>
      </w:r>
      <w:r w:rsidRPr="004461D5">
        <w:rPr>
          <w:rFonts w:ascii="Times New Roman" w:hAnsi="Times New Roman"/>
          <w:b w:val="0"/>
        </w:rPr>
        <w:t>Vlastníkem zhotovovaného díla je objednatel.</w:t>
      </w:r>
    </w:p>
    <w:p w:rsidR="00051889" w:rsidRPr="004461D5" w:rsidRDefault="00051889" w:rsidP="00011E1E">
      <w:pPr>
        <w:pStyle w:val="Zkladntext2"/>
        <w:ind w:left="851" w:hanging="851"/>
        <w:rPr>
          <w:rFonts w:ascii="Times New Roman" w:hAnsi="Times New Roman"/>
          <w:b w:val="0"/>
        </w:rPr>
      </w:pPr>
      <w:r w:rsidRPr="004C0F09">
        <w:rPr>
          <w:rFonts w:ascii="Times New Roman" w:hAnsi="Times New Roman"/>
          <w:b w:val="0"/>
        </w:rPr>
        <w:t>10.2</w:t>
      </w:r>
      <w:r w:rsidRPr="004461D5">
        <w:rPr>
          <w:rFonts w:ascii="Times New Roman" w:hAnsi="Times New Roman"/>
          <w:b w:val="0"/>
        </w:rPr>
        <w:tab/>
        <w:t>Za škody vzniklé na díle odpovídá po dobu plnění předmětu smlouvy zhotovitel. Odpovědnost za škody přechází na objednatele dnem převzetí díla od zhotovitele.</w:t>
      </w:r>
    </w:p>
    <w:p w:rsidR="00051889" w:rsidRPr="004461D5" w:rsidRDefault="00051889" w:rsidP="00011E1E">
      <w:pPr>
        <w:pStyle w:val="Zkladntext2"/>
        <w:ind w:left="851" w:hanging="851"/>
        <w:rPr>
          <w:rFonts w:ascii="Times New Roman" w:hAnsi="Times New Roman"/>
          <w:b w:val="0"/>
        </w:rPr>
      </w:pPr>
      <w:r w:rsidRPr="004C0F09">
        <w:rPr>
          <w:rFonts w:ascii="Times New Roman" w:hAnsi="Times New Roman"/>
          <w:b w:val="0"/>
        </w:rPr>
        <w:t>10.3</w:t>
      </w:r>
      <w:r w:rsidRPr="004461D5">
        <w:rPr>
          <w:rFonts w:ascii="Times New Roman" w:hAnsi="Times New Roman"/>
          <w:b w:val="0"/>
        </w:rPr>
        <w:t xml:space="preserve"> </w:t>
      </w:r>
      <w:r w:rsidRPr="004461D5">
        <w:rPr>
          <w:rFonts w:ascii="Times New Roman" w:hAnsi="Times New Roman"/>
          <w:b w:val="0"/>
        </w:rPr>
        <w:tab/>
        <w:t>Zhotovitel odpovídá za všechny škody, které vzniknou v průběhu plnění předmětu smlouvy jeho činností objednateli, případně třetím osobám a je povinen vzniklé škody uhradit nebo odstranit na své náklady.</w:t>
      </w:r>
    </w:p>
    <w:p w:rsidR="00F55D7F" w:rsidRDefault="00F55D7F" w:rsidP="00011E1E">
      <w:pPr>
        <w:pStyle w:val="Nadpis6"/>
        <w:keepNext w:val="0"/>
        <w:tabs>
          <w:tab w:val="center" w:pos="4253"/>
        </w:tabs>
        <w:spacing w:beforeLines="20" w:before="48" w:after="120"/>
        <w:jc w:val="both"/>
        <w:rPr>
          <w:rFonts w:ascii="Times New Roman" w:hAnsi="Times New Roman"/>
          <w:b w:val="0"/>
          <w:caps w:val="0"/>
          <w:u w:val="none"/>
        </w:rPr>
      </w:pPr>
      <w:r>
        <w:rPr>
          <w:rFonts w:ascii="Times New Roman" w:hAnsi="Times New Roman"/>
          <w:b w:val="0"/>
          <w:caps w:val="0"/>
          <w:u w:val="none"/>
        </w:rPr>
        <w:tab/>
      </w:r>
    </w:p>
    <w:p w:rsidR="00584815" w:rsidRPr="00584815" w:rsidRDefault="00584815" w:rsidP="00584815"/>
    <w:p w:rsidR="00AE2642" w:rsidRDefault="00F55D7F" w:rsidP="00011E1E">
      <w:pPr>
        <w:pStyle w:val="Nadpis6"/>
        <w:keepNext w:val="0"/>
        <w:tabs>
          <w:tab w:val="center" w:pos="4253"/>
        </w:tabs>
        <w:spacing w:beforeLines="20" w:before="48" w:after="120"/>
        <w:jc w:val="both"/>
        <w:rPr>
          <w:rFonts w:ascii="Times New Roman" w:hAnsi="Times New Roman"/>
        </w:rPr>
      </w:pPr>
      <w:r>
        <w:rPr>
          <w:rFonts w:ascii="Times New Roman" w:hAnsi="Times New Roman"/>
          <w:b w:val="0"/>
          <w:caps w:val="0"/>
          <w:u w:val="none"/>
        </w:rPr>
        <w:tab/>
      </w:r>
      <w:r w:rsidR="00F866AD" w:rsidRPr="0007619F">
        <w:rPr>
          <w:rFonts w:ascii="Times New Roman" w:hAnsi="Times New Roman"/>
        </w:rPr>
        <w:t>X</w:t>
      </w:r>
      <w:r w:rsidR="00051889" w:rsidRPr="0007619F">
        <w:rPr>
          <w:rFonts w:ascii="Times New Roman" w:hAnsi="Times New Roman"/>
        </w:rPr>
        <w:t>I</w:t>
      </w:r>
      <w:r w:rsidR="00F866AD" w:rsidRPr="0007619F">
        <w:rPr>
          <w:rFonts w:ascii="Times New Roman" w:hAnsi="Times New Roman"/>
        </w:rPr>
        <w:t xml:space="preserve">. </w:t>
      </w:r>
      <w:r w:rsidR="00AE2642" w:rsidRPr="0007619F">
        <w:rPr>
          <w:rFonts w:ascii="Times New Roman" w:hAnsi="Times New Roman"/>
        </w:rPr>
        <w:t>ODSTOUPENÍ OD SMLOUVY</w:t>
      </w:r>
    </w:p>
    <w:p w:rsidR="00AE2642" w:rsidRPr="00095FDB" w:rsidRDefault="00A21728" w:rsidP="00011E1E">
      <w:pPr>
        <w:pStyle w:val="Zkladntext3"/>
        <w:ind w:left="720" w:hanging="720"/>
        <w:jc w:val="both"/>
      </w:pPr>
      <w:r>
        <w:t>11.1</w:t>
      </w:r>
      <w:r>
        <w:tab/>
      </w:r>
      <w:r w:rsidR="00AE2642" w:rsidRPr="00095FDB">
        <w:t xml:space="preserve">Odstoupit od této smlouvy lze pro podstatné porušení </w:t>
      </w:r>
      <w:r w:rsidR="00150F3F">
        <w:t xml:space="preserve">smluvních povinností, kterými jsou </w:t>
      </w:r>
      <w:r w:rsidR="00AE3EFB" w:rsidRPr="00095FDB">
        <w:t>zejména</w:t>
      </w:r>
      <w:r w:rsidR="00AE2642" w:rsidRPr="00095FDB">
        <w:t>:</w:t>
      </w:r>
    </w:p>
    <w:p w:rsidR="00AE2642" w:rsidRPr="00095FDB" w:rsidRDefault="00AE2642" w:rsidP="00011E1E">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E2642" w:rsidP="00011E1E">
      <w:pPr>
        <w:pStyle w:val="Zkladntext3"/>
        <w:numPr>
          <w:ilvl w:val="0"/>
          <w:numId w:val="3"/>
        </w:numPr>
        <w:tabs>
          <w:tab w:val="clear" w:pos="720"/>
          <w:tab w:val="num" w:pos="1418"/>
        </w:tabs>
        <w:spacing w:before="0"/>
        <w:ind w:left="1417" w:hanging="357"/>
        <w:jc w:val="both"/>
      </w:pPr>
      <w:r w:rsidRPr="00095FDB">
        <w:t>zhotovitel neprovede dílo v patřičné kvalitě podle platných předpisů a norem</w:t>
      </w:r>
      <w:r w:rsidR="00A87620" w:rsidRPr="00095FDB">
        <w:t>;</w:t>
      </w:r>
    </w:p>
    <w:p w:rsidR="00AE2642" w:rsidRPr="00095FDB" w:rsidRDefault="00AE2642" w:rsidP="00011E1E">
      <w:pPr>
        <w:pStyle w:val="Zkladntext3"/>
        <w:numPr>
          <w:ilvl w:val="0"/>
          <w:numId w:val="3"/>
        </w:numPr>
        <w:tabs>
          <w:tab w:val="clear" w:pos="720"/>
          <w:tab w:val="num" w:pos="1418"/>
        </w:tabs>
        <w:spacing w:before="0"/>
        <w:ind w:left="1417" w:hanging="357"/>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rsidR="00AE2642" w:rsidRPr="00095FDB" w:rsidRDefault="00AE2642" w:rsidP="00011E1E">
      <w:pPr>
        <w:pStyle w:val="Zkladntext3"/>
        <w:numPr>
          <w:ilvl w:val="0"/>
          <w:numId w:val="3"/>
        </w:numPr>
        <w:tabs>
          <w:tab w:val="clear" w:pos="720"/>
          <w:tab w:val="num" w:pos="1418"/>
        </w:tabs>
        <w:spacing w:before="0"/>
        <w:ind w:left="1417" w:hanging="357"/>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rsidR="00D43A62" w:rsidRDefault="00A21728" w:rsidP="00011E1E">
      <w:pPr>
        <w:spacing w:before="120"/>
        <w:ind w:left="720" w:hanging="720"/>
        <w:jc w:val="both"/>
        <w:rPr>
          <w:sz w:val="24"/>
        </w:rPr>
      </w:pPr>
      <w:r>
        <w:rPr>
          <w:sz w:val="24"/>
        </w:rPr>
        <w:t>11.2</w:t>
      </w:r>
      <w:r>
        <w:rPr>
          <w:sz w:val="24"/>
        </w:rPr>
        <w:tab/>
      </w:r>
      <w:r w:rsidR="00AE2642" w:rsidRPr="00A21728">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011E1E" w:rsidRDefault="00011E1E" w:rsidP="00011E1E">
      <w:pPr>
        <w:spacing w:before="120"/>
        <w:ind w:left="720" w:hanging="720"/>
        <w:jc w:val="both"/>
        <w:rPr>
          <w:sz w:val="24"/>
        </w:rPr>
      </w:pPr>
    </w:p>
    <w:p w:rsidR="00584815" w:rsidRPr="00A21728" w:rsidRDefault="00584815" w:rsidP="00011E1E">
      <w:pPr>
        <w:spacing w:before="120"/>
        <w:ind w:left="720" w:hanging="720"/>
        <w:jc w:val="both"/>
        <w:rPr>
          <w:sz w:val="24"/>
        </w:rPr>
      </w:pPr>
    </w:p>
    <w:p w:rsidR="00AE2642" w:rsidRPr="0007619F" w:rsidRDefault="00F55D7F" w:rsidP="00011E1E">
      <w:pPr>
        <w:pStyle w:val="Nadpis6"/>
        <w:keepNext w:val="0"/>
        <w:tabs>
          <w:tab w:val="center" w:pos="4253"/>
        </w:tabs>
        <w:spacing w:beforeLines="20" w:before="48" w:after="120"/>
        <w:jc w:val="both"/>
        <w:rPr>
          <w:rFonts w:ascii="Times New Roman" w:hAnsi="Times New Roman"/>
        </w:rPr>
      </w:pPr>
      <w:r w:rsidRPr="00F55D7F">
        <w:rPr>
          <w:rFonts w:ascii="Times New Roman" w:hAnsi="Times New Roman"/>
          <w:u w:val="none"/>
        </w:rPr>
        <w:tab/>
      </w:r>
      <w:r w:rsidR="00F866AD" w:rsidRPr="0007619F">
        <w:rPr>
          <w:rFonts w:ascii="Times New Roman" w:hAnsi="Times New Roman"/>
        </w:rPr>
        <w:t>XI</w:t>
      </w:r>
      <w:r w:rsidR="00051889" w:rsidRPr="0007619F">
        <w:rPr>
          <w:rFonts w:ascii="Times New Roman" w:hAnsi="Times New Roman"/>
        </w:rPr>
        <w:t>I</w:t>
      </w:r>
      <w:r w:rsidR="00F866AD" w:rsidRPr="0007619F">
        <w:rPr>
          <w:rFonts w:ascii="Times New Roman" w:hAnsi="Times New Roman"/>
        </w:rPr>
        <w:t xml:space="preserve">. </w:t>
      </w:r>
      <w:r w:rsidR="00AE2642" w:rsidRPr="0007619F">
        <w:rPr>
          <w:rFonts w:ascii="Times New Roman" w:hAnsi="Times New Roman"/>
        </w:rPr>
        <w:t>ZÁVĚREČNÁ USTANOVENÍ</w:t>
      </w:r>
    </w:p>
    <w:p w:rsidR="00806F68" w:rsidRPr="00717B4E" w:rsidRDefault="00717B4E" w:rsidP="00011E1E">
      <w:pPr>
        <w:tabs>
          <w:tab w:val="left" w:pos="0"/>
          <w:tab w:val="right" w:pos="4253"/>
        </w:tabs>
        <w:spacing w:before="120"/>
        <w:ind w:left="851" w:hanging="851"/>
        <w:jc w:val="both"/>
        <w:rPr>
          <w:b/>
          <w:sz w:val="24"/>
          <w:szCs w:val="24"/>
        </w:rPr>
      </w:pPr>
      <w:r>
        <w:rPr>
          <w:bCs/>
          <w:sz w:val="24"/>
          <w:szCs w:val="24"/>
        </w:rPr>
        <w:t xml:space="preserve">12.1 </w:t>
      </w:r>
      <w:r>
        <w:rPr>
          <w:bCs/>
          <w:sz w:val="24"/>
          <w:szCs w:val="24"/>
        </w:rPr>
        <w:tab/>
      </w:r>
      <w:r w:rsidR="00806F68" w:rsidRPr="00717B4E">
        <w:rPr>
          <w:bCs/>
          <w:sz w:val="24"/>
          <w:szCs w:val="24"/>
        </w:rPr>
        <w:t xml:space="preserve">Tato smlouva a práva a povinnosti z ní vzniklé </w:t>
      </w:r>
      <w:r w:rsidR="00BE3A33" w:rsidRPr="00717B4E">
        <w:rPr>
          <w:bCs/>
          <w:sz w:val="24"/>
          <w:szCs w:val="24"/>
        </w:rPr>
        <w:t>se řídí</w:t>
      </w:r>
      <w:r w:rsidR="00806F68" w:rsidRPr="00717B4E">
        <w:rPr>
          <w:bCs/>
          <w:sz w:val="24"/>
          <w:szCs w:val="24"/>
        </w:rPr>
        <w:t xml:space="preserve"> zákonem č. 89/2012 Sb., občanský zákoník</w:t>
      </w:r>
      <w:r w:rsidR="00524874" w:rsidRPr="00717B4E">
        <w:rPr>
          <w:bCs/>
          <w:sz w:val="24"/>
          <w:szCs w:val="24"/>
        </w:rPr>
        <w:t xml:space="preserve"> v platném znění.</w:t>
      </w:r>
    </w:p>
    <w:p w:rsidR="00806F68" w:rsidRPr="00717B4E" w:rsidRDefault="00717B4E" w:rsidP="00011E1E">
      <w:pPr>
        <w:tabs>
          <w:tab w:val="left" w:pos="0"/>
          <w:tab w:val="right" w:pos="4253"/>
        </w:tabs>
        <w:spacing w:before="120"/>
        <w:ind w:left="720" w:hanging="720"/>
        <w:jc w:val="both"/>
        <w:rPr>
          <w:b/>
          <w:sz w:val="24"/>
          <w:szCs w:val="24"/>
        </w:rPr>
      </w:pPr>
      <w:r>
        <w:rPr>
          <w:sz w:val="24"/>
          <w:szCs w:val="24"/>
        </w:rPr>
        <w:t>12.2</w:t>
      </w:r>
      <w:r>
        <w:rPr>
          <w:sz w:val="24"/>
          <w:szCs w:val="24"/>
        </w:rPr>
        <w:tab/>
      </w:r>
      <w:r>
        <w:rPr>
          <w:sz w:val="24"/>
          <w:szCs w:val="24"/>
        </w:rPr>
        <w:tab/>
      </w:r>
      <w:r w:rsidR="00806F68" w:rsidRPr="00717B4E">
        <w:rPr>
          <w:sz w:val="24"/>
          <w:szCs w:val="24"/>
        </w:rPr>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717B4E" w:rsidRDefault="00717B4E" w:rsidP="00011E1E">
      <w:pPr>
        <w:tabs>
          <w:tab w:val="left" w:pos="0"/>
          <w:tab w:val="right" w:pos="4253"/>
        </w:tabs>
        <w:spacing w:before="120"/>
        <w:ind w:left="720" w:hanging="720"/>
        <w:jc w:val="both"/>
        <w:rPr>
          <w:b/>
          <w:sz w:val="24"/>
          <w:szCs w:val="24"/>
        </w:rPr>
      </w:pPr>
      <w:r>
        <w:rPr>
          <w:sz w:val="24"/>
          <w:szCs w:val="24"/>
        </w:rPr>
        <w:t>12.3</w:t>
      </w:r>
      <w:r>
        <w:rPr>
          <w:sz w:val="24"/>
          <w:szCs w:val="24"/>
        </w:rPr>
        <w:tab/>
      </w:r>
      <w:r>
        <w:rPr>
          <w:sz w:val="24"/>
          <w:szCs w:val="24"/>
        </w:rPr>
        <w:tab/>
      </w:r>
      <w:r w:rsidR="00806F68" w:rsidRPr="00717B4E">
        <w:rPr>
          <w:sz w:val="24"/>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717B4E" w:rsidRDefault="00717B4E" w:rsidP="00011E1E">
      <w:pPr>
        <w:tabs>
          <w:tab w:val="left" w:pos="0"/>
          <w:tab w:val="right" w:pos="4253"/>
        </w:tabs>
        <w:spacing w:before="120"/>
        <w:ind w:left="720" w:hanging="720"/>
        <w:jc w:val="both"/>
        <w:rPr>
          <w:b/>
          <w:sz w:val="24"/>
          <w:szCs w:val="24"/>
        </w:rPr>
      </w:pPr>
      <w:r>
        <w:rPr>
          <w:sz w:val="24"/>
          <w:szCs w:val="24"/>
        </w:rPr>
        <w:t>12.4</w:t>
      </w:r>
      <w:r>
        <w:rPr>
          <w:sz w:val="24"/>
          <w:szCs w:val="24"/>
        </w:rPr>
        <w:tab/>
      </w:r>
      <w:r>
        <w:rPr>
          <w:sz w:val="24"/>
          <w:szCs w:val="24"/>
        </w:rPr>
        <w:tab/>
      </w:r>
      <w:r w:rsidR="0012740D" w:rsidRPr="00717B4E">
        <w:rPr>
          <w:sz w:val="24"/>
          <w:szCs w:val="24"/>
        </w:rPr>
        <w:t xml:space="preserve">Smlouva se vyhotovuje ve </w:t>
      </w:r>
      <w:r>
        <w:rPr>
          <w:sz w:val="24"/>
          <w:szCs w:val="24"/>
        </w:rPr>
        <w:t>dvou</w:t>
      </w:r>
      <w:r w:rsidR="00806F68" w:rsidRPr="00717B4E">
        <w:rPr>
          <w:sz w:val="24"/>
          <w:szCs w:val="24"/>
        </w:rPr>
        <w:t xml:space="preserve"> stejnopisech, z ni</w:t>
      </w:r>
      <w:r w:rsidR="003A0942" w:rsidRPr="00717B4E">
        <w:rPr>
          <w:sz w:val="24"/>
          <w:szCs w:val="24"/>
        </w:rPr>
        <w:t xml:space="preserve">chž l paré obdrží zhotovitel </w:t>
      </w:r>
      <w:r w:rsidR="00C92C5B" w:rsidRPr="00717B4E">
        <w:rPr>
          <w:sz w:val="24"/>
          <w:szCs w:val="24"/>
        </w:rPr>
        <w:br/>
      </w:r>
      <w:r w:rsidR="003A0942" w:rsidRPr="00717B4E">
        <w:rPr>
          <w:sz w:val="24"/>
          <w:szCs w:val="24"/>
        </w:rPr>
        <w:t xml:space="preserve">a </w:t>
      </w:r>
      <w:r>
        <w:rPr>
          <w:sz w:val="24"/>
          <w:szCs w:val="24"/>
        </w:rPr>
        <w:t>1</w:t>
      </w:r>
      <w:r w:rsidR="00806F68" w:rsidRPr="00717B4E">
        <w:rPr>
          <w:sz w:val="24"/>
          <w:szCs w:val="24"/>
        </w:rPr>
        <w:t xml:space="preserve"> paré objednatel.</w:t>
      </w:r>
    </w:p>
    <w:p w:rsidR="00806F68" w:rsidRPr="00717B4E" w:rsidRDefault="00717B4E" w:rsidP="00011E1E">
      <w:pPr>
        <w:tabs>
          <w:tab w:val="left" w:pos="0"/>
          <w:tab w:val="right" w:pos="4253"/>
        </w:tabs>
        <w:spacing w:before="120"/>
        <w:ind w:left="720" w:hanging="720"/>
        <w:jc w:val="both"/>
        <w:rPr>
          <w:b/>
          <w:sz w:val="24"/>
          <w:szCs w:val="24"/>
        </w:rPr>
      </w:pPr>
      <w:r>
        <w:rPr>
          <w:sz w:val="24"/>
          <w:szCs w:val="24"/>
        </w:rPr>
        <w:t>12.5</w:t>
      </w:r>
      <w:r>
        <w:rPr>
          <w:sz w:val="24"/>
          <w:szCs w:val="24"/>
        </w:rPr>
        <w:tab/>
      </w:r>
      <w:r>
        <w:rPr>
          <w:sz w:val="24"/>
          <w:szCs w:val="24"/>
        </w:rPr>
        <w:tab/>
      </w:r>
      <w:r w:rsidR="00B46B1D" w:rsidRPr="00717B4E">
        <w:rPr>
          <w:sz w:val="24"/>
          <w:szCs w:val="24"/>
        </w:rPr>
        <w:t>Smluvní strany prohlašují, že smlouvu pře</w:t>
      </w:r>
      <w:r w:rsidR="001A6F2A" w:rsidRPr="00717B4E">
        <w:rPr>
          <w:sz w:val="24"/>
          <w:szCs w:val="24"/>
        </w:rPr>
        <w:t>čet</w:t>
      </w:r>
      <w:r w:rsidR="00AE6295" w:rsidRPr="00717B4E">
        <w:rPr>
          <w:sz w:val="24"/>
          <w:szCs w:val="24"/>
        </w:rPr>
        <w:t>ly</w:t>
      </w:r>
      <w:r w:rsidR="00806F68" w:rsidRPr="00717B4E">
        <w:rPr>
          <w:sz w:val="24"/>
          <w:szCs w:val="24"/>
        </w:rPr>
        <w:t>, s jejím obsahem souhlasí, což stvrzují svými podpisy.</w:t>
      </w:r>
    </w:p>
    <w:p w:rsidR="004C0F09" w:rsidRPr="00717B4E" w:rsidRDefault="00717B4E" w:rsidP="00011E1E">
      <w:pPr>
        <w:tabs>
          <w:tab w:val="left" w:pos="0"/>
          <w:tab w:val="right" w:pos="4253"/>
        </w:tabs>
        <w:spacing w:before="120"/>
        <w:ind w:left="720" w:hanging="720"/>
        <w:jc w:val="both"/>
        <w:rPr>
          <w:b/>
          <w:sz w:val="28"/>
          <w:szCs w:val="24"/>
        </w:rPr>
      </w:pPr>
      <w:r>
        <w:rPr>
          <w:sz w:val="24"/>
        </w:rPr>
        <w:lastRenderedPageBreak/>
        <w:t>12.6</w:t>
      </w:r>
      <w:r>
        <w:rPr>
          <w:sz w:val="24"/>
        </w:rPr>
        <w:tab/>
      </w:r>
      <w:r>
        <w:rPr>
          <w:sz w:val="24"/>
        </w:rPr>
        <w:tab/>
      </w:r>
      <w:r w:rsidR="004C0F09" w:rsidRPr="00717B4E">
        <w:rPr>
          <w:sz w:val="24"/>
        </w:rPr>
        <w:t>Smlouva nabývá platnosti dnem podpisu oběma s</w:t>
      </w:r>
      <w:r>
        <w:rPr>
          <w:sz w:val="24"/>
        </w:rPr>
        <w:tab/>
      </w:r>
      <w:r w:rsidR="004C0F09" w:rsidRPr="00717B4E">
        <w:rPr>
          <w:sz w:val="24"/>
        </w:rPr>
        <w:t>mluvními stranami a účinnosti dnem uveřejnění v registru smluv v souladu s § 6 odst. 1 zákona č. 340/2015 Sb. o registru smluv. Zhotovitel bere na vědomí, že uveřejnění v tomto registru zajistí objednatel.</w:t>
      </w:r>
    </w:p>
    <w:p w:rsidR="00F55D7F" w:rsidRDefault="00F55D7F" w:rsidP="00011E1E">
      <w:pPr>
        <w:jc w:val="both"/>
        <w:rPr>
          <w:b/>
          <w:sz w:val="24"/>
          <w:szCs w:val="24"/>
          <w:u w:val="single"/>
        </w:rPr>
      </w:pPr>
    </w:p>
    <w:p w:rsidR="00584815" w:rsidRDefault="00584815" w:rsidP="00011E1E">
      <w:pPr>
        <w:jc w:val="both"/>
        <w:rPr>
          <w:b/>
          <w:sz w:val="24"/>
          <w:szCs w:val="24"/>
          <w:u w:val="single"/>
        </w:rPr>
      </w:pPr>
    </w:p>
    <w:p w:rsidR="002354D1" w:rsidRPr="002354D1" w:rsidRDefault="002354D1" w:rsidP="00011E1E">
      <w:pPr>
        <w:jc w:val="both"/>
        <w:rPr>
          <w:b/>
          <w:sz w:val="24"/>
          <w:szCs w:val="24"/>
          <w:u w:val="single"/>
        </w:rPr>
      </w:pPr>
      <w:r w:rsidRPr="002354D1">
        <w:rPr>
          <w:b/>
          <w:sz w:val="24"/>
          <w:szCs w:val="24"/>
          <w:u w:val="single"/>
        </w:rPr>
        <w:t>Přílohy:</w:t>
      </w:r>
    </w:p>
    <w:p w:rsidR="00971C78" w:rsidRDefault="00971C78" w:rsidP="00011E1E">
      <w:pPr>
        <w:jc w:val="both"/>
        <w:rPr>
          <w:sz w:val="24"/>
          <w:szCs w:val="24"/>
        </w:rPr>
      </w:pPr>
      <w:r>
        <w:rPr>
          <w:sz w:val="24"/>
          <w:szCs w:val="24"/>
        </w:rPr>
        <w:t xml:space="preserve">Příloha č. 1: </w:t>
      </w:r>
      <w:r>
        <w:rPr>
          <w:sz w:val="24"/>
          <w:szCs w:val="24"/>
        </w:rPr>
        <w:tab/>
        <w:t>Sankce za porušení BOZP, PO a OŽP (1 list)</w:t>
      </w:r>
      <w:r w:rsidR="00463E6F">
        <w:rPr>
          <w:sz w:val="24"/>
          <w:szCs w:val="24"/>
        </w:rPr>
        <w:t>.</w:t>
      </w:r>
    </w:p>
    <w:p w:rsidR="00C328DE" w:rsidRDefault="0046256E" w:rsidP="00011E1E">
      <w:pPr>
        <w:jc w:val="both"/>
        <w:rPr>
          <w:sz w:val="24"/>
          <w:szCs w:val="24"/>
        </w:rPr>
      </w:pPr>
      <w:r>
        <w:rPr>
          <w:sz w:val="24"/>
          <w:szCs w:val="24"/>
        </w:rPr>
        <w:t>Příloha č. 2:</w:t>
      </w:r>
      <w:r>
        <w:rPr>
          <w:sz w:val="24"/>
          <w:szCs w:val="24"/>
        </w:rPr>
        <w:tab/>
      </w:r>
      <w:r w:rsidR="00971C78">
        <w:rPr>
          <w:sz w:val="24"/>
          <w:szCs w:val="24"/>
        </w:rPr>
        <w:t>Oceněný s</w:t>
      </w:r>
      <w:r w:rsidR="00600B96">
        <w:rPr>
          <w:sz w:val="24"/>
          <w:szCs w:val="24"/>
        </w:rPr>
        <w:t xml:space="preserve">oupis </w:t>
      </w:r>
      <w:r w:rsidR="00971C78">
        <w:rPr>
          <w:sz w:val="24"/>
          <w:szCs w:val="24"/>
        </w:rPr>
        <w:t xml:space="preserve">stavebních </w:t>
      </w:r>
      <w:r w:rsidR="00717B4E">
        <w:rPr>
          <w:sz w:val="24"/>
          <w:szCs w:val="24"/>
        </w:rPr>
        <w:t>prací a dodávek</w:t>
      </w:r>
      <w:r w:rsidR="006E65DF">
        <w:rPr>
          <w:sz w:val="24"/>
          <w:szCs w:val="24"/>
        </w:rPr>
        <w:t xml:space="preserve"> (2 listy)</w:t>
      </w:r>
      <w:r w:rsidR="00717B4E">
        <w:rPr>
          <w:sz w:val="24"/>
          <w:szCs w:val="24"/>
        </w:rPr>
        <w:t>.</w:t>
      </w:r>
    </w:p>
    <w:p w:rsidR="00EA3BE5" w:rsidRDefault="00EA3BE5" w:rsidP="00011E1E">
      <w:pPr>
        <w:jc w:val="both"/>
        <w:rPr>
          <w:sz w:val="24"/>
          <w:szCs w:val="24"/>
        </w:rPr>
      </w:pPr>
    </w:p>
    <w:p w:rsidR="00584815" w:rsidRDefault="00584815" w:rsidP="00011E1E">
      <w:pPr>
        <w:tabs>
          <w:tab w:val="left" w:pos="5250"/>
        </w:tabs>
        <w:spacing w:beforeLines="20" w:before="48"/>
        <w:jc w:val="both"/>
        <w:rPr>
          <w:sz w:val="24"/>
        </w:rPr>
      </w:pPr>
    </w:p>
    <w:p w:rsidR="00584815" w:rsidRDefault="00584815" w:rsidP="00011E1E">
      <w:pPr>
        <w:tabs>
          <w:tab w:val="left" w:pos="5250"/>
        </w:tabs>
        <w:spacing w:beforeLines="20" w:before="48"/>
        <w:jc w:val="both"/>
        <w:rPr>
          <w:sz w:val="24"/>
        </w:rPr>
      </w:pPr>
    </w:p>
    <w:p w:rsidR="00AE2642" w:rsidRPr="00584815" w:rsidRDefault="00AE2642" w:rsidP="00011E1E">
      <w:pPr>
        <w:tabs>
          <w:tab w:val="left" w:pos="5250"/>
        </w:tabs>
        <w:spacing w:beforeLines="20" w:before="48"/>
        <w:jc w:val="both"/>
        <w:rPr>
          <w:sz w:val="24"/>
        </w:rPr>
      </w:pPr>
      <w:r w:rsidRPr="00584815">
        <w:rPr>
          <w:sz w:val="24"/>
        </w:rPr>
        <w:t>V Praze dne:</w:t>
      </w:r>
      <w:r w:rsidR="0012112F" w:rsidRPr="00584815">
        <w:rPr>
          <w:sz w:val="24"/>
        </w:rPr>
        <w:t xml:space="preserve"> </w:t>
      </w:r>
      <w:r w:rsidRPr="00584815">
        <w:rPr>
          <w:sz w:val="24"/>
        </w:rPr>
        <w:t xml:space="preserve">       </w:t>
      </w:r>
      <w:r w:rsidR="0012112F" w:rsidRPr="00584815">
        <w:rPr>
          <w:sz w:val="24"/>
        </w:rPr>
        <w:t xml:space="preserve">               </w:t>
      </w:r>
      <w:r w:rsidR="00B9303C" w:rsidRPr="00584815">
        <w:rPr>
          <w:sz w:val="24"/>
        </w:rPr>
        <w:tab/>
        <w:t xml:space="preserve">   V</w:t>
      </w:r>
      <w:r w:rsidR="0053655E" w:rsidRPr="00584815">
        <w:rPr>
          <w:sz w:val="24"/>
        </w:rPr>
        <w:t> </w:t>
      </w:r>
      <w:r w:rsidR="00584815">
        <w:rPr>
          <w:sz w:val="24"/>
        </w:rPr>
        <w:t>Chrudimi</w:t>
      </w:r>
      <w:r w:rsidR="0053655E" w:rsidRPr="00584815">
        <w:rPr>
          <w:sz w:val="24"/>
        </w:rPr>
        <w:t xml:space="preserve"> </w:t>
      </w:r>
      <w:r w:rsidR="00783D5E" w:rsidRPr="00584815">
        <w:rPr>
          <w:sz w:val="24"/>
        </w:rPr>
        <w:t>d</w:t>
      </w:r>
      <w:r w:rsidR="006A2A29" w:rsidRPr="00584815">
        <w:rPr>
          <w:sz w:val="24"/>
        </w:rPr>
        <w:t>ne</w:t>
      </w:r>
      <w:r w:rsidRPr="00584815">
        <w:rPr>
          <w:sz w:val="24"/>
        </w:rPr>
        <w:t>:</w:t>
      </w:r>
      <w:r w:rsidR="0012112F" w:rsidRPr="00584815">
        <w:rPr>
          <w:sz w:val="24"/>
        </w:rPr>
        <w:t xml:space="preserve">    </w:t>
      </w:r>
      <w:r w:rsidR="00636C4C" w:rsidRPr="00584815">
        <w:rPr>
          <w:sz w:val="24"/>
        </w:rPr>
        <w:t xml:space="preserve"> </w:t>
      </w:r>
    </w:p>
    <w:p w:rsidR="00584815" w:rsidRPr="00584815" w:rsidRDefault="00584815" w:rsidP="00011E1E">
      <w:pPr>
        <w:tabs>
          <w:tab w:val="left" w:pos="5250"/>
        </w:tabs>
        <w:spacing w:beforeLines="20" w:before="48"/>
        <w:jc w:val="both"/>
        <w:rPr>
          <w:sz w:val="24"/>
        </w:rPr>
      </w:pPr>
    </w:p>
    <w:p w:rsidR="00584815" w:rsidRPr="00584815" w:rsidRDefault="00584815" w:rsidP="00011E1E">
      <w:pPr>
        <w:tabs>
          <w:tab w:val="left" w:pos="5250"/>
        </w:tabs>
        <w:spacing w:beforeLines="20" w:before="48"/>
        <w:jc w:val="both"/>
        <w:rPr>
          <w:sz w:val="24"/>
        </w:rPr>
      </w:pPr>
    </w:p>
    <w:p w:rsidR="00E5206C" w:rsidRDefault="00E5206C" w:rsidP="00011E1E">
      <w:pPr>
        <w:spacing w:beforeLines="20" w:before="48"/>
        <w:jc w:val="both"/>
        <w:rPr>
          <w:sz w:val="24"/>
        </w:rPr>
      </w:pPr>
    </w:p>
    <w:p w:rsidR="00584815" w:rsidRPr="00584815" w:rsidRDefault="00584815" w:rsidP="00011E1E">
      <w:pPr>
        <w:spacing w:beforeLines="20" w:before="48"/>
        <w:jc w:val="both"/>
        <w:rPr>
          <w:sz w:val="24"/>
        </w:rPr>
      </w:pPr>
    </w:p>
    <w:p w:rsidR="00E5206C" w:rsidRPr="00584815" w:rsidRDefault="00E5206C" w:rsidP="00011E1E">
      <w:pPr>
        <w:spacing w:beforeLines="20" w:before="48"/>
        <w:jc w:val="both"/>
        <w:rPr>
          <w:sz w:val="24"/>
        </w:rPr>
      </w:pPr>
    </w:p>
    <w:p w:rsidR="00995EB3" w:rsidRPr="00584815" w:rsidRDefault="00806F68" w:rsidP="00011E1E">
      <w:pPr>
        <w:tabs>
          <w:tab w:val="center" w:pos="1843"/>
          <w:tab w:val="center" w:pos="7230"/>
        </w:tabs>
        <w:spacing w:beforeLines="20" w:before="48"/>
        <w:ind w:left="-284"/>
        <w:jc w:val="both"/>
        <w:rPr>
          <w:sz w:val="24"/>
        </w:rPr>
      </w:pPr>
      <w:r w:rsidRPr="00584815">
        <w:rPr>
          <w:sz w:val="24"/>
        </w:rPr>
        <w:t>……..</w:t>
      </w:r>
      <w:r w:rsidR="00AE2642" w:rsidRPr="00584815">
        <w:rPr>
          <w:sz w:val="24"/>
        </w:rPr>
        <w:t>......................................................</w:t>
      </w:r>
      <w:r w:rsidR="000A5304" w:rsidRPr="00584815">
        <w:rPr>
          <w:sz w:val="24"/>
        </w:rPr>
        <w:t>....</w:t>
      </w:r>
      <w:r w:rsidR="00AE2642" w:rsidRPr="00584815">
        <w:rPr>
          <w:sz w:val="24"/>
        </w:rPr>
        <w:t xml:space="preserve">                           ............................................................</w:t>
      </w:r>
    </w:p>
    <w:p w:rsidR="00995EB3" w:rsidRPr="00584815" w:rsidRDefault="00995EB3" w:rsidP="00011E1E">
      <w:pPr>
        <w:tabs>
          <w:tab w:val="center" w:pos="1843"/>
          <w:tab w:val="center" w:pos="7230"/>
        </w:tabs>
        <w:spacing w:beforeLines="20" w:before="48"/>
        <w:ind w:left="-284"/>
        <w:jc w:val="both"/>
        <w:rPr>
          <w:sz w:val="24"/>
        </w:rPr>
      </w:pPr>
      <w:r w:rsidRPr="00584815">
        <w:rPr>
          <w:sz w:val="24"/>
        </w:rPr>
        <w:t xml:space="preserve">      </w:t>
      </w:r>
      <w:r w:rsidR="004F66C0" w:rsidRPr="00584815">
        <w:rPr>
          <w:sz w:val="24"/>
        </w:rPr>
        <w:t xml:space="preserve">          </w:t>
      </w:r>
      <w:r w:rsidRPr="00584815">
        <w:rPr>
          <w:sz w:val="24"/>
        </w:rPr>
        <w:t>Ing. Martin Lehký</w:t>
      </w:r>
      <w:r w:rsidRPr="00584815">
        <w:rPr>
          <w:sz w:val="24"/>
        </w:rPr>
        <w:tab/>
      </w:r>
      <w:r w:rsidR="00584815">
        <w:rPr>
          <w:color w:val="000000" w:themeColor="text1"/>
          <w:sz w:val="24"/>
        </w:rPr>
        <w:t>Ing. Josef Drahokoupil, Ing. Jiří Vala</w:t>
      </w:r>
    </w:p>
    <w:p w:rsidR="00584815" w:rsidRDefault="00584815" w:rsidP="00584815">
      <w:pPr>
        <w:pStyle w:val="Odstavecseseznamem"/>
        <w:tabs>
          <w:tab w:val="center" w:pos="1843"/>
          <w:tab w:val="center" w:pos="7230"/>
        </w:tabs>
        <w:spacing w:after="0" w:line="240" w:lineRule="auto"/>
        <w:ind w:left="6405" w:hanging="6405"/>
        <w:rPr>
          <w:rFonts w:ascii="Times New Roman" w:hAnsi="Times New Roman"/>
          <w:sz w:val="24"/>
        </w:rPr>
      </w:pPr>
      <w:r>
        <w:rPr>
          <w:rFonts w:ascii="Times New Roman" w:hAnsi="Times New Roman"/>
          <w:sz w:val="24"/>
        </w:rPr>
        <w:t xml:space="preserve">             </w:t>
      </w:r>
      <w:r w:rsidR="00995EB3" w:rsidRPr="00584815">
        <w:rPr>
          <w:rFonts w:ascii="Times New Roman" w:hAnsi="Times New Roman"/>
          <w:sz w:val="24"/>
        </w:rPr>
        <w:t>ředitel</w:t>
      </w:r>
      <w:r w:rsidR="00654A49" w:rsidRPr="00584815">
        <w:rPr>
          <w:rFonts w:ascii="Times New Roman" w:hAnsi="Times New Roman"/>
          <w:sz w:val="24"/>
        </w:rPr>
        <w:t xml:space="preserve">  </w:t>
      </w:r>
      <w:r w:rsidR="00175960" w:rsidRPr="00584815">
        <w:rPr>
          <w:rFonts w:ascii="Times New Roman" w:hAnsi="Times New Roman"/>
          <w:sz w:val="24"/>
        </w:rPr>
        <w:t>AS-PO</w:t>
      </w:r>
      <w:r>
        <w:rPr>
          <w:rFonts w:ascii="Times New Roman" w:hAnsi="Times New Roman"/>
          <w:sz w:val="24"/>
        </w:rPr>
        <w:tab/>
      </w:r>
      <w:r w:rsidR="00FE4A23" w:rsidRPr="00584815">
        <w:rPr>
          <w:rFonts w:ascii="Times New Roman" w:hAnsi="Times New Roman"/>
          <w:sz w:val="24"/>
        </w:rPr>
        <w:tab/>
      </w:r>
      <w:r>
        <w:rPr>
          <w:rFonts w:ascii="Times New Roman" w:hAnsi="Times New Roman"/>
          <w:sz w:val="24"/>
        </w:rPr>
        <w:t>jednatelé společnosti</w:t>
      </w:r>
    </w:p>
    <w:p w:rsidR="00175960" w:rsidRPr="00560BF2" w:rsidRDefault="00584815" w:rsidP="00584815">
      <w:pPr>
        <w:pStyle w:val="Odstavecseseznamem"/>
        <w:tabs>
          <w:tab w:val="center" w:pos="1843"/>
          <w:tab w:val="center" w:pos="7230"/>
        </w:tabs>
        <w:spacing w:after="0" w:line="240" w:lineRule="auto"/>
        <w:ind w:left="6405" w:hanging="6405"/>
        <w:rPr>
          <w:rFonts w:ascii="Times New Roman" w:hAnsi="Times New Roman"/>
          <w:sz w:val="24"/>
        </w:rPr>
      </w:pPr>
      <w:r>
        <w:rPr>
          <w:rFonts w:ascii="Times New Roman" w:hAnsi="Times New Roman"/>
          <w:sz w:val="24"/>
        </w:rPr>
        <w:t xml:space="preserve">                                                                                            Vodní zdroje Ekomonitor spol. s r.o.</w:t>
      </w:r>
    </w:p>
    <w:p w:rsidR="00433932" w:rsidRPr="00A12374" w:rsidRDefault="00433932" w:rsidP="00E5206C">
      <w:pPr>
        <w:pageBreakBefore/>
        <w:autoSpaceDE w:val="0"/>
        <w:autoSpaceDN w:val="0"/>
        <w:adjustRightInd w:val="0"/>
        <w:spacing w:after="120"/>
        <w:rPr>
          <w:bCs/>
          <w:sz w:val="24"/>
        </w:rPr>
      </w:pPr>
      <w:r>
        <w:rPr>
          <w:bCs/>
          <w:sz w:val="24"/>
        </w:rPr>
        <w:lastRenderedPageBreak/>
        <w:t>P</w:t>
      </w:r>
      <w:r w:rsidRPr="00A12374">
        <w:rPr>
          <w:bCs/>
          <w:sz w:val="24"/>
        </w:rPr>
        <w:t xml:space="preserve">říloha č. </w:t>
      </w:r>
      <w:r>
        <w:rPr>
          <w:bCs/>
          <w:sz w:val="24"/>
        </w:rPr>
        <w:t>1</w:t>
      </w:r>
    </w:p>
    <w:p w:rsidR="00433932" w:rsidRPr="00595E50" w:rsidRDefault="00433932" w:rsidP="00E5206C">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rsidR="00433932" w:rsidRPr="009C4BA1" w:rsidRDefault="00433932" w:rsidP="00E5206C"/>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061"/>
        <w:gridCol w:w="2909"/>
        <w:gridCol w:w="1317"/>
      </w:tblGrid>
      <w:tr w:rsidR="00433932" w:rsidRPr="0036336D" w:rsidTr="008D60D5">
        <w:trPr>
          <w:trHeight w:val="426"/>
        </w:trPr>
        <w:tc>
          <w:tcPr>
            <w:tcW w:w="2725" w:type="pct"/>
            <w:tcBorders>
              <w:top w:val="single" w:sz="4" w:space="0" w:color="auto"/>
              <w:bottom w:val="single" w:sz="4" w:space="0" w:color="auto"/>
            </w:tcBorders>
            <w:vAlign w:val="center"/>
          </w:tcPr>
          <w:p w:rsidR="00433932" w:rsidRPr="00A12374" w:rsidRDefault="00433932" w:rsidP="00E5206C">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rsidR="00433932" w:rsidRPr="00A12374" w:rsidRDefault="00433932" w:rsidP="00E5206C">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rsidR="00433932" w:rsidRPr="00A12374" w:rsidRDefault="00433932" w:rsidP="00E5206C">
            <w:pPr>
              <w:jc w:val="center"/>
              <w:rPr>
                <w:rFonts w:ascii="Arial" w:hAnsi="Arial" w:cs="Arial"/>
                <w:b/>
              </w:rPr>
            </w:pPr>
            <w:r w:rsidRPr="00A12374">
              <w:rPr>
                <w:rFonts w:ascii="Arial" w:hAnsi="Arial" w:cs="Arial"/>
                <w:b/>
              </w:rPr>
              <w:t>Rozsah krácení [Kč]</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E5206C">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E5206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E5206C">
            <w:pPr>
              <w:jc w:val="center"/>
              <w:rPr>
                <w:rFonts w:ascii="Arial" w:hAnsi="Arial" w:cs="Arial"/>
                <w:sz w:val="18"/>
              </w:rPr>
            </w:pPr>
          </w:p>
        </w:tc>
      </w:tr>
      <w:tr w:rsidR="00433932" w:rsidRPr="0036336D" w:rsidTr="008D60D5">
        <w:trPr>
          <w:trHeight w:val="340"/>
        </w:trPr>
        <w:tc>
          <w:tcPr>
            <w:tcW w:w="2725" w:type="pct"/>
            <w:tcBorders>
              <w:top w:val="single" w:sz="4" w:space="0" w:color="auto"/>
            </w:tcBorders>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rsidR="00433932" w:rsidRPr="0036336D" w:rsidRDefault="00433932" w:rsidP="00E5206C">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rsidR="00433932" w:rsidRPr="0036336D" w:rsidRDefault="00433932" w:rsidP="00E5206C">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433932" w:rsidRPr="0036336D" w:rsidTr="008D60D5">
        <w:trPr>
          <w:trHeight w:val="691"/>
        </w:trPr>
        <w:tc>
          <w:tcPr>
            <w:tcW w:w="2725" w:type="pct"/>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rsidR="00433932" w:rsidRPr="0036336D" w:rsidRDefault="00433932" w:rsidP="00E5206C">
            <w:pPr>
              <w:rPr>
                <w:rFonts w:ascii="Arial" w:hAnsi="Arial" w:cs="Arial"/>
                <w:sz w:val="18"/>
              </w:rPr>
            </w:pPr>
            <w:r w:rsidRPr="0036336D">
              <w:rPr>
                <w:rFonts w:ascii="Arial" w:hAnsi="Arial" w:cs="Arial"/>
                <w:sz w:val="18"/>
              </w:rPr>
              <w:t>Zák. 262/2006 Sb.</w:t>
            </w:r>
          </w:p>
        </w:tc>
        <w:tc>
          <w:tcPr>
            <w:tcW w:w="709" w:type="pct"/>
            <w:vAlign w:val="center"/>
          </w:tcPr>
          <w:p w:rsidR="00433932" w:rsidRPr="0036336D" w:rsidRDefault="00433932" w:rsidP="00E5206C">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E5206C">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rsidR="00433932" w:rsidRPr="0036336D" w:rsidRDefault="00433932" w:rsidP="00E5206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E5206C">
            <w:pPr>
              <w:jc w:val="center"/>
              <w:rPr>
                <w:rFonts w:ascii="Arial" w:hAnsi="Arial" w:cs="Arial"/>
                <w:sz w:val="18"/>
              </w:rPr>
            </w:pPr>
            <w:r w:rsidRPr="0036336D">
              <w:rPr>
                <w:rFonts w:ascii="Arial" w:hAnsi="Arial" w:cs="Arial"/>
                <w:sz w:val="18"/>
              </w:rPr>
              <w:t>500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rsidR="00433932" w:rsidRPr="0036336D" w:rsidRDefault="00433932" w:rsidP="00E5206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E5206C">
            <w:pPr>
              <w:jc w:val="center"/>
              <w:rPr>
                <w:rFonts w:ascii="Arial" w:hAnsi="Arial" w:cs="Arial"/>
                <w:color w:val="FF0000"/>
                <w:sz w:val="18"/>
              </w:rPr>
            </w:pPr>
            <w:r w:rsidRPr="0036336D">
              <w:rPr>
                <w:rFonts w:ascii="Arial" w:hAnsi="Arial" w:cs="Arial"/>
                <w:sz w:val="18"/>
              </w:rPr>
              <w:t>300 – 800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rsidR="00433932" w:rsidRPr="0036336D" w:rsidRDefault="00433932" w:rsidP="00E5206C">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rsidR="00433932" w:rsidRPr="0036336D" w:rsidRDefault="00433932" w:rsidP="00E5206C">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tcBorders>
              <w:top w:val="dotted" w:sz="4" w:space="0" w:color="auto"/>
              <w:bottom w:val="dotted" w:sz="4" w:space="0" w:color="auto"/>
            </w:tcBorders>
            <w:vAlign w:val="center"/>
          </w:tcPr>
          <w:p w:rsidR="00433932" w:rsidRPr="0036336D" w:rsidRDefault="00433932" w:rsidP="00E5206C">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rsidR="00433932" w:rsidRPr="0036336D" w:rsidRDefault="00433932" w:rsidP="00E5206C">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rsidR="00433932" w:rsidRPr="0036336D" w:rsidRDefault="00433932" w:rsidP="00E5206C">
            <w:pPr>
              <w:jc w:val="center"/>
              <w:rPr>
                <w:rFonts w:ascii="Arial" w:hAnsi="Arial" w:cs="Arial"/>
                <w:spacing w:val="-4"/>
                <w:sz w:val="18"/>
              </w:rPr>
            </w:pPr>
            <w:r>
              <w:rPr>
                <w:rFonts w:ascii="Arial" w:hAnsi="Arial" w:cs="Arial"/>
                <w:spacing w:val="-4"/>
                <w:sz w:val="18"/>
              </w:rPr>
              <w:t>500</w:t>
            </w:r>
          </w:p>
        </w:tc>
      </w:tr>
      <w:tr w:rsidR="00433932" w:rsidRPr="0036336D" w:rsidTr="008D60D5">
        <w:trPr>
          <w:trHeight w:val="549"/>
        </w:trPr>
        <w:tc>
          <w:tcPr>
            <w:tcW w:w="2725" w:type="pct"/>
            <w:tcBorders>
              <w:top w:val="dotted" w:sz="4" w:space="0" w:color="auto"/>
              <w:left w:val="single" w:sz="4" w:space="0" w:color="auto"/>
              <w:bottom w:val="single" w:sz="4" w:space="0" w:color="auto"/>
              <w:right w:val="dotted" w:sz="4" w:space="0" w:color="auto"/>
            </w:tcBorders>
            <w:vAlign w:val="center"/>
          </w:tcPr>
          <w:p w:rsidR="00433932" w:rsidRPr="0036336D" w:rsidRDefault="00433932" w:rsidP="00E5206C">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rsidR="00433932" w:rsidRPr="0036336D" w:rsidRDefault="00433932" w:rsidP="00E5206C">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rsidR="00433932" w:rsidRPr="0036336D" w:rsidRDefault="00433932" w:rsidP="00E5206C">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E5206C">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E5206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E5206C">
            <w:pPr>
              <w:jc w:val="center"/>
              <w:rPr>
                <w:rFonts w:ascii="Arial" w:hAnsi="Arial" w:cs="Arial"/>
                <w:sz w:val="18"/>
              </w:rPr>
            </w:pPr>
          </w:p>
        </w:tc>
      </w:tr>
      <w:tr w:rsidR="00433932" w:rsidRPr="0036336D" w:rsidTr="008D60D5">
        <w:trPr>
          <w:trHeight w:val="521"/>
        </w:trPr>
        <w:tc>
          <w:tcPr>
            <w:tcW w:w="2725" w:type="pct"/>
            <w:tcBorders>
              <w:bottom w:val="dotted" w:sz="4" w:space="0" w:color="auto"/>
            </w:tcBorders>
            <w:vAlign w:val="center"/>
          </w:tcPr>
          <w:p w:rsidR="00433932" w:rsidRPr="0036336D" w:rsidRDefault="00433932" w:rsidP="00E5206C">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rsidR="00433932" w:rsidRPr="0036336D" w:rsidRDefault="00433932" w:rsidP="00E5206C">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4 a"/>
              </w:smartTagPr>
              <w:r>
                <w:rPr>
                  <w:rFonts w:ascii="Arial" w:hAnsi="Arial" w:cs="Arial"/>
                  <w:sz w:val="18"/>
                </w:rPr>
                <w:t>4.14 a</w:t>
              </w:r>
            </w:smartTag>
            <w:r>
              <w:rPr>
                <w:rFonts w:ascii="Arial" w:hAnsi="Arial" w:cs="Arial"/>
                <w:sz w:val="18"/>
              </w:rPr>
              <w:t xml:space="preserve"> 4.15</w:t>
            </w:r>
          </w:p>
        </w:tc>
        <w:tc>
          <w:tcPr>
            <w:tcW w:w="709" w:type="pct"/>
            <w:tcBorders>
              <w:bottom w:val="dotted" w:sz="4" w:space="0" w:color="auto"/>
            </w:tcBorders>
            <w:vAlign w:val="center"/>
          </w:tcPr>
          <w:p w:rsidR="00433932" w:rsidRPr="0036336D" w:rsidRDefault="00433932" w:rsidP="00E5206C">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433932" w:rsidRPr="0036336D" w:rsidTr="008D60D5">
        <w:trPr>
          <w:trHeight w:val="479"/>
        </w:trPr>
        <w:tc>
          <w:tcPr>
            <w:tcW w:w="2725" w:type="pct"/>
            <w:tcBorders>
              <w:top w:val="dotted" w:sz="4" w:space="0" w:color="auto"/>
              <w:bottom w:val="dotted" w:sz="4" w:space="0" w:color="auto"/>
            </w:tcBorders>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rsidR="00433932" w:rsidRPr="0036336D" w:rsidRDefault="00433932" w:rsidP="00E5206C">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rsidR="00433932" w:rsidRPr="0036336D" w:rsidRDefault="00433932" w:rsidP="00E5206C">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rsidR="00433932" w:rsidRPr="0036336D" w:rsidRDefault="00433932" w:rsidP="00E5206C">
            <w:pPr>
              <w:rPr>
                <w:rFonts w:ascii="Arial" w:hAnsi="Arial" w:cs="Arial"/>
                <w:sz w:val="18"/>
              </w:rPr>
            </w:pPr>
            <w:r w:rsidRPr="0036336D">
              <w:rPr>
                <w:rFonts w:ascii="Arial" w:hAnsi="Arial" w:cs="Arial"/>
                <w:sz w:val="18"/>
              </w:rPr>
              <w:t>Provozní dokumentace</w:t>
            </w:r>
            <w:r>
              <w:rPr>
                <w:rFonts w:ascii="Arial" w:hAnsi="Arial" w:cs="Arial"/>
                <w:sz w:val="18"/>
              </w:rPr>
              <w:t xml:space="preserve">, čl. </w:t>
            </w:r>
            <w:smartTag w:uri="urn:schemas-microsoft-com:office:smarttags" w:element="metricconverter">
              <w:smartTagPr>
                <w:attr w:name="ProductID" w:val="4.9 a"/>
              </w:smartTagPr>
              <w:r>
                <w:rPr>
                  <w:rFonts w:ascii="Arial" w:hAnsi="Arial" w:cs="Arial"/>
                  <w:sz w:val="18"/>
                </w:rPr>
                <w:t>4.9 a</w:t>
              </w:r>
            </w:smartTag>
            <w:r>
              <w:rPr>
                <w:rFonts w:ascii="Arial" w:hAnsi="Arial" w:cs="Arial"/>
                <w:sz w:val="18"/>
              </w:rPr>
              <w:t xml:space="preserve"> 4.10</w:t>
            </w:r>
          </w:p>
        </w:tc>
        <w:tc>
          <w:tcPr>
            <w:tcW w:w="709" w:type="pct"/>
            <w:tcBorders>
              <w:top w:val="dotted" w:sz="4" w:space="0" w:color="auto"/>
              <w:bottom w:val="single" w:sz="4" w:space="0" w:color="auto"/>
            </w:tcBorders>
            <w:vAlign w:val="center"/>
          </w:tcPr>
          <w:p w:rsidR="00433932" w:rsidRPr="0036336D" w:rsidRDefault="00433932" w:rsidP="00E5206C">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tcBorders>
              <w:top w:val="single" w:sz="4" w:space="0" w:color="auto"/>
              <w:bottom w:val="single" w:sz="4" w:space="0" w:color="auto"/>
              <w:right w:val="dotted" w:sz="4" w:space="0" w:color="auto"/>
            </w:tcBorders>
            <w:vAlign w:val="center"/>
          </w:tcPr>
          <w:p w:rsidR="00433932" w:rsidRPr="0036336D" w:rsidRDefault="00433932" w:rsidP="00E5206C">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rsidR="00433932" w:rsidRPr="0036336D" w:rsidRDefault="00433932" w:rsidP="00E5206C">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rsidR="00433932" w:rsidRPr="0036336D" w:rsidRDefault="00433932" w:rsidP="00E5206C">
            <w:pPr>
              <w:jc w:val="center"/>
              <w:rPr>
                <w:rFonts w:ascii="Arial" w:hAnsi="Arial" w:cs="Arial"/>
                <w:sz w:val="18"/>
              </w:rPr>
            </w:pPr>
          </w:p>
        </w:tc>
      </w:tr>
      <w:tr w:rsidR="00433932" w:rsidRPr="0036336D" w:rsidTr="008D60D5">
        <w:trPr>
          <w:trHeight w:val="701"/>
        </w:trPr>
        <w:tc>
          <w:tcPr>
            <w:tcW w:w="2725" w:type="pct"/>
            <w:tcBorders>
              <w:top w:val="single" w:sz="4" w:space="0" w:color="auto"/>
            </w:tcBorders>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rsidR="00433932" w:rsidRDefault="00433932" w:rsidP="00E5206C">
            <w:pPr>
              <w:rPr>
                <w:rFonts w:ascii="Arial" w:hAnsi="Arial" w:cs="Arial"/>
                <w:sz w:val="18"/>
              </w:rPr>
            </w:pPr>
            <w:r w:rsidRPr="0036336D">
              <w:rPr>
                <w:rFonts w:ascii="Arial" w:hAnsi="Arial" w:cs="Arial"/>
                <w:sz w:val="18"/>
              </w:rPr>
              <w:t xml:space="preserve">Zák. 133/1985 Sb., </w:t>
            </w:r>
          </w:p>
          <w:p w:rsidR="00433932" w:rsidRPr="0036336D" w:rsidRDefault="00433932" w:rsidP="00E5206C">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rsidR="00433932" w:rsidRPr="0036336D" w:rsidRDefault="00433932" w:rsidP="00E5206C">
            <w:pPr>
              <w:jc w:val="center"/>
              <w:rPr>
                <w:rFonts w:ascii="Arial" w:hAnsi="Arial" w:cs="Arial"/>
                <w:sz w:val="18"/>
              </w:rPr>
            </w:pPr>
            <w:r w:rsidRPr="0036336D">
              <w:rPr>
                <w:rFonts w:ascii="Arial" w:hAnsi="Arial" w:cs="Arial"/>
                <w:sz w:val="18"/>
              </w:rPr>
              <w:t>500 – 1000</w:t>
            </w:r>
          </w:p>
        </w:tc>
      </w:tr>
      <w:tr w:rsidR="00433932" w:rsidRPr="0036336D" w:rsidTr="008D60D5">
        <w:trPr>
          <w:trHeight w:val="340"/>
        </w:trPr>
        <w:tc>
          <w:tcPr>
            <w:tcW w:w="2725" w:type="pct"/>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rsidR="00433932" w:rsidRDefault="00433932" w:rsidP="00E5206C">
            <w:pPr>
              <w:rPr>
                <w:rFonts w:ascii="Arial" w:hAnsi="Arial" w:cs="Arial"/>
                <w:sz w:val="18"/>
              </w:rPr>
            </w:pPr>
            <w:r w:rsidRPr="0036336D">
              <w:rPr>
                <w:rFonts w:ascii="Arial" w:hAnsi="Arial" w:cs="Arial"/>
                <w:sz w:val="18"/>
              </w:rPr>
              <w:t xml:space="preserve">Zák. 262/2006 Sb., </w:t>
            </w:r>
          </w:p>
          <w:p w:rsidR="00433932" w:rsidRPr="0036336D" w:rsidRDefault="00433932" w:rsidP="00E5206C">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rsidR="00433932" w:rsidRPr="0036336D" w:rsidRDefault="00433932" w:rsidP="00E5206C">
            <w:pPr>
              <w:jc w:val="center"/>
              <w:rPr>
                <w:rFonts w:ascii="Arial" w:hAnsi="Arial" w:cs="Arial"/>
                <w:sz w:val="18"/>
              </w:rPr>
            </w:pPr>
            <w:r w:rsidRPr="0036336D">
              <w:rPr>
                <w:rFonts w:ascii="Arial" w:hAnsi="Arial" w:cs="Arial"/>
                <w:sz w:val="18"/>
              </w:rPr>
              <w:t>300</w:t>
            </w:r>
          </w:p>
        </w:tc>
      </w:tr>
      <w:tr w:rsidR="00433932" w:rsidRPr="0036336D" w:rsidTr="008D60D5">
        <w:trPr>
          <w:trHeight w:val="340"/>
        </w:trPr>
        <w:tc>
          <w:tcPr>
            <w:tcW w:w="2725" w:type="pct"/>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rsidR="00433932" w:rsidRPr="0036336D" w:rsidRDefault="00433932" w:rsidP="00E5206C">
            <w:pPr>
              <w:rPr>
                <w:rFonts w:ascii="Arial" w:hAnsi="Arial" w:cs="Arial"/>
                <w:sz w:val="18"/>
              </w:rPr>
            </w:pPr>
            <w:r>
              <w:rPr>
                <w:rFonts w:ascii="Arial" w:hAnsi="Arial" w:cs="Arial"/>
                <w:sz w:val="18"/>
              </w:rPr>
              <w:t xml:space="preserve">Čl. </w:t>
            </w:r>
            <w:smartTag w:uri="urn:schemas-microsoft-com:office:smarttags" w:element="metricconverter">
              <w:smartTagPr>
                <w:attr w:name="ProductID" w:val="4.15 a"/>
              </w:smartTagPr>
              <w:r>
                <w:rPr>
                  <w:rFonts w:ascii="Arial" w:hAnsi="Arial" w:cs="Arial"/>
                  <w:sz w:val="18"/>
                </w:rPr>
                <w:t>4.15 a</w:t>
              </w:r>
            </w:smartTag>
            <w:r>
              <w:rPr>
                <w:rFonts w:ascii="Arial" w:hAnsi="Arial" w:cs="Arial"/>
                <w:sz w:val="18"/>
              </w:rPr>
              <w:t xml:space="preserve"> 4.20 </w:t>
            </w:r>
          </w:p>
        </w:tc>
        <w:tc>
          <w:tcPr>
            <w:tcW w:w="709" w:type="pct"/>
            <w:vAlign w:val="center"/>
          </w:tcPr>
          <w:p w:rsidR="00433932" w:rsidRPr="0036336D" w:rsidRDefault="00433932" w:rsidP="00E5206C">
            <w:pPr>
              <w:jc w:val="center"/>
              <w:rPr>
                <w:rFonts w:ascii="Arial" w:hAnsi="Arial" w:cs="Arial"/>
                <w:sz w:val="18"/>
              </w:rPr>
            </w:pPr>
            <w:r>
              <w:rPr>
                <w:rFonts w:ascii="Arial" w:hAnsi="Arial" w:cs="Arial"/>
                <w:sz w:val="18"/>
              </w:rPr>
              <w:t>100</w:t>
            </w:r>
            <w:r w:rsidRPr="0036336D">
              <w:rPr>
                <w:rFonts w:ascii="Arial" w:hAnsi="Arial" w:cs="Arial"/>
                <w:sz w:val="18"/>
              </w:rPr>
              <w:t>00</w:t>
            </w:r>
          </w:p>
        </w:tc>
      </w:tr>
      <w:tr w:rsidR="00433932" w:rsidRPr="0036336D" w:rsidTr="008D60D5">
        <w:trPr>
          <w:trHeight w:val="340"/>
        </w:trPr>
        <w:tc>
          <w:tcPr>
            <w:tcW w:w="2725" w:type="pct"/>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rsidR="00433932" w:rsidRPr="0036336D" w:rsidRDefault="00433932" w:rsidP="00E5206C">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rsidR="00433932" w:rsidRPr="0036336D" w:rsidRDefault="00433932" w:rsidP="00E5206C">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433932" w:rsidRPr="0036336D" w:rsidTr="008D60D5">
        <w:trPr>
          <w:trHeight w:val="340"/>
        </w:trPr>
        <w:tc>
          <w:tcPr>
            <w:tcW w:w="2725" w:type="pct"/>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rsidR="00433932" w:rsidRPr="0036336D" w:rsidRDefault="00433932" w:rsidP="00E5206C">
            <w:pPr>
              <w:rPr>
                <w:rFonts w:ascii="Arial" w:hAnsi="Arial" w:cs="Arial"/>
                <w:sz w:val="18"/>
              </w:rPr>
            </w:pPr>
            <w:r w:rsidRPr="0036336D">
              <w:rPr>
                <w:rFonts w:ascii="Arial" w:hAnsi="Arial" w:cs="Arial"/>
                <w:sz w:val="18"/>
              </w:rPr>
              <w:t xml:space="preserve">Zák. 133/1985 Sb. </w:t>
            </w:r>
          </w:p>
        </w:tc>
        <w:tc>
          <w:tcPr>
            <w:tcW w:w="709" w:type="pct"/>
            <w:vAlign w:val="center"/>
          </w:tcPr>
          <w:p w:rsidR="00433932" w:rsidRPr="0036336D" w:rsidRDefault="00433932" w:rsidP="00E5206C">
            <w:pPr>
              <w:jc w:val="center"/>
              <w:rPr>
                <w:rFonts w:ascii="Arial" w:hAnsi="Arial" w:cs="Arial"/>
                <w:sz w:val="18"/>
              </w:rPr>
            </w:pPr>
            <w:r w:rsidRPr="0036336D">
              <w:rPr>
                <w:rFonts w:ascii="Arial" w:hAnsi="Arial" w:cs="Arial"/>
                <w:sz w:val="18"/>
              </w:rPr>
              <w:t>200 – 500</w:t>
            </w:r>
          </w:p>
        </w:tc>
      </w:tr>
      <w:tr w:rsidR="00433932" w:rsidRPr="0036336D" w:rsidTr="008D60D5">
        <w:trPr>
          <w:trHeight w:val="340"/>
        </w:trPr>
        <w:tc>
          <w:tcPr>
            <w:tcW w:w="2725" w:type="pct"/>
            <w:tcBorders>
              <w:top w:val="single" w:sz="4" w:space="0" w:color="auto"/>
              <w:bottom w:val="single" w:sz="4" w:space="0" w:color="auto"/>
            </w:tcBorders>
            <w:vAlign w:val="center"/>
          </w:tcPr>
          <w:p w:rsidR="00433932" w:rsidRPr="0036336D" w:rsidRDefault="00433932" w:rsidP="00E5206C">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rsidR="00433932" w:rsidRPr="0036336D" w:rsidRDefault="00433932" w:rsidP="00E5206C">
            <w:pPr>
              <w:rPr>
                <w:rFonts w:ascii="Arial" w:hAnsi="Arial" w:cs="Arial"/>
                <w:sz w:val="18"/>
              </w:rPr>
            </w:pPr>
          </w:p>
        </w:tc>
        <w:tc>
          <w:tcPr>
            <w:tcW w:w="709" w:type="pct"/>
            <w:tcBorders>
              <w:top w:val="single" w:sz="4" w:space="0" w:color="auto"/>
              <w:bottom w:val="single" w:sz="4" w:space="0" w:color="auto"/>
            </w:tcBorders>
            <w:vAlign w:val="center"/>
          </w:tcPr>
          <w:p w:rsidR="00433932" w:rsidRPr="0036336D" w:rsidRDefault="00433932" w:rsidP="00E5206C">
            <w:pPr>
              <w:jc w:val="center"/>
              <w:rPr>
                <w:rFonts w:ascii="Arial" w:hAnsi="Arial" w:cs="Arial"/>
                <w:sz w:val="18"/>
              </w:rPr>
            </w:pPr>
          </w:p>
        </w:tc>
      </w:tr>
      <w:tr w:rsidR="00433932" w:rsidRPr="0036336D" w:rsidTr="008D60D5">
        <w:trPr>
          <w:trHeight w:val="340"/>
        </w:trPr>
        <w:tc>
          <w:tcPr>
            <w:tcW w:w="2725" w:type="pct"/>
            <w:tcBorders>
              <w:top w:val="single" w:sz="4" w:space="0" w:color="auto"/>
              <w:bottom w:val="dotted" w:sz="4" w:space="0" w:color="auto"/>
            </w:tcBorders>
            <w:vAlign w:val="center"/>
          </w:tcPr>
          <w:p w:rsidR="00433932" w:rsidRPr="0036336D" w:rsidRDefault="00433932" w:rsidP="00E5206C">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rsidR="00433932" w:rsidRPr="0036336D" w:rsidRDefault="00433932" w:rsidP="00E5206C">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rsidR="00433932" w:rsidRPr="0036336D" w:rsidRDefault="00433932" w:rsidP="00E5206C">
            <w:pPr>
              <w:jc w:val="center"/>
              <w:rPr>
                <w:rFonts w:ascii="Arial" w:hAnsi="Arial" w:cs="Arial"/>
                <w:sz w:val="18"/>
              </w:rPr>
            </w:pPr>
            <w:r w:rsidRPr="0036336D">
              <w:rPr>
                <w:rFonts w:ascii="Arial" w:hAnsi="Arial" w:cs="Arial"/>
                <w:sz w:val="18"/>
              </w:rPr>
              <w:t>500 – 5000</w:t>
            </w:r>
          </w:p>
        </w:tc>
      </w:tr>
      <w:tr w:rsidR="00433932" w:rsidRPr="0036336D" w:rsidTr="008D60D5">
        <w:trPr>
          <w:trHeight w:val="340"/>
        </w:trPr>
        <w:tc>
          <w:tcPr>
            <w:tcW w:w="2725" w:type="pct"/>
            <w:tcBorders>
              <w:top w:val="dotted" w:sz="4" w:space="0" w:color="auto"/>
              <w:bottom w:val="single" w:sz="4" w:space="0" w:color="auto"/>
            </w:tcBorders>
            <w:vAlign w:val="center"/>
          </w:tcPr>
          <w:p w:rsidR="00433932" w:rsidRPr="0036336D" w:rsidRDefault="00433932" w:rsidP="00E5206C">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rsidR="00433932" w:rsidRPr="0036336D" w:rsidRDefault="00433932" w:rsidP="00E5206C">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rsidR="00433932" w:rsidRPr="0036336D" w:rsidRDefault="00433932" w:rsidP="00E5206C">
            <w:pPr>
              <w:jc w:val="center"/>
              <w:rPr>
                <w:rFonts w:ascii="Arial" w:hAnsi="Arial" w:cs="Arial"/>
                <w:sz w:val="18"/>
              </w:rPr>
            </w:pPr>
            <w:r w:rsidRPr="0036336D">
              <w:rPr>
                <w:rFonts w:ascii="Arial" w:hAnsi="Arial" w:cs="Arial"/>
                <w:sz w:val="18"/>
              </w:rPr>
              <w:t>300 / závada</w:t>
            </w:r>
          </w:p>
        </w:tc>
      </w:tr>
    </w:tbl>
    <w:p w:rsidR="00433932" w:rsidRDefault="00433932" w:rsidP="00E5206C">
      <w:pPr>
        <w:jc w:val="both"/>
        <w:rPr>
          <w:b/>
          <w:sz w:val="24"/>
          <w:szCs w:val="24"/>
        </w:rPr>
      </w:pPr>
    </w:p>
    <w:p w:rsidR="00433932" w:rsidRDefault="00433932" w:rsidP="00E5206C">
      <w:pPr>
        <w:autoSpaceDE w:val="0"/>
        <w:autoSpaceDN w:val="0"/>
        <w:adjustRightInd w:val="0"/>
        <w:rPr>
          <w:bCs/>
          <w:sz w:val="24"/>
        </w:rPr>
      </w:pPr>
    </w:p>
    <w:p w:rsidR="00D0464B" w:rsidRDefault="00D0464B" w:rsidP="00E5206C">
      <w:pPr>
        <w:autoSpaceDE w:val="0"/>
        <w:autoSpaceDN w:val="0"/>
        <w:adjustRightInd w:val="0"/>
        <w:rPr>
          <w:bCs/>
          <w:sz w:val="24"/>
        </w:rPr>
      </w:pPr>
    </w:p>
    <w:sectPr w:rsidR="00D0464B" w:rsidSect="00F76CCA">
      <w:headerReference w:type="even" r:id="rId10"/>
      <w:headerReference w:type="default" r:id="rId11"/>
      <w:footerReference w:type="even" r:id="rId12"/>
      <w:footerReference w:type="default" r:id="rId13"/>
      <w:pgSz w:w="11907" w:h="1684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11B" w:rsidRDefault="00CA211B">
      <w:r>
        <w:separator/>
      </w:r>
    </w:p>
  </w:endnote>
  <w:endnote w:type="continuationSeparator" w:id="0">
    <w:p w:rsidR="00CA211B" w:rsidRDefault="00CA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9E7DA0">
      <w:rPr>
        <w:rStyle w:val="slostrnky"/>
        <w:noProof/>
      </w:rPr>
      <w:t>7</w:t>
    </w:r>
    <w:r>
      <w:rPr>
        <w:rStyle w:val="slostrnky"/>
      </w:rPr>
      <w:fldChar w:fldCharType="end"/>
    </w:r>
  </w:p>
  <w:p w:rsidR="00126A9A" w:rsidRDefault="00126A9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11B" w:rsidRDefault="00CA211B">
      <w:r>
        <w:separator/>
      </w:r>
    </w:p>
  </w:footnote>
  <w:footnote w:type="continuationSeparator" w:id="0">
    <w:p w:rsidR="00CA211B" w:rsidRDefault="00CA2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CCA" w:rsidRPr="00011E1E" w:rsidRDefault="009D77B1" w:rsidP="00011E1E">
    <w:pPr>
      <w:pStyle w:val="Zhlav"/>
      <w:jc w:val="center"/>
      <w:rPr>
        <w:sz w:val="24"/>
        <w:szCs w:val="24"/>
      </w:rPr>
    </w:pPr>
    <w:r w:rsidRPr="00996646">
      <w:rPr>
        <w:sz w:val="24"/>
        <w:szCs w:val="24"/>
      </w:rPr>
      <w:tab/>
    </w:r>
    <w:r w:rsidRPr="00996646">
      <w:rPr>
        <w:sz w:val="24"/>
        <w:szCs w:val="24"/>
      </w:rPr>
      <w:tab/>
    </w:r>
    <w:r w:rsidR="00636111">
      <w:rPr>
        <w:sz w:val="24"/>
        <w:szCs w:val="24"/>
      </w:rPr>
      <w:t>Smlouva č. V</w:t>
    </w:r>
    <w:r w:rsidR="00855154" w:rsidRPr="00996646">
      <w:rPr>
        <w:sz w:val="24"/>
        <w:szCs w:val="24"/>
      </w:rPr>
      <w:t>-</w:t>
    </w:r>
    <w:r w:rsidR="00011E1E">
      <w:rPr>
        <w:sz w:val="24"/>
        <w:szCs w:val="24"/>
      </w:rPr>
      <w:t>407</w:t>
    </w:r>
    <w:r w:rsidRPr="00996646">
      <w:rPr>
        <w:sz w:val="24"/>
        <w:szCs w:val="24"/>
      </w:rPr>
      <w:t>-00/16</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5pt;height:679.95pt" o:ole="">
          <v:imagedata r:id="rId1" o:title=""/>
        </v:shape>
        <o:OLEObject Type="Embed" ProgID="Word.Document.12" ShapeID="_x0000_i1025" DrawAspect="Content" ObjectID="_1533987582"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9EB3FCB"/>
    <w:multiLevelType w:val="hybridMultilevel"/>
    <w:tmpl w:val="28F6B200"/>
    <w:lvl w:ilvl="0" w:tplc="5110299C">
      <w:start w:val="1"/>
      <w:numFmt w:val="decimal"/>
      <w:lvlText w:val="10.%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127B2704"/>
    <w:multiLevelType w:val="multilevel"/>
    <w:tmpl w:val="571AD32E"/>
    <w:lvl w:ilvl="0">
      <w:start w:val="3"/>
      <w:numFmt w:val="decimal"/>
      <w:lvlText w:val="%1"/>
      <w:lvlJc w:val="left"/>
      <w:pPr>
        <w:ind w:left="360" w:hanging="360"/>
      </w:pPr>
    </w:lvl>
    <w:lvl w:ilvl="1">
      <w:start w:val="2"/>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F02555D"/>
    <w:multiLevelType w:val="hybridMultilevel"/>
    <w:tmpl w:val="74DA4CF2"/>
    <w:lvl w:ilvl="0" w:tplc="6AF0FA08">
      <w:start w:val="1"/>
      <w:numFmt w:val="decimal"/>
      <w:lvlText w:val="6.%1"/>
      <w:lvlJc w:val="left"/>
      <w:pPr>
        <w:tabs>
          <w:tab w:val="num" w:pos="851"/>
        </w:tabs>
        <w:ind w:left="851" w:hanging="851"/>
      </w:pPr>
      <w:rPr>
        <w:rFonts w:ascii="Times New Roman" w:hAnsi="Times New Roman" w:cs="Times New Roman" w:hint="default"/>
        <w:b w:val="0"/>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69134F5"/>
    <w:multiLevelType w:val="hybridMultilevel"/>
    <w:tmpl w:val="91E22C6E"/>
    <w:lvl w:ilvl="0" w:tplc="1CAA2F4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2">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3">
    <w:nsid w:val="32621942"/>
    <w:multiLevelType w:val="hybridMultilevel"/>
    <w:tmpl w:val="D9369C08"/>
    <w:lvl w:ilvl="0" w:tplc="04D49D24">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17">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4B65EEE"/>
    <w:multiLevelType w:val="singleLevel"/>
    <w:tmpl w:val="B7827B56"/>
    <w:lvl w:ilvl="0">
      <w:start w:val="1"/>
      <w:numFmt w:val="decimal"/>
      <w:lvlText w:val="4.%1"/>
      <w:lvlJc w:val="left"/>
      <w:pPr>
        <w:tabs>
          <w:tab w:val="num" w:pos="851"/>
        </w:tabs>
        <w:ind w:left="851" w:hanging="851"/>
      </w:pPr>
      <w:rPr>
        <w:rFonts w:ascii="Times New Roman" w:hAnsi="Times New Roman" w:cs="Times New Roman" w:hint="default"/>
        <w:b w:val="0"/>
        <w:i w:val="0"/>
        <w:color w:val="auto"/>
        <w:sz w:val="22"/>
        <w:u w:val="none"/>
      </w:rPr>
    </w:lvl>
  </w:abstractNum>
  <w:abstractNum w:abstractNumId="19">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21">
    <w:nsid w:val="6EE62D78"/>
    <w:multiLevelType w:val="multilevel"/>
    <w:tmpl w:val="07BC266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5AD36DC"/>
    <w:multiLevelType w:val="hybridMultilevel"/>
    <w:tmpl w:val="A9720FBA"/>
    <w:lvl w:ilvl="0" w:tplc="04050001">
      <w:start w:val="1"/>
      <w:numFmt w:val="bullet"/>
      <w:lvlText w:val=""/>
      <w:lvlJc w:val="left"/>
      <w:pPr>
        <w:ind w:left="702" w:hanging="495"/>
      </w:pPr>
      <w:rPr>
        <w:rFonts w:ascii="Symbol" w:hAnsi="Symbol" w:hint="default"/>
      </w:rPr>
    </w:lvl>
    <w:lvl w:ilvl="1" w:tplc="04050019" w:tentative="1">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25">
    <w:nsid w:val="75FA4842"/>
    <w:multiLevelType w:val="hybridMultilevel"/>
    <w:tmpl w:val="86366362"/>
    <w:lvl w:ilvl="0" w:tplc="298AF1B2">
      <w:start w:val="1"/>
      <w:numFmt w:val="decimal"/>
      <w:lvlText w:val="9.%1"/>
      <w:lvlJc w:val="left"/>
      <w:pPr>
        <w:tabs>
          <w:tab w:val="num" w:pos="851"/>
        </w:tabs>
        <w:ind w:left="851" w:hanging="851"/>
      </w:pPr>
      <w:rPr>
        <w:rFonts w:ascii="Times New Roman" w:hAnsi="Times New Roman" w:cs="Times New Roman" w:hint="default"/>
        <w:b w:val="0"/>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88673A7"/>
    <w:multiLevelType w:val="singleLevel"/>
    <w:tmpl w:val="E5CC7802"/>
    <w:lvl w:ilvl="0">
      <w:start w:val="1"/>
      <w:numFmt w:val="decimal"/>
      <w:lvlText w:val="7.%1"/>
      <w:lvlJc w:val="left"/>
      <w:pPr>
        <w:tabs>
          <w:tab w:val="num" w:pos="851"/>
        </w:tabs>
        <w:ind w:left="851" w:hanging="851"/>
      </w:pPr>
      <w:rPr>
        <w:rFonts w:ascii="Times New Roman" w:hAnsi="Times New Roman" w:cs="Times New Roman" w:hint="default"/>
        <w:b w:val="0"/>
        <w:i w:val="0"/>
        <w:sz w:val="22"/>
        <w:u w:val="none"/>
      </w:rPr>
    </w:lvl>
  </w:abstractNum>
  <w:abstractNum w:abstractNumId="28">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29">
    <w:nsid w:val="7BCE6725"/>
    <w:multiLevelType w:val="hybridMultilevel"/>
    <w:tmpl w:val="6CAC876C"/>
    <w:lvl w:ilvl="0" w:tplc="4A26FAA6">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F94334E"/>
    <w:multiLevelType w:val="hybridMultilevel"/>
    <w:tmpl w:val="C9E01392"/>
    <w:lvl w:ilvl="0" w:tplc="49E43A6C">
      <w:start w:val="1"/>
      <w:numFmt w:val="decimal"/>
      <w:lvlText w:val="5.%1"/>
      <w:lvlJc w:val="left"/>
      <w:pPr>
        <w:tabs>
          <w:tab w:val="num" w:pos="851"/>
        </w:tabs>
        <w:ind w:left="851" w:hanging="851"/>
      </w:pPr>
      <w:rPr>
        <w:rFonts w:ascii="Times New Roman" w:hAnsi="Times New Roman" w:cs="Times New Roman" w:hint="default"/>
        <w:b w:val="0"/>
        <w:i w:val="0"/>
        <w:color w:val="auto"/>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7FF6453E"/>
    <w:multiLevelType w:val="multilevel"/>
    <w:tmpl w:val="E3AE2A02"/>
    <w:lvl w:ilvl="0">
      <w:start w:val="12"/>
      <w:numFmt w:val="decimal"/>
      <w:lvlText w:val="%1."/>
      <w:lvlJc w:val="left"/>
      <w:pPr>
        <w:ind w:left="480" w:hanging="480"/>
      </w:pPr>
      <w:rPr>
        <w:rFonts w:hint="default"/>
        <w:b w:val="0"/>
      </w:rPr>
    </w:lvl>
    <w:lvl w:ilvl="1">
      <w:start w:val="1"/>
      <w:numFmt w:val="decimal"/>
      <w:lvlText w:val="%1.%2."/>
      <w:lvlJc w:val="left"/>
      <w:pPr>
        <w:ind w:left="1331" w:hanging="480"/>
      </w:pPr>
      <w:rPr>
        <w:rFonts w:hint="default"/>
        <w:b w:val="0"/>
        <w:sz w:val="24"/>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num w:numId="1">
    <w:abstractNumId w:val="16"/>
  </w:num>
  <w:num w:numId="2">
    <w:abstractNumId w:val="18"/>
  </w:num>
  <w:num w:numId="3">
    <w:abstractNumId w:val="15"/>
  </w:num>
  <w:num w:numId="4">
    <w:abstractNumId w:val="28"/>
  </w:num>
  <w:num w:numId="5">
    <w:abstractNumId w:val="31"/>
  </w:num>
  <w:num w:numId="6">
    <w:abstractNumId w:val="8"/>
  </w:num>
  <w:num w:numId="7">
    <w:abstractNumId w:val="6"/>
  </w:num>
  <w:num w:numId="8">
    <w:abstractNumId w:val="25"/>
  </w:num>
  <w:num w:numId="9">
    <w:abstractNumId w:val="2"/>
  </w:num>
  <w:num w:numId="10">
    <w:abstractNumId w:val="26"/>
  </w:num>
  <w:num w:numId="11">
    <w:abstractNumId w:val="23"/>
  </w:num>
  <w:num w:numId="12">
    <w:abstractNumId w:val="10"/>
  </w:num>
  <w:num w:numId="13">
    <w:abstractNumId w:val="0"/>
  </w:num>
  <w:num w:numId="14">
    <w:abstractNumId w:val="22"/>
  </w:num>
  <w:num w:numId="15">
    <w:abstractNumId w:val="11"/>
  </w:num>
  <w:num w:numId="16">
    <w:abstractNumId w:val="20"/>
  </w:num>
  <w:num w:numId="17">
    <w:abstractNumId w:val="27"/>
  </w:num>
  <w:num w:numId="18">
    <w:abstractNumId w:val="19"/>
  </w:num>
  <w:num w:numId="19">
    <w:abstractNumId w:val="30"/>
  </w:num>
  <w:num w:numId="20">
    <w:abstractNumId w:val="1"/>
  </w:num>
  <w:num w:numId="21">
    <w:abstractNumId w:val="17"/>
  </w:num>
  <w:num w:numId="22">
    <w:abstractNumId w:val="7"/>
  </w:num>
  <w:num w:numId="23">
    <w:abstractNumId w:val="14"/>
  </w:num>
  <w:num w:numId="24">
    <w:abstractNumId w:val="4"/>
  </w:num>
  <w:num w:numId="25">
    <w:abstractNumId w:val="3"/>
  </w:num>
  <w:num w:numId="26">
    <w:abstractNumId w:val="12"/>
  </w:num>
  <w:num w:numId="27">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1"/>
  </w:num>
  <w:num w:numId="30">
    <w:abstractNumId w:val="32"/>
  </w:num>
  <w:num w:numId="31">
    <w:abstractNumId w:val="13"/>
  </w:num>
  <w:num w:numId="32">
    <w:abstractNumId w:val="2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1E1E"/>
    <w:rsid w:val="00012241"/>
    <w:rsid w:val="00013221"/>
    <w:rsid w:val="000132A7"/>
    <w:rsid w:val="00020757"/>
    <w:rsid w:val="00020971"/>
    <w:rsid w:val="000344C5"/>
    <w:rsid w:val="00036744"/>
    <w:rsid w:val="00040516"/>
    <w:rsid w:val="00043A55"/>
    <w:rsid w:val="0004438B"/>
    <w:rsid w:val="00051889"/>
    <w:rsid w:val="00053D8D"/>
    <w:rsid w:val="000572A3"/>
    <w:rsid w:val="00064B1D"/>
    <w:rsid w:val="0006644B"/>
    <w:rsid w:val="0007119C"/>
    <w:rsid w:val="0007619F"/>
    <w:rsid w:val="00082EE7"/>
    <w:rsid w:val="00085ACD"/>
    <w:rsid w:val="00095FDB"/>
    <w:rsid w:val="00097193"/>
    <w:rsid w:val="000A0A64"/>
    <w:rsid w:val="000A171F"/>
    <w:rsid w:val="000A2E21"/>
    <w:rsid w:val="000A3F7C"/>
    <w:rsid w:val="000A5304"/>
    <w:rsid w:val="000A76C4"/>
    <w:rsid w:val="000B23D1"/>
    <w:rsid w:val="000B4217"/>
    <w:rsid w:val="000B61D8"/>
    <w:rsid w:val="000C4430"/>
    <w:rsid w:val="000D63FC"/>
    <w:rsid w:val="000E12C3"/>
    <w:rsid w:val="000F7122"/>
    <w:rsid w:val="00102CFB"/>
    <w:rsid w:val="001128D2"/>
    <w:rsid w:val="0012112F"/>
    <w:rsid w:val="00124E54"/>
    <w:rsid w:val="00126A9A"/>
    <w:rsid w:val="0012740D"/>
    <w:rsid w:val="00133CA3"/>
    <w:rsid w:val="00134292"/>
    <w:rsid w:val="00143F3E"/>
    <w:rsid w:val="001504A2"/>
    <w:rsid w:val="00150F3F"/>
    <w:rsid w:val="0016110C"/>
    <w:rsid w:val="00167E17"/>
    <w:rsid w:val="00172B03"/>
    <w:rsid w:val="00175106"/>
    <w:rsid w:val="00175960"/>
    <w:rsid w:val="001962E3"/>
    <w:rsid w:val="00197CB7"/>
    <w:rsid w:val="001A5AF0"/>
    <w:rsid w:val="001A6F2A"/>
    <w:rsid w:val="001B51E2"/>
    <w:rsid w:val="001D4ACE"/>
    <w:rsid w:val="00203EBD"/>
    <w:rsid w:val="002179A8"/>
    <w:rsid w:val="00221F8C"/>
    <w:rsid w:val="002324EC"/>
    <w:rsid w:val="00235396"/>
    <w:rsid w:val="002354D1"/>
    <w:rsid w:val="0024417C"/>
    <w:rsid w:val="00246940"/>
    <w:rsid w:val="00251A87"/>
    <w:rsid w:val="00256FBF"/>
    <w:rsid w:val="002658A9"/>
    <w:rsid w:val="00265D44"/>
    <w:rsid w:val="002821D9"/>
    <w:rsid w:val="002B2A1D"/>
    <w:rsid w:val="002B65DD"/>
    <w:rsid w:val="002C458F"/>
    <w:rsid w:val="002D2786"/>
    <w:rsid w:val="002D498B"/>
    <w:rsid w:val="002D52B0"/>
    <w:rsid w:val="002E7917"/>
    <w:rsid w:val="002F0F50"/>
    <w:rsid w:val="002F2814"/>
    <w:rsid w:val="002F56BC"/>
    <w:rsid w:val="00300511"/>
    <w:rsid w:val="00300DF2"/>
    <w:rsid w:val="0030254C"/>
    <w:rsid w:val="00302F96"/>
    <w:rsid w:val="003033C6"/>
    <w:rsid w:val="00303658"/>
    <w:rsid w:val="00306955"/>
    <w:rsid w:val="0032040C"/>
    <w:rsid w:val="003212B3"/>
    <w:rsid w:val="003231F1"/>
    <w:rsid w:val="00346428"/>
    <w:rsid w:val="00350617"/>
    <w:rsid w:val="00351647"/>
    <w:rsid w:val="00352D92"/>
    <w:rsid w:val="00353802"/>
    <w:rsid w:val="0035499F"/>
    <w:rsid w:val="00360296"/>
    <w:rsid w:val="0036195A"/>
    <w:rsid w:val="0036638E"/>
    <w:rsid w:val="00384D63"/>
    <w:rsid w:val="0039725D"/>
    <w:rsid w:val="003972B8"/>
    <w:rsid w:val="003A0942"/>
    <w:rsid w:val="003A2108"/>
    <w:rsid w:val="003B0799"/>
    <w:rsid w:val="003B35BA"/>
    <w:rsid w:val="003B4566"/>
    <w:rsid w:val="003B4CC3"/>
    <w:rsid w:val="003B5832"/>
    <w:rsid w:val="003B70C8"/>
    <w:rsid w:val="003C35A8"/>
    <w:rsid w:val="003C7384"/>
    <w:rsid w:val="003D0288"/>
    <w:rsid w:val="003D09C1"/>
    <w:rsid w:val="003D29D6"/>
    <w:rsid w:val="003D5A9B"/>
    <w:rsid w:val="003E47D3"/>
    <w:rsid w:val="003F0801"/>
    <w:rsid w:val="003F4000"/>
    <w:rsid w:val="004023C0"/>
    <w:rsid w:val="0040457F"/>
    <w:rsid w:val="00406998"/>
    <w:rsid w:val="00410840"/>
    <w:rsid w:val="004162E0"/>
    <w:rsid w:val="004331C0"/>
    <w:rsid w:val="00433729"/>
    <w:rsid w:val="00433932"/>
    <w:rsid w:val="004357B7"/>
    <w:rsid w:val="0044413B"/>
    <w:rsid w:val="0044446E"/>
    <w:rsid w:val="004461D5"/>
    <w:rsid w:val="004540F1"/>
    <w:rsid w:val="00455900"/>
    <w:rsid w:val="00457DD3"/>
    <w:rsid w:val="0046156D"/>
    <w:rsid w:val="0046256E"/>
    <w:rsid w:val="004638A8"/>
    <w:rsid w:val="00463E6F"/>
    <w:rsid w:val="00465589"/>
    <w:rsid w:val="00465C84"/>
    <w:rsid w:val="00473AE3"/>
    <w:rsid w:val="00481EBB"/>
    <w:rsid w:val="00482F7A"/>
    <w:rsid w:val="0048318A"/>
    <w:rsid w:val="00486470"/>
    <w:rsid w:val="004934DE"/>
    <w:rsid w:val="00495DE3"/>
    <w:rsid w:val="004975CF"/>
    <w:rsid w:val="004A1F5C"/>
    <w:rsid w:val="004B3E4F"/>
    <w:rsid w:val="004C0F09"/>
    <w:rsid w:val="004D43D9"/>
    <w:rsid w:val="004D7C78"/>
    <w:rsid w:val="004E0703"/>
    <w:rsid w:val="004E0B23"/>
    <w:rsid w:val="004E0BD0"/>
    <w:rsid w:val="004E0FAE"/>
    <w:rsid w:val="004F49F6"/>
    <w:rsid w:val="004F66C0"/>
    <w:rsid w:val="004F699B"/>
    <w:rsid w:val="004F6AA0"/>
    <w:rsid w:val="00502E1D"/>
    <w:rsid w:val="005138E7"/>
    <w:rsid w:val="00515086"/>
    <w:rsid w:val="00524874"/>
    <w:rsid w:val="005346CC"/>
    <w:rsid w:val="0053655E"/>
    <w:rsid w:val="00547CB0"/>
    <w:rsid w:val="00557C70"/>
    <w:rsid w:val="00560BF2"/>
    <w:rsid w:val="00561A21"/>
    <w:rsid w:val="005629D6"/>
    <w:rsid w:val="00566299"/>
    <w:rsid w:val="00566F27"/>
    <w:rsid w:val="0057338B"/>
    <w:rsid w:val="00584815"/>
    <w:rsid w:val="00592BD8"/>
    <w:rsid w:val="00595E50"/>
    <w:rsid w:val="005963A8"/>
    <w:rsid w:val="00596B25"/>
    <w:rsid w:val="00597A31"/>
    <w:rsid w:val="005A3596"/>
    <w:rsid w:val="005A4411"/>
    <w:rsid w:val="005A5731"/>
    <w:rsid w:val="005A6283"/>
    <w:rsid w:val="005B58C5"/>
    <w:rsid w:val="005B705D"/>
    <w:rsid w:val="005C5662"/>
    <w:rsid w:val="005D6449"/>
    <w:rsid w:val="005E3302"/>
    <w:rsid w:val="005E7139"/>
    <w:rsid w:val="005E7D3D"/>
    <w:rsid w:val="005F09C9"/>
    <w:rsid w:val="005F4309"/>
    <w:rsid w:val="005F7EDB"/>
    <w:rsid w:val="00600B96"/>
    <w:rsid w:val="00602BDB"/>
    <w:rsid w:val="00606C15"/>
    <w:rsid w:val="00613305"/>
    <w:rsid w:val="00615570"/>
    <w:rsid w:val="00621E02"/>
    <w:rsid w:val="006344C1"/>
    <w:rsid w:val="00634780"/>
    <w:rsid w:val="0063584C"/>
    <w:rsid w:val="00636111"/>
    <w:rsid w:val="00636C4C"/>
    <w:rsid w:val="006375DA"/>
    <w:rsid w:val="00643F76"/>
    <w:rsid w:val="00644B4F"/>
    <w:rsid w:val="00654A49"/>
    <w:rsid w:val="00660182"/>
    <w:rsid w:val="00663602"/>
    <w:rsid w:val="00672836"/>
    <w:rsid w:val="00681A23"/>
    <w:rsid w:val="006904F9"/>
    <w:rsid w:val="00690BCB"/>
    <w:rsid w:val="006A1AA4"/>
    <w:rsid w:val="006A2A29"/>
    <w:rsid w:val="006A5382"/>
    <w:rsid w:val="006A632E"/>
    <w:rsid w:val="006B45DB"/>
    <w:rsid w:val="006D05DB"/>
    <w:rsid w:val="006D2154"/>
    <w:rsid w:val="006D6F14"/>
    <w:rsid w:val="006E1773"/>
    <w:rsid w:val="006E3756"/>
    <w:rsid w:val="006E4EC2"/>
    <w:rsid w:val="006E4FC5"/>
    <w:rsid w:val="006E65DF"/>
    <w:rsid w:val="006E6DD6"/>
    <w:rsid w:val="006F3DE9"/>
    <w:rsid w:val="006F73A4"/>
    <w:rsid w:val="0070084A"/>
    <w:rsid w:val="007008ED"/>
    <w:rsid w:val="00703DB1"/>
    <w:rsid w:val="007047B6"/>
    <w:rsid w:val="00705208"/>
    <w:rsid w:val="00714E8B"/>
    <w:rsid w:val="007168C2"/>
    <w:rsid w:val="00717884"/>
    <w:rsid w:val="00717B4E"/>
    <w:rsid w:val="00731325"/>
    <w:rsid w:val="00732F72"/>
    <w:rsid w:val="007416C3"/>
    <w:rsid w:val="0074567D"/>
    <w:rsid w:val="00746F82"/>
    <w:rsid w:val="0074794D"/>
    <w:rsid w:val="0075034C"/>
    <w:rsid w:val="00750A54"/>
    <w:rsid w:val="00753CAB"/>
    <w:rsid w:val="00756E4A"/>
    <w:rsid w:val="00762332"/>
    <w:rsid w:val="00767CA6"/>
    <w:rsid w:val="00770224"/>
    <w:rsid w:val="00773F23"/>
    <w:rsid w:val="00774431"/>
    <w:rsid w:val="00776A70"/>
    <w:rsid w:val="00783D5E"/>
    <w:rsid w:val="007853A6"/>
    <w:rsid w:val="00791998"/>
    <w:rsid w:val="00793B5A"/>
    <w:rsid w:val="007947EA"/>
    <w:rsid w:val="0079487C"/>
    <w:rsid w:val="007B0E9D"/>
    <w:rsid w:val="007B245C"/>
    <w:rsid w:val="007B268E"/>
    <w:rsid w:val="007B6975"/>
    <w:rsid w:val="007C4B3B"/>
    <w:rsid w:val="007C4DEA"/>
    <w:rsid w:val="007D362F"/>
    <w:rsid w:val="007D4A64"/>
    <w:rsid w:val="007E1065"/>
    <w:rsid w:val="007E7EE1"/>
    <w:rsid w:val="007F2AA2"/>
    <w:rsid w:val="007F4974"/>
    <w:rsid w:val="007F77A7"/>
    <w:rsid w:val="00803355"/>
    <w:rsid w:val="00806F68"/>
    <w:rsid w:val="008249D7"/>
    <w:rsid w:val="008249EE"/>
    <w:rsid w:val="00831C13"/>
    <w:rsid w:val="008374CD"/>
    <w:rsid w:val="00840F2C"/>
    <w:rsid w:val="00842029"/>
    <w:rsid w:val="0084231E"/>
    <w:rsid w:val="00847843"/>
    <w:rsid w:val="00852970"/>
    <w:rsid w:val="008536EB"/>
    <w:rsid w:val="00855154"/>
    <w:rsid w:val="00857513"/>
    <w:rsid w:val="00866F32"/>
    <w:rsid w:val="0087093E"/>
    <w:rsid w:val="00874BE4"/>
    <w:rsid w:val="00877356"/>
    <w:rsid w:val="00880A54"/>
    <w:rsid w:val="00880B99"/>
    <w:rsid w:val="00886F64"/>
    <w:rsid w:val="008A1017"/>
    <w:rsid w:val="008A383B"/>
    <w:rsid w:val="008A3DED"/>
    <w:rsid w:val="008A7577"/>
    <w:rsid w:val="008A7B7E"/>
    <w:rsid w:val="008B7BBC"/>
    <w:rsid w:val="008C12D8"/>
    <w:rsid w:val="008C5622"/>
    <w:rsid w:val="008C7C04"/>
    <w:rsid w:val="008D5767"/>
    <w:rsid w:val="008E02C8"/>
    <w:rsid w:val="008E069F"/>
    <w:rsid w:val="008F59AC"/>
    <w:rsid w:val="008F6F60"/>
    <w:rsid w:val="00914F75"/>
    <w:rsid w:val="0092646A"/>
    <w:rsid w:val="00933172"/>
    <w:rsid w:val="00934FCA"/>
    <w:rsid w:val="00941F5F"/>
    <w:rsid w:val="009460F6"/>
    <w:rsid w:val="0094638A"/>
    <w:rsid w:val="00946C23"/>
    <w:rsid w:val="00957072"/>
    <w:rsid w:val="00963BCA"/>
    <w:rsid w:val="00971C78"/>
    <w:rsid w:val="0097609E"/>
    <w:rsid w:val="00985BA2"/>
    <w:rsid w:val="00986C45"/>
    <w:rsid w:val="0099006C"/>
    <w:rsid w:val="00992BE6"/>
    <w:rsid w:val="0099589C"/>
    <w:rsid w:val="00995EB3"/>
    <w:rsid w:val="00995FEB"/>
    <w:rsid w:val="00996646"/>
    <w:rsid w:val="009A3F58"/>
    <w:rsid w:val="009A71AC"/>
    <w:rsid w:val="009B1C5A"/>
    <w:rsid w:val="009D77B1"/>
    <w:rsid w:val="009E0024"/>
    <w:rsid w:val="009E79F6"/>
    <w:rsid w:val="009E7DA0"/>
    <w:rsid w:val="009F4FB9"/>
    <w:rsid w:val="00A02706"/>
    <w:rsid w:val="00A06F0C"/>
    <w:rsid w:val="00A1199D"/>
    <w:rsid w:val="00A12DBD"/>
    <w:rsid w:val="00A21728"/>
    <w:rsid w:val="00A256C9"/>
    <w:rsid w:val="00A3017A"/>
    <w:rsid w:val="00A333A0"/>
    <w:rsid w:val="00A37116"/>
    <w:rsid w:val="00A37F9B"/>
    <w:rsid w:val="00A41F35"/>
    <w:rsid w:val="00A54045"/>
    <w:rsid w:val="00A57703"/>
    <w:rsid w:val="00A63470"/>
    <w:rsid w:val="00A77B67"/>
    <w:rsid w:val="00A82DEA"/>
    <w:rsid w:val="00A8687A"/>
    <w:rsid w:val="00A87620"/>
    <w:rsid w:val="00A90406"/>
    <w:rsid w:val="00AA74B8"/>
    <w:rsid w:val="00AB10C1"/>
    <w:rsid w:val="00AB4D65"/>
    <w:rsid w:val="00AB62F1"/>
    <w:rsid w:val="00AB695B"/>
    <w:rsid w:val="00AC1195"/>
    <w:rsid w:val="00AC384A"/>
    <w:rsid w:val="00AD3584"/>
    <w:rsid w:val="00AD470B"/>
    <w:rsid w:val="00AE2642"/>
    <w:rsid w:val="00AE3EFB"/>
    <w:rsid w:val="00AE6295"/>
    <w:rsid w:val="00AE745D"/>
    <w:rsid w:val="00B0332F"/>
    <w:rsid w:val="00B46B1D"/>
    <w:rsid w:val="00B612D5"/>
    <w:rsid w:val="00B753A2"/>
    <w:rsid w:val="00B82357"/>
    <w:rsid w:val="00B90640"/>
    <w:rsid w:val="00B90B47"/>
    <w:rsid w:val="00B9228B"/>
    <w:rsid w:val="00B9303C"/>
    <w:rsid w:val="00B93824"/>
    <w:rsid w:val="00B96FCC"/>
    <w:rsid w:val="00BA773F"/>
    <w:rsid w:val="00BB2180"/>
    <w:rsid w:val="00BB2D18"/>
    <w:rsid w:val="00BD31D6"/>
    <w:rsid w:val="00BD463F"/>
    <w:rsid w:val="00BD6C78"/>
    <w:rsid w:val="00BE1955"/>
    <w:rsid w:val="00BE3A33"/>
    <w:rsid w:val="00BF2028"/>
    <w:rsid w:val="00BF2F1E"/>
    <w:rsid w:val="00BF3255"/>
    <w:rsid w:val="00C067BB"/>
    <w:rsid w:val="00C12C0B"/>
    <w:rsid w:val="00C13571"/>
    <w:rsid w:val="00C21BF4"/>
    <w:rsid w:val="00C27833"/>
    <w:rsid w:val="00C27B95"/>
    <w:rsid w:val="00C328DE"/>
    <w:rsid w:val="00C32D88"/>
    <w:rsid w:val="00C35332"/>
    <w:rsid w:val="00C45E22"/>
    <w:rsid w:val="00C515C9"/>
    <w:rsid w:val="00C51BA5"/>
    <w:rsid w:val="00C5413D"/>
    <w:rsid w:val="00C56DD3"/>
    <w:rsid w:val="00C711B4"/>
    <w:rsid w:val="00C7134B"/>
    <w:rsid w:val="00C73640"/>
    <w:rsid w:val="00C77854"/>
    <w:rsid w:val="00C84727"/>
    <w:rsid w:val="00C84C3A"/>
    <w:rsid w:val="00C85501"/>
    <w:rsid w:val="00C85579"/>
    <w:rsid w:val="00C87CAF"/>
    <w:rsid w:val="00C92C5B"/>
    <w:rsid w:val="00C9449D"/>
    <w:rsid w:val="00CA211B"/>
    <w:rsid w:val="00CA2F02"/>
    <w:rsid w:val="00CA6AD5"/>
    <w:rsid w:val="00CC1D62"/>
    <w:rsid w:val="00CC22E3"/>
    <w:rsid w:val="00CD15A7"/>
    <w:rsid w:val="00CE1C55"/>
    <w:rsid w:val="00CE5FEE"/>
    <w:rsid w:val="00D012E1"/>
    <w:rsid w:val="00D01650"/>
    <w:rsid w:val="00D0464B"/>
    <w:rsid w:val="00D13D50"/>
    <w:rsid w:val="00D1698C"/>
    <w:rsid w:val="00D16F68"/>
    <w:rsid w:val="00D43A62"/>
    <w:rsid w:val="00D4436A"/>
    <w:rsid w:val="00D461C5"/>
    <w:rsid w:val="00D5235C"/>
    <w:rsid w:val="00D548C3"/>
    <w:rsid w:val="00D56AEB"/>
    <w:rsid w:val="00D56DF2"/>
    <w:rsid w:val="00D6120C"/>
    <w:rsid w:val="00D6364B"/>
    <w:rsid w:val="00D711E4"/>
    <w:rsid w:val="00D768C1"/>
    <w:rsid w:val="00D77061"/>
    <w:rsid w:val="00D864CA"/>
    <w:rsid w:val="00D93480"/>
    <w:rsid w:val="00DA05F4"/>
    <w:rsid w:val="00DA3C03"/>
    <w:rsid w:val="00DB0147"/>
    <w:rsid w:val="00DB12A3"/>
    <w:rsid w:val="00DB3F67"/>
    <w:rsid w:val="00DB4B19"/>
    <w:rsid w:val="00DC1B06"/>
    <w:rsid w:val="00DC26F4"/>
    <w:rsid w:val="00DD1AF4"/>
    <w:rsid w:val="00DD1FCA"/>
    <w:rsid w:val="00DE5981"/>
    <w:rsid w:val="00DF0C95"/>
    <w:rsid w:val="00DF1831"/>
    <w:rsid w:val="00E147D4"/>
    <w:rsid w:val="00E152A7"/>
    <w:rsid w:val="00E1609B"/>
    <w:rsid w:val="00E3179B"/>
    <w:rsid w:val="00E34397"/>
    <w:rsid w:val="00E43D89"/>
    <w:rsid w:val="00E51409"/>
    <w:rsid w:val="00E5206C"/>
    <w:rsid w:val="00E5417F"/>
    <w:rsid w:val="00E6232E"/>
    <w:rsid w:val="00E71354"/>
    <w:rsid w:val="00E72798"/>
    <w:rsid w:val="00E75237"/>
    <w:rsid w:val="00E7635E"/>
    <w:rsid w:val="00E76541"/>
    <w:rsid w:val="00E85099"/>
    <w:rsid w:val="00E869EB"/>
    <w:rsid w:val="00E873B3"/>
    <w:rsid w:val="00EA3BE5"/>
    <w:rsid w:val="00EB1CB6"/>
    <w:rsid w:val="00EB2847"/>
    <w:rsid w:val="00EB7238"/>
    <w:rsid w:val="00ED6119"/>
    <w:rsid w:val="00ED64F1"/>
    <w:rsid w:val="00EE5368"/>
    <w:rsid w:val="00EF2358"/>
    <w:rsid w:val="00EF3C51"/>
    <w:rsid w:val="00EF5E3C"/>
    <w:rsid w:val="00EF6FC5"/>
    <w:rsid w:val="00F001D3"/>
    <w:rsid w:val="00F150A3"/>
    <w:rsid w:val="00F36D29"/>
    <w:rsid w:val="00F371C8"/>
    <w:rsid w:val="00F4646A"/>
    <w:rsid w:val="00F50AAE"/>
    <w:rsid w:val="00F514B1"/>
    <w:rsid w:val="00F55D7F"/>
    <w:rsid w:val="00F60396"/>
    <w:rsid w:val="00F634A8"/>
    <w:rsid w:val="00F66257"/>
    <w:rsid w:val="00F76CCA"/>
    <w:rsid w:val="00F8388B"/>
    <w:rsid w:val="00F8577D"/>
    <w:rsid w:val="00F866AD"/>
    <w:rsid w:val="00F87849"/>
    <w:rsid w:val="00F92749"/>
    <w:rsid w:val="00FA5036"/>
    <w:rsid w:val="00FA5C88"/>
    <w:rsid w:val="00FA62AA"/>
    <w:rsid w:val="00FB1FB9"/>
    <w:rsid w:val="00FB289A"/>
    <w:rsid w:val="00FB3861"/>
    <w:rsid w:val="00FB6DF5"/>
    <w:rsid w:val="00FC0202"/>
    <w:rsid w:val="00FC4BE0"/>
    <w:rsid w:val="00FD4896"/>
    <w:rsid w:val="00FD7CE6"/>
    <w:rsid w:val="00FE14D9"/>
    <w:rsid w:val="00FE4A23"/>
    <w:rsid w:val="00FE7B42"/>
    <w:rsid w:val="00FF15B2"/>
    <w:rsid w:val="00FF4CE7"/>
    <w:rsid w:val="00FF57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character" w:customStyle="1" w:styleId="Zkladntext2Char">
    <w:name w:val="Základní text 2 Char"/>
    <w:basedOn w:val="Standardnpsmoodstavce"/>
    <w:link w:val="Zkladntext2"/>
    <w:rsid w:val="0094638A"/>
    <w:rPr>
      <w:rFonts w:ascii="Arial Narrow" w:hAnsi="Arial Narrow"/>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link w:val="Zkladntext2Char"/>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character" w:customStyle="1" w:styleId="Zkladntext2Char">
    <w:name w:val="Základní text 2 Char"/>
    <w:basedOn w:val="Standardnpsmoodstavce"/>
    <w:link w:val="Zkladntext2"/>
    <w:rsid w:val="0094638A"/>
    <w:rPr>
      <w:rFonts w:ascii="Arial Narrow" w:hAnsi="Arial Narro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31947">
      <w:bodyDiv w:val="1"/>
      <w:marLeft w:val="0"/>
      <w:marRight w:val="0"/>
      <w:marTop w:val="0"/>
      <w:marBottom w:val="0"/>
      <w:divBdr>
        <w:top w:val="none" w:sz="0" w:space="0" w:color="auto"/>
        <w:left w:val="none" w:sz="0" w:space="0" w:color="auto"/>
        <w:bottom w:val="none" w:sz="0" w:space="0" w:color="auto"/>
        <w:right w:val="none" w:sz="0" w:space="0" w:color="auto"/>
      </w:divBdr>
    </w:div>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21729940">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 w:id="202836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nahlizenidokn.cuzk.cz/VyberKatastrInfo.aspx?encrypted=qDUlAJByzmJNljAv26UenK3nU8kfYE637BRfOMLvrmvCFUPhlWUnoqiPEzPyuLKyWC3IsjZwYBhoC2YH_AT7B3fFoYGdmhS-zsnz9Z05YxxqfrMpArw_1A=="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package" Target="embeddings/Microsoft_Word_Document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B3690-59F1-4790-B6DA-8078A1BA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2778</Words>
  <Characters>16879</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19618</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Anna Pilecká</cp:lastModifiedBy>
  <cp:revision>2</cp:revision>
  <cp:lastPrinted>2016-08-25T12:20:00Z</cp:lastPrinted>
  <dcterms:created xsi:type="dcterms:W3CDTF">2016-08-29T12:53:00Z</dcterms:created>
  <dcterms:modified xsi:type="dcterms:W3CDTF">2016-08-29T12:53:00Z</dcterms:modified>
</cp:coreProperties>
</file>