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C6" w:rsidRDefault="008E7BC6" w:rsidP="008E7BC6">
      <w:pPr>
        <w:jc w:val="center"/>
        <w:outlineLvl w:val="0"/>
        <w:rPr>
          <w:b/>
          <w:bCs/>
          <w:smallCaps/>
          <w:sz w:val="32"/>
          <w:szCs w:val="32"/>
        </w:rPr>
      </w:pPr>
      <w:r>
        <w:rPr>
          <w:b/>
          <w:bCs/>
          <w:smallCaps/>
          <w:sz w:val="32"/>
          <w:szCs w:val="32"/>
        </w:rPr>
        <w:t>NÁJEMNÍ SMLOUVA</w:t>
      </w:r>
    </w:p>
    <w:p w:rsidR="00B139FE" w:rsidRDefault="00B139FE" w:rsidP="008E7BC6">
      <w:pPr>
        <w:jc w:val="center"/>
        <w:outlineLvl w:val="0"/>
        <w:rPr>
          <w:b/>
          <w:bCs/>
          <w:smallCaps/>
          <w:sz w:val="32"/>
          <w:szCs w:val="32"/>
          <w:u w:val="single"/>
        </w:rPr>
      </w:pPr>
    </w:p>
    <w:p w:rsidR="008E7BC6" w:rsidRDefault="008E7BC6" w:rsidP="006228CE">
      <w:pPr>
        <w:ind w:firstLine="708"/>
        <w:jc w:val="both"/>
        <w:rPr>
          <w:sz w:val="22"/>
          <w:szCs w:val="22"/>
        </w:rPr>
      </w:pPr>
      <w:r>
        <w:rPr>
          <w:sz w:val="22"/>
          <w:szCs w:val="22"/>
        </w:rPr>
        <w:t xml:space="preserve">kterou uzavřely v souladu se zákonem č. 89/2012 Sb., občanským zákoníkem, ve znění pozdějších předpisů (dále jen občanský zákoník) </w:t>
      </w:r>
    </w:p>
    <w:p w:rsidR="008E7BC6" w:rsidRDefault="008E7BC6" w:rsidP="008E7BC6">
      <w:pPr>
        <w:jc w:val="both"/>
        <w:rPr>
          <w:sz w:val="24"/>
          <w:szCs w:val="24"/>
        </w:rPr>
      </w:pPr>
    </w:p>
    <w:p w:rsidR="008E7BC6" w:rsidRDefault="008E7BC6" w:rsidP="008E7BC6">
      <w:pPr>
        <w:jc w:val="both"/>
        <w:rPr>
          <w:sz w:val="24"/>
          <w:szCs w:val="24"/>
        </w:rPr>
      </w:pPr>
      <w:r>
        <w:rPr>
          <w:sz w:val="24"/>
          <w:szCs w:val="24"/>
        </w:rPr>
        <w:t xml:space="preserve">tyto smluvní </w:t>
      </w:r>
      <w:r w:rsidR="009519E9">
        <w:rPr>
          <w:sz w:val="24"/>
          <w:szCs w:val="24"/>
        </w:rPr>
        <w:t>strany:</w:t>
      </w:r>
    </w:p>
    <w:p w:rsidR="008E7BC6" w:rsidRDefault="008E7BC6" w:rsidP="008E7BC6">
      <w:pPr>
        <w:jc w:val="both"/>
        <w:rPr>
          <w:sz w:val="24"/>
          <w:szCs w:val="24"/>
        </w:rPr>
      </w:pPr>
    </w:p>
    <w:p w:rsidR="00B139FE" w:rsidRPr="00B139FE" w:rsidRDefault="00B139FE" w:rsidP="008E7BC6">
      <w:pPr>
        <w:numPr>
          <w:ilvl w:val="0"/>
          <w:numId w:val="1"/>
        </w:numPr>
        <w:tabs>
          <w:tab w:val="num" w:pos="360"/>
        </w:tabs>
        <w:ind w:left="360" w:hanging="360"/>
        <w:rPr>
          <w:sz w:val="24"/>
          <w:szCs w:val="24"/>
        </w:rPr>
      </w:pPr>
      <w:r>
        <w:rPr>
          <w:b/>
          <w:sz w:val="24"/>
          <w:szCs w:val="24"/>
        </w:rPr>
        <w:t>Hřbitovy města Olomouce, příspěvková organizace</w:t>
      </w:r>
      <w:r w:rsidRPr="00B139FE">
        <w:rPr>
          <w:sz w:val="24"/>
          <w:szCs w:val="24"/>
        </w:rPr>
        <w:t>, pověřené městem Olomouc,</w:t>
      </w:r>
    </w:p>
    <w:p w:rsidR="00B139FE" w:rsidRPr="00B139FE" w:rsidRDefault="00B139FE" w:rsidP="00B139FE">
      <w:pPr>
        <w:ind w:left="360"/>
        <w:rPr>
          <w:sz w:val="24"/>
          <w:szCs w:val="24"/>
        </w:rPr>
      </w:pPr>
      <w:r w:rsidRPr="00B139FE">
        <w:rPr>
          <w:sz w:val="24"/>
          <w:szCs w:val="24"/>
        </w:rPr>
        <w:t>Tř. Míru 132/108, 779 00 Olomouc</w:t>
      </w:r>
    </w:p>
    <w:p w:rsidR="00B139FE" w:rsidRDefault="00B139FE" w:rsidP="00B139FE">
      <w:pPr>
        <w:ind w:left="360"/>
        <w:rPr>
          <w:sz w:val="24"/>
          <w:szCs w:val="24"/>
        </w:rPr>
      </w:pPr>
      <w:r>
        <w:rPr>
          <w:sz w:val="24"/>
          <w:szCs w:val="24"/>
        </w:rPr>
        <w:t>IČ 00534943</w:t>
      </w:r>
    </w:p>
    <w:p w:rsidR="00B139FE" w:rsidRDefault="00B139FE" w:rsidP="00B139FE">
      <w:pPr>
        <w:ind w:left="360"/>
        <w:rPr>
          <w:sz w:val="24"/>
          <w:szCs w:val="24"/>
        </w:rPr>
      </w:pPr>
      <w:r>
        <w:rPr>
          <w:sz w:val="24"/>
          <w:szCs w:val="24"/>
        </w:rPr>
        <w:t>bank. spojení: KB a.s., pob. Olomouc č.ú.</w:t>
      </w:r>
      <w:r w:rsidR="009519E9">
        <w:rPr>
          <w:sz w:val="24"/>
          <w:szCs w:val="24"/>
        </w:rPr>
        <w:t xml:space="preserve"> </w:t>
      </w:r>
      <w:r>
        <w:rPr>
          <w:sz w:val="24"/>
          <w:szCs w:val="24"/>
        </w:rPr>
        <w:t xml:space="preserve">63930811 / </w:t>
      </w:r>
      <w:r w:rsidRPr="00B139FE">
        <w:rPr>
          <w:sz w:val="24"/>
          <w:szCs w:val="24"/>
        </w:rPr>
        <w:t>0100</w:t>
      </w:r>
    </w:p>
    <w:p w:rsidR="008E7BC6" w:rsidRPr="00B139FE" w:rsidRDefault="00B139FE" w:rsidP="00B139FE">
      <w:pPr>
        <w:ind w:left="360"/>
        <w:rPr>
          <w:sz w:val="24"/>
          <w:szCs w:val="24"/>
        </w:rPr>
      </w:pPr>
      <w:r>
        <w:rPr>
          <w:sz w:val="24"/>
          <w:szCs w:val="24"/>
        </w:rPr>
        <w:t>z</w:t>
      </w:r>
      <w:r w:rsidRPr="00B139FE">
        <w:rPr>
          <w:sz w:val="24"/>
          <w:szCs w:val="24"/>
        </w:rPr>
        <w:t>astoupená</w:t>
      </w:r>
      <w:r>
        <w:rPr>
          <w:sz w:val="24"/>
          <w:szCs w:val="24"/>
        </w:rPr>
        <w:t xml:space="preserve"> ing. Evženem Horáčkem, </w:t>
      </w:r>
      <w:r w:rsidR="00A23BE3">
        <w:rPr>
          <w:sz w:val="24"/>
          <w:szCs w:val="24"/>
        </w:rPr>
        <w:t>pověřeným řízením</w:t>
      </w:r>
      <w:r>
        <w:rPr>
          <w:sz w:val="24"/>
          <w:szCs w:val="24"/>
        </w:rPr>
        <w:t xml:space="preserve"> organizace</w:t>
      </w:r>
      <w:r w:rsidRPr="00B139FE">
        <w:rPr>
          <w:sz w:val="24"/>
          <w:szCs w:val="24"/>
        </w:rPr>
        <w:t xml:space="preserve"> </w:t>
      </w:r>
      <w:r w:rsidR="008E7BC6" w:rsidRPr="00B139FE">
        <w:rPr>
          <w:sz w:val="24"/>
          <w:szCs w:val="24"/>
        </w:rPr>
        <w:t xml:space="preserve">   </w:t>
      </w:r>
      <w:r w:rsidR="008E7BC6" w:rsidRPr="00B139FE">
        <w:rPr>
          <w:sz w:val="24"/>
          <w:szCs w:val="24"/>
        </w:rPr>
        <w:br/>
        <w:t>jako pronajímatel</w:t>
      </w:r>
    </w:p>
    <w:p w:rsidR="008E7BC6" w:rsidRDefault="008E7BC6" w:rsidP="008E7BC6">
      <w:pPr>
        <w:rPr>
          <w:sz w:val="24"/>
          <w:szCs w:val="24"/>
        </w:rPr>
      </w:pPr>
    </w:p>
    <w:p w:rsidR="008E7BC6" w:rsidRDefault="008E7BC6" w:rsidP="008E7BC6">
      <w:pPr>
        <w:rPr>
          <w:sz w:val="24"/>
          <w:szCs w:val="24"/>
        </w:rPr>
      </w:pPr>
      <w:r>
        <w:rPr>
          <w:sz w:val="24"/>
          <w:szCs w:val="24"/>
        </w:rPr>
        <w:t>a</w:t>
      </w:r>
    </w:p>
    <w:p w:rsidR="008E7BC6" w:rsidRDefault="008E7BC6" w:rsidP="008E7BC6">
      <w:pPr>
        <w:rPr>
          <w:sz w:val="24"/>
          <w:szCs w:val="24"/>
        </w:rPr>
      </w:pPr>
    </w:p>
    <w:p w:rsidR="00A23BE3" w:rsidRDefault="00A23BE3" w:rsidP="00A23BE3">
      <w:pPr>
        <w:numPr>
          <w:ilvl w:val="0"/>
          <w:numId w:val="1"/>
        </w:numPr>
        <w:tabs>
          <w:tab w:val="num" w:pos="360"/>
        </w:tabs>
        <w:ind w:left="360" w:hanging="360"/>
        <w:rPr>
          <w:b/>
          <w:bCs/>
          <w:sz w:val="24"/>
          <w:szCs w:val="24"/>
        </w:rPr>
      </w:pPr>
      <w:r>
        <w:rPr>
          <w:b/>
          <w:bCs/>
          <w:sz w:val="24"/>
          <w:szCs w:val="24"/>
        </w:rPr>
        <w:t>Tomáš Hořínek Fa Kameník</w:t>
      </w:r>
    </w:p>
    <w:p w:rsidR="00A23BE3" w:rsidRDefault="00A23BE3" w:rsidP="00A23BE3">
      <w:pPr>
        <w:ind w:left="360"/>
        <w:rPr>
          <w:sz w:val="24"/>
          <w:szCs w:val="24"/>
        </w:rPr>
      </w:pPr>
      <w:r>
        <w:rPr>
          <w:sz w:val="24"/>
          <w:szCs w:val="24"/>
        </w:rPr>
        <w:t>Tř. Míru 104, 779 00 Olomouc</w:t>
      </w:r>
    </w:p>
    <w:p w:rsidR="00A23BE3" w:rsidRDefault="00A23BE3" w:rsidP="00A23BE3">
      <w:pPr>
        <w:ind w:left="360"/>
        <w:rPr>
          <w:sz w:val="24"/>
          <w:szCs w:val="24"/>
        </w:rPr>
      </w:pPr>
      <w:r>
        <w:rPr>
          <w:sz w:val="24"/>
          <w:szCs w:val="24"/>
        </w:rPr>
        <w:t>IČ 45191085</w:t>
      </w:r>
    </w:p>
    <w:p w:rsidR="00A23BE3" w:rsidRDefault="00A23BE3" w:rsidP="00A23BE3">
      <w:pPr>
        <w:ind w:left="360"/>
        <w:rPr>
          <w:sz w:val="24"/>
          <w:szCs w:val="24"/>
        </w:rPr>
      </w:pPr>
      <w:r>
        <w:rPr>
          <w:sz w:val="24"/>
          <w:szCs w:val="24"/>
        </w:rPr>
        <w:t xml:space="preserve">bank. </w:t>
      </w:r>
      <w:proofErr w:type="gramStart"/>
      <w:r>
        <w:rPr>
          <w:sz w:val="24"/>
          <w:szCs w:val="24"/>
        </w:rPr>
        <w:t>spojení</w:t>
      </w:r>
      <w:proofErr w:type="gramEnd"/>
      <w:r>
        <w:rPr>
          <w:sz w:val="24"/>
          <w:szCs w:val="24"/>
        </w:rPr>
        <w:t xml:space="preserve"> KB a.s., pob. Olomouc, </w:t>
      </w:r>
      <w:proofErr w:type="gramStart"/>
      <w:r>
        <w:rPr>
          <w:sz w:val="24"/>
          <w:szCs w:val="24"/>
        </w:rPr>
        <w:t>č.ú.</w:t>
      </w:r>
      <w:proofErr w:type="gramEnd"/>
      <w:r>
        <w:rPr>
          <w:sz w:val="24"/>
          <w:szCs w:val="24"/>
        </w:rPr>
        <w:t xml:space="preserve"> 909449811 / 0100</w:t>
      </w:r>
    </w:p>
    <w:p w:rsidR="00A23BE3" w:rsidRDefault="00A23BE3" w:rsidP="00A23BE3">
      <w:pPr>
        <w:ind w:left="360"/>
        <w:rPr>
          <w:sz w:val="24"/>
          <w:szCs w:val="24"/>
        </w:rPr>
      </w:pPr>
      <w:r>
        <w:rPr>
          <w:sz w:val="24"/>
          <w:szCs w:val="24"/>
        </w:rPr>
        <w:t>zastoupená Tomášem Hořínkem</w:t>
      </w:r>
    </w:p>
    <w:p w:rsidR="00A23BE3" w:rsidRDefault="00A23BE3" w:rsidP="00A23BE3">
      <w:pPr>
        <w:ind w:left="360"/>
        <w:rPr>
          <w:sz w:val="24"/>
          <w:szCs w:val="24"/>
        </w:rPr>
      </w:pPr>
      <w:r>
        <w:rPr>
          <w:sz w:val="24"/>
          <w:szCs w:val="24"/>
        </w:rPr>
        <w:t>jako nájemce.</w:t>
      </w:r>
    </w:p>
    <w:p w:rsidR="00A23BE3" w:rsidRDefault="00A23BE3" w:rsidP="00A23BE3">
      <w:pPr>
        <w:ind w:left="360"/>
        <w:rPr>
          <w:b/>
          <w:bCs/>
          <w:sz w:val="24"/>
          <w:szCs w:val="24"/>
        </w:rPr>
      </w:pPr>
    </w:p>
    <w:p w:rsidR="008E7BC6" w:rsidRDefault="008E7BC6" w:rsidP="008E7BC6">
      <w:pPr>
        <w:jc w:val="center"/>
        <w:rPr>
          <w:b/>
          <w:bCs/>
          <w:sz w:val="24"/>
          <w:szCs w:val="24"/>
        </w:rPr>
      </w:pPr>
    </w:p>
    <w:p w:rsidR="008E7BC6" w:rsidRDefault="008E7BC6" w:rsidP="008E7BC6">
      <w:pPr>
        <w:jc w:val="center"/>
        <w:outlineLvl w:val="0"/>
        <w:rPr>
          <w:b/>
          <w:bCs/>
          <w:sz w:val="24"/>
          <w:szCs w:val="24"/>
        </w:rPr>
      </w:pPr>
      <w:r>
        <w:rPr>
          <w:b/>
          <w:bCs/>
          <w:sz w:val="24"/>
          <w:szCs w:val="24"/>
        </w:rPr>
        <w:t>I.</w:t>
      </w:r>
    </w:p>
    <w:p w:rsidR="008E7BC6" w:rsidRDefault="008E7BC6" w:rsidP="008E7BC6">
      <w:pPr>
        <w:jc w:val="center"/>
        <w:rPr>
          <w:b/>
          <w:bCs/>
          <w:sz w:val="24"/>
          <w:szCs w:val="24"/>
        </w:rPr>
      </w:pPr>
      <w:r>
        <w:rPr>
          <w:b/>
          <w:bCs/>
          <w:sz w:val="24"/>
          <w:szCs w:val="24"/>
        </w:rPr>
        <w:t>Předmět a účel nájmu</w:t>
      </w:r>
    </w:p>
    <w:p w:rsidR="008E7BC6" w:rsidRDefault="008E7BC6" w:rsidP="008E7BC6">
      <w:pPr>
        <w:jc w:val="center"/>
        <w:rPr>
          <w:b/>
          <w:bCs/>
          <w:sz w:val="24"/>
          <w:szCs w:val="24"/>
        </w:rPr>
      </w:pPr>
    </w:p>
    <w:p w:rsidR="008E7BC6" w:rsidRDefault="000428BA" w:rsidP="008E7BC6">
      <w:pPr>
        <w:numPr>
          <w:ilvl w:val="0"/>
          <w:numId w:val="2"/>
        </w:numPr>
        <w:jc w:val="both"/>
        <w:rPr>
          <w:sz w:val="24"/>
          <w:szCs w:val="24"/>
        </w:rPr>
      </w:pPr>
      <w:r>
        <w:rPr>
          <w:sz w:val="24"/>
          <w:szCs w:val="24"/>
        </w:rPr>
        <w:t>Hřbitovy</w:t>
      </w:r>
      <w:r w:rsidR="008E7BC6">
        <w:rPr>
          <w:sz w:val="24"/>
          <w:szCs w:val="24"/>
        </w:rPr>
        <w:t xml:space="preserve"> měst</w:t>
      </w:r>
      <w:r>
        <w:rPr>
          <w:sz w:val="24"/>
          <w:szCs w:val="24"/>
        </w:rPr>
        <w:t>a</w:t>
      </w:r>
      <w:r w:rsidR="008E7BC6">
        <w:rPr>
          <w:sz w:val="24"/>
          <w:szCs w:val="24"/>
        </w:rPr>
        <w:t xml:space="preserve"> Olomouc</w:t>
      </w:r>
      <w:r>
        <w:rPr>
          <w:sz w:val="24"/>
          <w:szCs w:val="24"/>
        </w:rPr>
        <w:t xml:space="preserve">e, </w:t>
      </w:r>
      <w:r w:rsidR="009519E9">
        <w:rPr>
          <w:sz w:val="24"/>
          <w:szCs w:val="24"/>
        </w:rPr>
        <w:t>p. o.</w:t>
      </w:r>
      <w:r>
        <w:rPr>
          <w:sz w:val="24"/>
          <w:szCs w:val="24"/>
        </w:rPr>
        <w:t>,</w:t>
      </w:r>
      <w:r w:rsidR="008E7BC6">
        <w:rPr>
          <w:sz w:val="24"/>
          <w:szCs w:val="24"/>
        </w:rPr>
        <w:t xml:space="preserve"> m</w:t>
      </w:r>
      <w:r>
        <w:rPr>
          <w:sz w:val="24"/>
          <w:szCs w:val="24"/>
        </w:rPr>
        <w:t>ají ve správě</w:t>
      </w:r>
      <w:r w:rsidR="008E7BC6">
        <w:rPr>
          <w:sz w:val="24"/>
          <w:szCs w:val="24"/>
        </w:rPr>
        <w:t xml:space="preserve"> </w:t>
      </w:r>
      <w:r>
        <w:rPr>
          <w:sz w:val="24"/>
          <w:szCs w:val="24"/>
        </w:rPr>
        <w:t>pozem</w:t>
      </w:r>
      <w:r w:rsidR="008E7BC6">
        <w:rPr>
          <w:sz w:val="24"/>
          <w:szCs w:val="24"/>
        </w:rPr>
        <w:t>k</w:t>
      </w:r>
      <w:r>
        <w:rPr>
          <w:sz w:val="24"/>
          <w:szCs w:val="24"/>
        </w:rPr>
        <w:t>y</w:t>
      </w:r>
      <w:r w:rsidR="008E7BC6">
        <w:rPr>
          <w:sz w:val="24"/>
          <w:szCs w:val="24"/>
        </w:rPr>
        <w:t xml:space="preserve"> </w:t>
      </w:r>
      <w:r>
        <w:rPr>
          <w:sz w:val="24"/>
          <w:szCs w:val="24"/>
        </w:rPr>
        <w:t>parc.č. 478/2, 478/4 v k.ú. Neředín</w:t>
      </w:r>
      <w:r w:rsidR="008E7BC6">
        <w:rPr>
          <w:sz w:val="24"/>
          <w:szCs w:val="24"/>
        </w:rPr>
        <w:t>.</w:t>
      </w:r>
    </w:p>
    <w:p w:rsidR="008E7BC6" w:rsidRDefault="008E7BC6" w:rsidP="008E7BC6">
      <w:pPr>
        <w:numPr>
          <w:ilvl w:val="0"/>
          <w:numId w:val="3"/>
        </w:numPr>
        <w:jc w:val="both"/>
        <w:rPr>
          <w:sz w:val="24"/>
          <w:szCs w:val="24"/>
        </w:rPr>
      </w:pPr>
      <w:r>
        <w:rPr>
          <w:sz w:val="24"/>
          <w:szCs w:val="24"/>
        </w:rPr>
        <w:t xml:space="preserve">Touto smlouvou pronajímatel přenechává nájemci </w:t>
      </w:r>
      <w:r w:rsidR="009D2B6C">
        <w:rPr>
          <w:sz w:val="24"/>
          <w:szCs w:val="24"/>
        </w:rPr>
        <w:t xml:space="preserve">k datu 1. 1. 2021 </w:t>
      </w:r>
      <w:r>
        <w:rPr>
          <w:sz w:val="24"/>
          <w:szCs w:val="24"/>
        </w:rPr>
        <w:t>k užívání část výše uveden</w:t>
      </w:r>
      <w:r w:rsidR="000428BA">
        <w:rPr>
          <w:sz w:val="24"/>
          <w:szCs w:val="24"/>
        </w:rPr>
        <w:t>ýc</w:t>
      </w:r>
      <w:r>
        <w:rPr>
          <w:sz w:val="24"/>
          <w:szCs w:val="24"/>
        </w:rPr>
        <w:t xml:space="preserve">h </w:t>
      </w:r>
      <w:bookmarkStart w:id="0" w:name="_Hlk486310918"/>
      <w:r>
        <w:rPr>
          <w:sz w:val="24"/>
          <w:szCs w:val="24"/>
        </w:rPr>
        <w:t>pozemk</w:t>
      </w:r>
      <w:r w:rsidR="000428BA">
        <w:rPr>
          <w:sz w:val="24"/>
          <w:szCs w:val="24"/>
        </w:rPr>
        <w:t>ů</w:t>
      </w:r>
      <w:r w:rsidR="00DC15EF">
        <w:rPr>
          <w:sz w:val="24"/>
          <w:szCs w:val="24"/>
        </w:rPr>
        <w:t xml:space="preserve"> - hrobových míst</w:t>
      </w:r>
      <w:r>
        <w:rPr>
          <w:sz w:val="24"/>
          <w:szCs w:val="24"/>
        </w:rPr>
        <w:t xml:space="preserve"> o výměře </w:t>
      </w:r>
      <w:r w:rsidR="000C4D71">
        <w:rPr>
          <w:sz w:val="24"/>
          <w:szCs w:val="24"/>
        </w:rPr>
        <w:t xml:space="preserve">131 </w:t>
      </w:r>
      <w:r>
        <w:rPr>
          <w:sz w:val="24"/>
          <w:szCs w:val="24"/>
        </w:rPr>
        <w:t>m</w:t>
      </w:r>
      <w:r w:rsidRPr="009D2B6C">
        <w:rPr>
          <w:sz w:val="24"/>
          <w:szCs w:val="24"/>
          <w:vertAlign w:val="superscript"/>
        </w:rPr>
        <w:t>2</w:t>
      </w:r>
      <w:r>
        <w:rPr>
          <w:sz w:val="24"/>
          <w:szCs w:val="24"/>
        </w:rPr>
        <w:t xml:space="preserve"> dle příloh</w:t>
      </w:r>
      <w:r w:rsidR="000428BA">
        <w:rPr>
          <w:sz w:val="24"/>
          <w:szCs w:val="24"/>
        </w:rPr>
        <w:t>y</w:t>
      </w:r>
      <w:r>
        <w:rPr>
          <w:sz w:val="24"/>
          <w:szCs w:val="24"/>
        </w:rPr>
        <w:t xml:space="preserve"> této smlouvy za účelem </w:t>
      </w:r>
      <w:r w:rsidR="000428BA">
        <w:rPr>
          <w:sz w:val="24"/>
          <w:szCs w:val="24"/>
        </w:rPr>
        <w:t>vybudování urnov</w:t>
      </w:r>
      <w:r w:rsidR="009D2B6C">
        <w:rPr>
          <w:sz w:val="24"/>
          <w:szCs w:val="24"/>
        </w:rPr>
        <w:t>ých hrobů</w:t>
      </w:r>
      <w:r w:rsidR="000428BA">
        <w:rPr>
          <w:sz w:val="24"/>
          <w:szCs w:val="24"/>
        </w:rPr>
        <w:t>.</w:t>
      </w:r>
      <w:r>
        <w:rPr>
          <w:sz w:val="24"/>
          <w:szCs w:val="24"/>
        </w:rPr>
        <w:t xml:space="preserve"> </w:t>
      </w:r>
    </w:p>
    <w:bookmarkEnd w:id="0"/>
    <w:p w:rsidR="008E7BC6" w:rsidRDefault="008E7BC6" w:rsidP="008E7BC6">
      <w:pPr>
        <w:jc w:val="both"/>
        <w:rPr>
          <w:sz w:val="24"/>
          <w:szCs w:val="24"/>
        </w:rPr>
      </w:pPr>
      <w:r>
        <w:rPr>
          <w:sz w:val="24"/>
          <w:szCs w:val="24"/>
        </w:rPr>
        <w:t xml:space="preserve"> </w:t>
      </w:r>
    </w:p>
    <w:p w:rsidR="008E7BC6" w:rsidRDefault="008E7BC6" w:rsidP="008E7BC6">
      <w:pPr>
        <w:jc w:val="center"/>
        <w:outlineLvl w:val="0"/>
        <w:rPr>
          <w:b/>
          <w:bCs/>
          <w:sz w:val="24"/>
          <w:szCs w:val="24"/>
        </w:rPr>
      </w:pPr>
      <w:r>
        <w:rPr>
          <w:b/>
          <w:bCs/>
          <w:sz w:val="24"/>
          <w:szCs w:val="24"/>
        </w:rPr>
        <w:t>II.</w:t>
      </w:r>
    </w:p>
    <w:p w:rsidR="008E7BC6" w:rsidRDefault="008E7BC6" w:rsidP="008E7BC6">
      <w:pPr>
        <w:jc w:val="center"/>
        <w:rPr>
          <w:b/>
          <w:sz w:val="24"/>
          <w:szCs w:val="24"/>
        </w:rPr>
      </w:pPr>
      <w:r>
        <w:rPr>
          <w:b/>
          <w:sz w:val="24"/>
          <w:szCs w:val="24"/>
        </w:rPr>
        <w:t>Doba nájmu</w:t>
      </w:r>
    </w:p>
    <w:p w:rsidR="008E7BC6" w:rsidRDefault="008E7BC6" w:rsidP="008E7BC6">
      <w:pPr>
        <w:jc w:val="center"/>
        <w:rPr>
          <w:b/>
          <w:sz w:val="24"/>
          <w:szCs w:val="24"/>
        </w:rPr>
      </w:pPr>
    </w:p>
    <w:p w:rsidR="008E7BC6" w:rsidRDefault="008E7BC6" w:rsidP="008E7BC6">
      <w:pPr>
        <w:ind w:left="284"/>
        <w:jc w:val="both"/>
        <w:outlineLvl w:val="0"/>
        <w:rPr>
          <w:sz w:val="24"/>
          <w:szCs w:val="24"/>
        </w:rPr>
      </w:pPr>
      <w:r>
        <w:rPr>
          <w:sz w:val="24"/>
          <w:szCs w:val="24"/>
        </w:rPr>
        <w:t xml:space="preserve">Tato smlouva se uzavírá na dobu neurčitou, a to od </w:t>
      </w:r>
      <w:r w:rsidR="00C11218">
        <w:rPr>
          <w:sz w:val="24"/>
          <w:szCs w:val="24"/>
        </w:rPr>
        <w:t>1.</w:t>
      </w:r>
      <w:r w:rsidR="009D2B6C">
        <w:rPr>
          <w:sz w:val="24"/>
          <w:szCs w:val="24"/>
        </w:rPr>
        <w:t xml:space="preserve"> </w:t>
      </w:r>
      <w:r w:rsidR="004432D8">
        <w:rPr>
          <w:sz w:val="24"/>
          <w:szCs w:val="24"/>
        </w:rPr>
        <w:t>7</w:t>
      </w:r>
      <w:r w:rsidR="00C11218">
        <w:rPr>
          <w:sz w:val="24"/>
          <w:szCs w:val="24"/>
        </w:rPr>
        <w:t>.</w:t>
      </w:r>
      <w:r w:rsidR="009D2B6C">
        <w:rPr>
          <w:sz w:val="24"/>
          <w:szCs w:val="24"/>
        </w:rPr>
        <w:t xml:space="preserve"> </w:t>
      </w:r>
      <w:r w:rsidR="00C11218">
        <w:rPr>
          <w:sz w:val="24"/>
          <w:szCs w:val="24"/>
        </w:rPr>
        <w:t>20</w:t>
      </w:r>
      <w:r w:rsidR="004432D8">
        <w:rPr>
          <w:sz w:val="24"/>
          <w:szCs w:val="24"/>
        </w:rPr>
        <w:t>21</w:t>
      </w:r>
      <w:r w:rsidR="00C11218">
        <w:rPr>
          <w:sz w:val="24"/>
          <w:szCs w:val="24"/>
        </w:rPr>
        <w:t>.</w:t>
      </w:r>
    </w:p>
    <w:p w:rsidR="00C11218" w:rsidRDefault="00C11218" w:rsidP="008E7BC6">
      <w:pPr>
        <w:ind w:left="284"/>
        <w:jc w:val="both"/>
        <w:outlineLvl w:val="0"/>
        <w:rPr>
          <w:sz w:val="24"/>
          <w:szCs w:val="24"/>
        </w:rPr>
      </w:pPr>
    </w:p>
    <w:p w:rsidR="008E7BC6" w:rsidRDefault="008E7BC6" w:rsidP="008E7BC6">
      <w:pPr>
        <w:jc w:val="both"/>
        <w:rPr>
          <w:b/>
          <w:bCs/>
          <w:sz w:val="24"/>
          <w:szCs w:val="24"/>
        </w:rPr>
      </w:pPr>
    </w:p>
    <w:p w:rsidR="008E7BC6" w:rsidRDefault="008E7BC6" w:rsidP="008E7BC6">
      <w:pPr>
        <w:jc w:val="center"/>
        <w:outlineLvl w:val="0"/>
        <w:rPr>
          <w:b/>
          <w:bCs/>
          <w:sz w:val="24"/>
          <w:szCs w:val="24"/>
        </w:rPr>
      </w:pPr>
      <w:r>
        <w:rPr>
          <w:b/>
          <w:bCs/>
          <w:sz w:val="24"/>
          <w:szCs w:val="24"/>
        </w:rPr>
        <w:t>III.</w:t>
      </w:r>
    </w:p>
    <w:p w:rsidR="008E7BC6" w:rsidRDefault="008E7BC6" w:rsidP="008E7BC6">
      <w:pPr>
        <w:jc w:val="center"/>
        <w:rPr>
          <w:b/>
          <w:sz w:val="24"/>
          <w:szCs w:val="24"/>
        </w:rPr>
      </w:pPr>
      <w:r>
        <w:rPr>
          <w:b/>
          <w:sz w:val="24"/>
          <w:szCs w:val="24"/>
        </w:rPr>
        <w:t>Nájemné</w:t>
      </w:r>
      <w:r w:rsidR="00130C0B">
        <w:rPr>
          <w:b/>
          <w:sz w:val="24"/>
          <w:szCs w:val="24"/>
        </w:rPr>
        <w:t xml:space="preserve"> </w:t>
      </w:r>
    </w:p>
    <w:p w:rsidR="00C11218" w:rsidRPr="009D2B6C" w:rsidRDefault="008E7BC6" w:rsidP="00C11218">
      <w:pPr>
        <w:numPr>
          <w:ilvl w:val="0"/>
          <w:numId w:val="4"/>
        </w:numPr>
        <w:jc w:val="both"/>
        <w:rPr>
          <w:sz w:val="24"/>
          <w:szCs w:val="24"/>
        </w:rPr>
      </w:pPr>
      <w:r w:rsidRPr="009D2B6C">
        <w:rPr>
          <w:sz w:val="24"/>
          <w:szCs w:val="24"/>
        </w:rPr>
        <w:t xml:space="preserve">Nájemné z předmětu nájmu </w:t>
      </w:r>
      <w:r w:rsidR="004432D8" w:rsidRPr="009D2B6C">
        <w:rPr>
          <w:sz w:val="24"/>
          <w:szCs w:val="24"/>
        </w:rPr>
        <w:t>je</w:t>
      </w:r>
      <w:r w:rsidRPr="009D2B6C">
        <w:rPr>
          <w:sz w:val="24"/>
          <w:szCs w:val="24"/>
        </w:rPr>
        <w:t xml:space="preserve"> smlu</w:t>
      </w:r>
      <w:r w:rsidR="00C11218" w:rsidRPr="009D2B6C">
        <w:rPr>
          <w:sz w:val="24"/>
          <w:szCs w:val="24"/>
        </w:rPr>
        <w:t xml:space="preserve">vními stranami </w:t>
      </w:r>
      <w:r w:rsidR="004432D8" w:rsidRPr="009D2B6C">
        <w:rPr>
          <w:sz w:val="24"/>
          <w:szCs w:val="24"/>
        </w:rPr>
        <w:t>na podkladě rozhodnutí RMO stanoveno ve výši 25</w:t>
      </w:r>
      <w:r w:rsidRPr="009D2B6C">
        <w:rPr>
          <w:sz w:val="24"/>
          <w:szCs w:val="24"/>
        </w:rPr>
        <w:t xml:space="preserve">,- Kč m2/rok. Ke stanovené výši nájemného </w:t>
      </w:r>
      <w:r w:rsidR="00C11218" w:rsidRPr="009D2B6C">
        <w:rPr>
          <w:sz w:val="24"/>
          <w:szCs w:val="24"/>
        </w:rPr>
        <w:t>ne</w:t>
      </w:r>
      <w:r w:rsidRPr="009D2B6C">
        <w:rPr>
          <w:sz w:val="24"/>
          <w:szCs w:val="24"/>
        </w:rPr>
        <w:t>bude vystav</w:t>
      </w:r>
      <w:r w:rsidR="00C11218" w:rsidRPr="009D2B6C">
        <w:rPr>
          <w:sz w:val="24"/>
          <w:szCs w:val="24"/>
        </w:rPr>
        <w:t>ován</w:t>
      </w:r>
      <w:r w:rsidRPr="009D2B6C">
        <w:rPr>
          <w:sz w:val="24"/>
          <w:szCs w:val="24"/>
        </w:rPr>
        <w:t xml:space="preserve"> daňový doklad</w:t>
      </w:r>
      <w:r w:rsidR="00C11218" w:rsidRPr="009D2B6C">
        <w:rPr>
          <w:sz w:val="24"/>
          <w:szCs w:val="24"/>
        </w:rPr>
        <w:t xml:space="preserve">. </w:t>
      </w:r>
    </w:p>
    <w:p w:rsidR="00C11218" w:rsidRDefault="009D2B6C" w:rsidP="008E7BC6">
      <w:pPr>
        <w:numPr>
          <w:ilvl w:val="0"/>
          <w:numId w:val="4"/>
        </w:numPr>
        <w:jc w:val="both"/>
        <w:rPr>
          <w:sz w:val="24"/>
          <w:szCs w:val="24"/>
        </w:rPr>
      </w:pPr>
      <w:r>
        <w:rPr>
          <w:sz w:val="24"/>
          <w:szCs w:val="24"/>
        </w:rPr>
        <w:t>Pro následné období</w:t>
      </w:r>
      <w:r w:rsidR="00C11218">
        <w:rPr>
          <w:sz w:val="24"/>
          <w:szCs w:val="24"/>
        </w:rPr>
        <w:t xml:space="preserve"> bude </w:t>
      </w:r>
      <w:r w:rsidR="008879B4">
        <w:rPr>
          <w:sz w:val="24"/>
          <w:szCs w:val="24"/>
        </w:rPr>
        <w:t xml:space="preserve">nejpozději k 31. 3. daného roku </w:t>
      </w:r>
      <w:r w:rsidR="00C11218">
        <w:rPr>
          <w:sz w:val="24"/>
          <w:szCs w:val="24"/>
        </w:rPr>
        <w:t>oběma smluvními stranami odsouhlasena plocha, pronajímaná k 1.</w:t>
      </w:r>
      <w:r>
        <w:rPr>
          <w:sz w:val="24"/>
          <w:szCs w:val="24"/>
        </w:rPr>
        <w:t xml:space="preserve"> </w:t>
      </w:r>
      <w:r w:rsidR="00C11218">
        <w:rPr>
          <w:sz w:val="24"/>
          <w:szCs w:val="24"/>
        </w:rPr>
        <w:t xml:space="preserve">lednu </w:t>
      </w:r>
      <w:r>
        <w:rPr>
          <w:sz w:val="24"/>
          <w:szCs w:val="24"/>
        </w:rPr>
        <w:t>příslušné</w:t>
      </w:r>
      <w:r w:rsidR="00C11218">
        <w:rPr>
          <w:sz w:val="24"/>
          <w:szCs w:val="24"/>
        </w:rPr>
        <w:t xml:space="preserve">ho roku. </w:t>
      </w:r>
      <w:r>
        <w:rPr>
          <w:sz w:val="24"/>
          <w:szCs w:val="24"/>
        </w:rPr>
        <w:t>Po</w:t>
      </w:r>
      <w:r w:rsidR="00C11218">
        <w:rPr>
          <w:sz w:val="24"/>
          <w:szCs w:val="24"/>
        </w:rPr>
        <w:t xml:space="preserve"> odsouhlasení bude sdělena výše nájmu pro daný kalendářní rok, splatná do 15 dnů po obdržení</w:t>
      </w:r>
      <w:r>
        <w:rPr>
          <w:sz w:val="24"/>
          <w:szCs w:val="24"/>
        </w:rPr>
        <w:t xml:space="preserve"> písemného sdělení</w:t>
      </w:r>
      <w:r w:rsidR="00C11218">
        <w:rPr>
          <w:sz w:val="24"/>
          <w:szCs w:val="24"/>
        </w:rPr>
        <w:t>.</w:t>
      </w:r>
    </w:p>
    <w:p w:rsidR="008E7BC6" w:rsidRDefault="008E7BC6" w:rsidP="008E7BC6">
      <w:pPr>
        <w:numPr>
          <w:ilvl w:val="0"/>
          <w:numId w:val="5"/>
        </w:numPr>
        <w:jc w:val="both"/>
        <w:rPr>
          <w:sz w:val="24"/>
          <w:szCs w:val="24"/>
        </w:rPr>
      </w:pPr>
      <w:r>
        <w:rPr>
          <w:sz w:val="24"/>
          <w:szCs w:val="24"/>
        </w:rPr>
        <w:t xml:space="preserve">V případě prodlení platby nájemného se nájemce zavazuje uhradit pronajímateli úrok z prodlení tak, jak je uvedeno v ustanovení § 1970 občanského zákoníku. </w:t>
      </w:r>
    </w:p>
    <w:p w:rsidR="00DB0ABE" w:rsidRDefault="008E7BC6" w:rsidP="008E7BC6">
      <w:pPr>
        <w:numPr>
          <w:ilvl w:val="0"/>
          <w:numId w:val="5"/>
        </w:numPr>
        <w:jc w:val="both"/>
        <w:rPr>
          <w:sz w:val="24"/>
          <w:szCs w:val="24"/>
        </w:rPr>
      </w:pPr>
      <w:r>
        <w:rPr>
          <w:color w:val="000000"/>
          <w:sz w:val="24"/>
          <w:szCs w:val="24"/>
        </w:rPr>
        <w:lastRenderedPageBreak/>
        <w:t xml:space="preserve">Nájemce užíval předmět nájmu již před uzavřením této smlouvy. Nájemce je povinen uhradit pronajímateli za období od </w:t>
      </w:r>
      <w:r w:rsidR="00DB0ABE">
        <w:rPr>
          <w:color w:val="000000"/>
          <w:sz w:val="24"/>
          <w:szCs w:val="24"/>
        </w:rPr>
        <w:t>1.</w:t>
      </w:r>
      <w:r w:rsidR="009D2B6C">
        <w:rPr>
          <w:color w:val="000000"/>
          <w:sz w:val="24"/>
          <w:szCs w:val="24"/>
        </w:rPr>
        <w:t xml:space="preserve"> </w:t>
      </w:r>
      <w:r w:rsidR="00DB0ABE">
        <w:rPr>
          <w:color w:val="000000"/>
          <w:sz w:val="24"/>
          <w:szCs w:val="24"/>
        </w:rPr>
        <w:t>ledna 20</w:t>
      </w:r>
      <w:r w:rsidR="009D2B6C">
        <w:rPr>
          <w:color w:val="000000"/>
          <w:sz w:val="24"/>
          <w:szCs w:val="24"/>
        </w:rPr>
        <w:t>2</w:t>
      </w:r>
      <w:r w:rsidR="00DB0ABE">
        <w:rPr>
          <w:color w:val="000000"/>
          <w:sz w:val="24"/>
          <w:szCs w:val="24"/>
        </w:rPr>
        <w:t>1</w:t>
      </w:r>
      <w:r>
        <w:rPr>
          <w:color w:val="000000"/>
          <w:sz w:val="24"/>
          <w:szCs w:val="24"/>
        </w:rPr>
        <w:t xml:space="preserve"> do </w:t>
      </w:r>
      <w:r w:rsidR="00DB0ABE">
        <w:rPr>
          <w:color w:val="000000"/>
          <w:sz w:val="24"/>
          <w:szCs w:val="24"/>
        </w:rPr>
        <w:t>30.</w:t>
      </w:r>
      <w:r w:rsidR="009D2B6C">
        <w:rPr>
          <w:color w:val="000000"/>
          <w:sz w:val="24"/>
          <w:szCs w:val="24"/>
        </w:rPr>
        <w:t xml:space="preserve"> </w:t>
      </w:r>
      <w:r w:rsidR="00DB0ABE">
        <w:rPr>
          <w:color w:val="000000"/>
          <w:sz w:val="24"/>
          <w:szCs w:val="24"/>
        </w:rPr>
        <w:t>6.</w:t>
      </w:r>
      <w:r w:rsidR="009D2B6C">
        <w:rPr>
          <w:color w:val="000000"/>
          <w:sz w:val="24"/>
          <w:szCs w:val="24"/>
        </w:rPr>
        <w:t xml:space="preserve"> </w:t>
      </w:r>
      <w:r w:rsidR="00DB0ABE">
        <w:rPr>
          <w:color w:val="000000"/>
          <w:sz w:val="24"/>
          <w:szCs w:val="24"/>
        </w:rPr>
        <w:t>20</w:t>
      </w:r>
      <w:r w:rsidR="009D2B6C">
        <w:rPr>
          <w:color w:val="000000"/>
          <w:sz w:val="24"/>
          <w:szCs w:val="24"/>
        </w:rPr>
        <w:t>2</w:t>
      </w:r>
      <w:r w:rsidR="00DB0ABE">
        <w:rPr>
          <w:color w:val="000000"/>
          <w:sz w:val="24"/>
          <w:szCs w:val="24"/>
        </w:rPr>
        <w:t>1</w:t>
      </w:r>
      <w:r>
        <w:rPr>
          <w:color w:val="000000"/>
          <w:sz w:val="24"/>
          <w:szCs w:val="24"/>
        </w:rPr>
        <w:t xml:space="preserve"> bezdůvodné obohacení ve výši </w:t>
      </w:r>
      <w:r w:rsidR="000C4D71">
        <w:rPr>
          <w:color w:val="000000"/>
          <w:sz w:val="24"/>
          <w:szCs w:val="24"/>
        </w:rPr>
        <w:t>1637,50</w:t>
      </w:r>
      <w:r w:rsidR="009D2B6C">
        <w:rPr>
          <w:sz w:val="24"/>
          <w:szCs w:val="24"/>
        </w:rPr>
        <w:t xml:space="preserve"> </w:t>
      </w:r>
      <w:r>
        <w:rPr>
          <w:sz w:val="24"/>
          <w:szCs w:val="24"/>
        </w:rPr>
        <w:t>Kč</w:t>
      </w:r>
      <w:r w:rsidR="00DB0ABE">
        <w:rPr>
          <w:sz w:val="24"/>
          <w:szCs w:val="24"/>
        </w:rPr>
        <w:t>.</w:t>
      </w:r>
    </w:p>
    <w:p w:rsidR="008E7BC6" w:rsidRDefault="008E7BC6" w:rsidP="008E7BC6">
      <w:pPr>
        <w:numPr>
          <w:ilvl w:val="0"/>
          <w:numId w:val="5"/>
        </w:numPr>
        <w:jc w:val="both"/>
        <w:rPr>
          <w:sz w:val="24"/>
          <w:szCs w:val="24"/>
        </w:rPr>
      </w:pPr>
      <w:r>
        <w:rPr>
          <w:b/>
          <w:sz w:val="24"/>
          <w:szCs w:val="24"/>
        </w:rPr>
        <w:t xml:space="preserve">Nájemce uznává tento svůj dluh vůči pronajímateli co do důvodu i výše a zavazuje se </w:t>
      </w:r>
      <w:r w:rsidR="000C4D71">
        <w:rPr>
          <w:b/>
          <w:sz w:val="24"/>
          <w:szCs w:val="24"/>
        </w:rPr>
        <w:t xml:space="preserve">spolu s nájemným od 1. 7. 2021 do 31. 12. 2021 </w:t>
      </w:r>
      <w:r>
        <w:rPr>
          <w:b/>
          <w:sz w:val="24"/>
          <w:szCs w:val="24"/>
        </w:rPr>
        <w:t xml:space="preserve">uhradit částku </w:t>
      </w:r>
      <w:r w:rsidR="000C4D71">
        <w:rPr>
          <w:b/>
          <w:sz w:val="24"/>
          <w:szCs w:val="24"/>
        </w:rPr>
        <w:t>3.</w:t>
      </w:r>
      <w:r w:rsidR="00DB0ABE">
        <w:rPr>
          <w:b/>
          <w:sz w:val="24"/>
          <w:szCs w:val="24"/>
        </w:rPr>
        <w:t>2</w:t>
      </w:r>
      <w:r w:rsidR="000C4D71">
        <w:rPr>
          <w:b/>
          <w:sz w:val="24"/>
          <w:szCs w:val="24"/>
        </w:rPr>
        <w:t>75</w:t>
      </w:r>
      <w:r w:rsidR="009D2B6C">
        <w:rPr>
          <w:b/>
          <w:sz w:val="24"/>
          <w:szCs w:val="24"/>
        </w:rPr>
        <w:t>,-</w:t>
      </w:r>
      <w:r>
        <w:rPr>
          <w:b/>
          <w:sz w:val="24"/>
          <w:szCs w:val="24"/>
        </w:rPr>
        <w:t xml:space="preserve"> Kč do </w:t>
      </w:r>
      <w:r w:rsidR="000C4D71">
        <w:rPr>
          <w:b/>
          <w:sz w:val="24"/>
          <w:szCs w:val="24"/>
        </w:rPr>
        <w:t>3</w:t>
      </w:r>
      <w:r w:rsidR="00DB0ABE">
        <w:rPr>
          <w:b/>
          <w:sz w:val="24"/>
          <w:szCs w:val="24"/>
        </w:rPr>
        <w:t>1.</w:t>
      </w:r>
      <w:r w:rsidR="009D2B6C">
        <w:rPr>
          <w:b/>
          <w:sz w:val="24"/>
          <w:szCs w:val="24"/>
        </w:rPr>
        <w:t xml:space="preserve"> </w:t>
      </w:r>
      <w:r w:rsidR="00DB0ABE">
        <w:rPr>
          <w:b/>
          <w:sz w:val="24"/>
          <w:szCs w:val="24"/>
        </w:rPr>
        <w:t>7.</w:t>
      </w:r>
      <w:r w:rsidR="009D2B6C">
        <w:rPr>
          <w:b/>
          <w:sz w:val="24"/>
          <w:szCs w:val="24"/>
        </w:rPr>
        <w:t xml:space="preserve"> </w:t>
      </w:r>
      <w:r w:rsidR="00DB0ABE">
        <w:rPr>
          <w:b/>
          <w:sz w:val="24"/>
          <w:szCs w:val="24"/>
        </w:rPr>
        <w:t>20</w:t>
      </w:r>
      <w:r w:rsidR="009D2B6C">
        <w:rPr>
          <w:b/>
          <w:sz w:val="24"/>
          <w:szCs w:val="24"/>
        </w:rPr>
        <w:t>2</w:t>
      </w:r>
      <w:r w:rsidR="00DB0ABE">
        <w:rPr>
          <w:b/>
          <w:sz w:val="24"/>
          <w:szCs w:val="24"/>
        </w:rPr>
        <w:t>1</w:t>
      </w:r>
      <w:r>
        <w:rPr>
          <w:b/>
          <w:sz w:val="24"/>
          <w:szCs w:val="24"/>
        </w:rPr>
        <w:t xml:space="preserve"> </w:t>
      </w:r>
      <w:r w:rsidRPr="009D2B6C">
        <w:rPr>
          <w:sz w:val="24"/>
          <w:szCs w:val="24"/>
        </w:rPr>
        <w:t>na výše uvedený účet pronajímatele nebo v</w:t>
      </w:r>
      <w:r w:rsidR="009D2B6C" w:rsidRPr="009D2B6C">
        <w:rPr>
          <w:sz w:val="24"/>
          <w:szCs w:val="24"/>
        </w:rPr>
        <w:t> </w:t>
      </w:r>
      <w:r w:rsidRPr="009D2B6C">
        <w:rPr>
          <w:sz w:val="24"/>
          <w:szCs w:val="24"/>
        </w:rPr>
        <w:t>hotovosti</w:t>
      </w:r>
      <w:r w:rsidR="009D2B6C" w:rsidRPr="009D2B6C">
        <w:rPr>
          <w:sz w:val="24"/>
          <w:szCs w:val="24"/>
        </w:rPr>
        <w:t xml:space="preserve"> v pokladně pronajímatele</w:t>
      </w:r>
      <w:r w:rsidRPr="009D2B6C">
        <w:rPr>
          <w:sz w:val="24"/>
          <w:szCs w:val="24"/>
        </w:rPr>
        <w:t>. Ten</w:t>
      </w:r>
      <w:r>
        <w:rPr>
          <w:sz w:val="24"/>
          <w:szCs w:val="24"/>
        </w:rPr>
        <w:t>to dluh je splněn připsáním peněžní částky na výše uvedený účet pronajímatele nebo přijetím peněžní částky v hotovosti pokladnou pronajímatele.</w:t>
      </w:r>
    </w:p>
    <w:p w:rsidR="00236DDE" w:rsidRDefault="008E7BC6" w:rsidP="00874CEC">
      <w:pPr>
        <w:numPr>
          <w:ilvl w:val="0"/>
          <w:numId w:val="5"/>
        </w:numPr>
        <w:jc w:val="both"/>
        <w:rPr>
          <w:sz w:val="24"/>
          <w:szCs w:val="24"/>
        </w:rPr>
      </w:pPr>
      <w:r w:rsidRPr="00236DDE">
        <w:rPr>
          <w:sz w:val="24"/>
          <w:szCs w:val="24"/>
        </w:rPr>
        <w:t xml:space="preserve">Nájemce bere na vědomí, že </w:t>
      </w:r>
      <w:r w:rsidR="009D2B6C" w:rsidRPr="00236DDE">
        <w:rPr>
          <w:sz w:val="24"/>
          <w:szCs w:val="24"/>
        </w:rPr>
        <w:t>výši stanove</w:t>
      </w:r>
      <w:r w:rsidRPr="00236DDE">
        <w:rPr>
          <w:sz w:val="24"/>
          <w:szCs w:val="24"/>
        </w:rPr>
        <w:t>né</w:t>
      </w:r>
      <w:r w:rsidR="009D2B6C" w:rsidRPr="00236DDE">
        <w:rPr>
          <w:sz w:val="24"/>
          <w:szCs w:val="24"/>
        </w:rPr>
        <w:t>ho</w:t>
      </w:r>
      <w:r w:rsidRPr="00236DDE">
        <w:rPr>
          <w:sz w:val="24"/>
          <w:szCs w:val="24"/>
        </w:rPr>
        <w:t xml:space="preserve"> nájemné</w:t>
      </w:r>
      <w:r w:rsidR="009D2B6C" w:rsidRPr="00236DDE">
        <w:rPr>
          <w:sz w:val="24"/>
          <w:szCs w:val="24"/>
        </w:rPr>
        <w:t>ho</w:t>
      </w:r>
      <w:r w:rsidR="008879B4">
        <w:rPr>
          <w:sz w:val="24"/>
          <w:szCs w:val="24"/>
        </w:rPr>
        <w:t xml:space="preserve"> na 1 m</w:t>
      </w:r>
      <w:r w:rsidR="008879B4" w:rsidRPr="008879B4">
        <w:rPr>
          <w:sz w:val="24"/>
          <w:szCs w:val="24"/>
          <w:vertAlign w:val="superscript"/>
        </w:rPr>
        <w:t>2</w:t>
      </w:r>
      <w:r w:rsidRPr="00236DDE">
        <w:rPr>
          <w:sz w:val="24"/>
          <w:szCs w:val="24"/>
        </w:rPr>
        <w:t xml:space="preserve"> bude platit pronajímateli </w:t>
      </w:r>
      <w:r w:rsidR="008879B4">
        <w:rPr>
          <w:sz w:val="24"/>
          <w:szCs w:val="24"/>
        </w:rPr>
        <w:t>do změny nájmu, stanovené RMO.</w:t>
      </w:r>
    </w:p>
    <w:p w:rsidR="008879B4" w:rsidRDefault="008879B4" w:rsidP="008879B4">
      <w:pPr>
        <w:ind w:left="283"/>
        <w:jc w:val="both"/>
        <w:rPr>
          <w:sz w:val="24"/>
          <w:szCs w:val="24"/>
        </w:rPr>
      </w:pPr>
    </w:p>
    <w:p w:rsidR="008E7BC6" w:rsidRDefault="008E7BC6" w:rsidP="008E7BC6">
      <w:pPr>
        <w:rPr>
          <w:sz w:val="24"/>
          <w:szCs w:val="24"/>
        </w:rPr>
      </w:pPr>
    </w:p>
    <w:p w:rsidR="008E7BC6" w:rsidRDefault="008E7BC6" w:rsidP="008E7BC6">
      <w:pPr>
        <w:jc w:val="center"/>
        <w:outlineLvl w:val="0"/>
        <w:rPr>
          <w:b/>
          <w:bCs/>
          <w:sz w:val="24"/>
          <w:szCs w:val="24"/>
        </w:rPr>
      </w:pPr>
      <w:r>
        <w:rPr>
          <w:b/>
          <w:bCs/>
          <w:sz w:val="24"/>
          <w:szCs w:val="24"/>
        </w:rPr>
        <w:t>IV.</w:t>
      </w:r>
    </w:p>
    <w:p w:rsidR="008E7BC6" w:rsidRDefault="008E7BC6" w:rsidP="008E7BC6">
      <w:pPr>
        <w:jc w:val="center"/>
        <w:rPr>
          <w:b/>
          <w:sz w:val="24"/>
          <w:szCs w:val="24"/>
        </w:rPr>
      </w:pPr>
      <w:r>
        <w:rPr>
          <w:b/>
          <w:sz w:val="24"/>
          <w:szCs w:val="24"/>
        </w:rPr>
        <w:t>Užívání předmětu nájmu</w:t>
      </w:r>
    </w:p>
    <w:p w:rsidR="008E7BC6" w:rsidRDefault="008E7BC6" w:rsidP="008E7BC6">
      <w:pPr>
        <w:jc w:val="center"/>
        <w:rPr>
          <w:b/>
          <w:sz w:val="24"/>
          <w:szCs w:val="24"/>
        </w:rPr>
      </w:pPr>
    </w:p>
    <w:p w:rsidR="008E7BC6" w:rsidRDefault="008E7BC6" w:rsidP="008E7BC6">
      <w:pPr>
        <w:numPr>
          <w:ilvl w:val="0"/>
          <w:numId w:val="6"/>
        </w:numPr>
        <w:jc w:val="both"/>
        <w:rPr>
          <w:sz w:val="24"/>
          <w:szCs w:val="24"/>
        </w:rPr>
      </w:pPr>
      <w:r>
        <w:rPr>
          <w:sz w:val="24"/>
          <w:szCs w:val="24"/>
        </w:rPr>
        <w:t>Nájemce je povinen předmět nájmu užívat jako řádný hospodář výlučně k účelu ujednanému v čl. I. odst. 2 této</w:t>
      </w:r>
      <w:r w:rsidR="00236DDE">
        <w:rPr>
          <w:sz w:val="24"/>
          <w:szCs w:val="24"/>
        </w:rPr>
        <w:t xml:space="preserve"> </w:t>
      </w:r>
      <w:r>
        <w:rPr>
          <w:sz w:val="24"/>
          <w:szCs w:val="24"/>
        </w:rPr>
        <w:t xml:space="preserve">smlouvy.  </w:t>
      </w:r>
    </w:p>
    <w:p w:rsidR="008E7BC6" w:rsidRDefault="008E7BC6" w:rsidP="008E7BC6">
      <w:pPr>
        <w:numPr>
          <w:ilvl w:val="0"/>
          <w:numId w:val="6"/>
        </w:numPr>
        <w:jc w:val="both"/>
        <w:rPr>
          <w:sz w:val="24"/>
          <w:szCs w:val="24"/>
        </w:rPr>
      </w:pPr>
      <w:r>
        <w:rPr>
          <w:sz w:val="24"/>
          <w:szCs w:val="24"/>
        </w:rPr>
        <w:t xml:space="preserve">Nájemce se seznámil se stavem předmětu nájmu a v tomto stavu jej přebírá dnem vzniku  nájmu, tj. dnem </w:t>
      </w:r>
      <w:r w:rsidR="00DB0ABE">
        <w:rPr>
          <w:sz w:val="24"/>
          <w:szCs w:val="24"/>
        </w:rPr>
        <w:t>1.</w:t>
      </w:r>
      <w:r w:rsidR="00236DDE">
        <w:rPr>
          <w:sz w:val="24"/>
          <w:szCs w:val="24"/>
        </w:rPr>
        <w:t xml:space="preserve"> </w:t>
      </w:r>
      <w:r w:rsidR="00DB0ABE">
        <w:rPr>
          <w:sz w:val="24"/>
          <w:szCs w:val="24"/>
        </w:rPr>
        <w:t>7.</w:t>
      </w:r>
      <w:r w:rsidR="00236DDE">
        <w:rPr>
          <w:sz w:val="24"/>
          <w:szCs w:val="24"/>
        </w:rPr>
        <w:t xml:space="preserve"> </w:t>
      </w:r>
      <w:r w:rsidR="00DB0ABE">
        <w:rPr>
          <w:sz w:val="24"/>
          <w:szCs w:val="24"/>
        </w:rPr>
        <w:t>20</w:t>
      </w:r>
      <w:r w:rsidR="00236DDE">
        <w:rPr>
          <w:sz w:val="24"/>
          <w:szCs w:val="24"/>
        </w:rPr>
        <w:t>2</w:t>
      </w:r>
      <w:r w:rsidR="00DB0ABE">
        <w:rPr>
          <w:sz w:val="24"/>
          <w:szCs w:val="24"/>
        </w:rPr>
        <w:t>1</w:t>
      </w:r>
      <w:r>
        <w:rPr>
          <w:sz w:val="24"/>
          <w:szCs w:val="24"/>
        </w:rPr>
        <w:t>. Ke dni uzavření této smlouvy se na předmětu nájmu nachází</w:t>
      </w:r>
      <w:r w:rsidR="00DB0ABE">
        <w:rPr>
          <w:sz w:val="24"/>
          <w:szCs w:val="24"/>
        </w:rPr>
        <w:t xml:space="preserve"> movité věci ve vlastnictví nájemce.</w:t>
      </w:r>
      <w:r>
        <w:rPr>
          <w:sz w:val="24"/>
          <w:szCs w:val="24"/>
        </w:rPr>
        <w:t xml:space="preserve"> </w:t>
      </w:r>
    </w:p>
    <w:p w:rsidR="008E7BC6" w:rsidRDefault="008E7BC6" w:rsidP="008E7BC6">
      <w:pPr>
        <w:numPr>
          <w:ilvl w:val="0"/>
          <w:numId w:val="6"/>
        </w:numPr>
        <w:jc w:val="both"/>
        <w:rPr>
          <w:sz w:val="24"/>
          <w:szCs w:val="24"/>
        </w:rPr>
      </w:pPr>
      <w:r>
        <w:rPr>
          <w:sz w:val="24"/>
          <w:szCs w:val="24"/>
        </w:rPr>
        <w:t>Nájemce není oprávněn zřídit třetí osobě užívací právo k předmětu nájmu bez souhlasu pronajímatele.</w:t>
      </w:r>
    </w:p>
    <w:p w:rsidR="008E7BC6" w:rsidRDefault="008E7BC6" w:rsidP="008E7BC6">
      <w:pPr>
        <w:numPr>
          <w:ilvl w:val="0"/>
          <w:numId w:val="6"/>
        </w:numPr>
        <w:jc w:val="both"/>
        <w:rPr>
          <w:sz w:val="24"/>
          <w:szCs w:val="24"/>
        </w:rPr>
      </w:pPr>
      <w:r>
        <w:rPr>
          <w:sz w:val="24"/>
          <w:szCs w:val="24"/>
        </w:rPr>
        <w:t>Veškeré změny předmětu nájmu zajišťuje nájemce se souhlasem pronajímatele s péčí řádného hospodáře svým nákladem a kapacitou. Nájemce nemá nárok na úhradu nákladů, které v souvislosti s těmito změnami vynaložil, ani nárok na vyrovnání zhodnocení, pokud změnami na předmětu nájmu došlo k jeho zhodnocení, a to ani při skončení nájmu.</w:t>
      </w:r>
    </w:p>
    <w:p w:rsidR="008E7BC6" w:rsidRDefault="008E7BC6" w:rsidP="008E7BC6">
      <w:pPr>
        <w:numPr>
          <w:ilvl w:val="0"/>
          <w:numId w:val="6"/>
        </w:numPr>
        <w:jc w:val="both"/>
        <w:rPr>
          <w:sz w:val="24"/>
          <w:szCs w:val="24"/>
        </w:rPr>
      </w:pPr>
      <w:r>
        <w:rPr>
          <w:sz w:val="24"/>
          <w:szCs w:val="24"/>
        </w:rPr>
        <w:t>Nájemce je povinen předmět nájmu udržovat v žádoucím stavu, provádět na něm veškerou údržbu a úklid, udržovat čistotu a pořádek, provádět veškerou údržbu rostlinstva vzešlého na předmětu nájmu, zejména travnatých ploch, stromů a keřů</w:t>
      </w:r>
      <w:r w:rsidR="00DB0ABE">
        <w:rPr>
          <w:sz w:val="24"/>
          <w:szCs w:val="24"/>
        </w:rPr>
        <w:t>.</w:t>
      </w:r>
    </w:p>
    <w:p w:rsidR="008E7BC6" w:rsidRDefault="008E7BC6" w:rsidP="008E7BC6">
      <w:pPr>
        <w:numPr>
          <w:ilvl w:val="0"/>
          <w:numId w:val="6"/>
        </w:numPr>
        <w:jc w:val="both"/>
        <w:rPr>
          <w:sz w:val="24"/>
          <w:szCs w:val="24"/>
        </w:rPr>
      </w:pPr>
      <w:r>
        <w:rPr>
          <w:sz w:val="24"/>
          <w:szCs w:val="24"/>
        </w:rPr>
        <w:t>Nájemce je povinen umožnit a strpět vstup pronajímatele, případně jím pověřených osob, na předmět nájmu za účelem provedení místního šetření nebo provedení geodetických prací na předmětu nájmu.</w:t>
      </w:r>
    </w:p>
    <w:p w:rsidR="008E7BC6" w:rsidRDefault="008E7BC6" w:rsidP="008E7BC6">
      <w:pPr>
        <w:jc w:val="both"/>
        <w:rPr>
          <w:sz w:val="24"/>
          <w:szCs w:val="24"/>
        </w:rPr>
      </w:pPr>
    </w:p>
    <w:p w:rsidR="008E7BC6" w:rsidRDefault="008E7BC6" w:rsidP="008E7BC6">
      <w:pPr>
        <w:jc w:val="center"/>
        <w:outlineLvl w:val="0"/>
        <w:rPr>
          <w:b/>
          <w:bCs/>
          <w:sz w:val="24"/>
          <w:szCs w:val="24"/>
        </w:rPr>
      </w:pPr>
      <w:r>
        <w:rPr>
          <w:b/>
          <w:bCs/>
          <w:sz w:val="24"/>
          <w:szCs w:val="24"/>
        </w:rPr>
        <w:t>V.</w:t>
      </w:r>
    </w:p>
    <w:p w:rsidR="008E7BC6" w:rsidRDefault="008E7BC6" w:rsidP="008E7BC6">
      <w:pPr>
        <w:jc w:val="center"/>
        <w:rPr>
          <w:b/>
          <w:sz w:val="24"/>
          <w:szCs w:val="24"/>
        </w:rPr>
      </w:pPr>
      <w:r>
        <w:rPr>
          <w:b/>
          <w:sz w:val="24"/>
          <w:szCs w:val="24"/>
        </w:rPr>
        <w:t>Skončení nájmu</w:t>
      </w:r>
    </w:p>
    <w:p w:rsidR="008E7BC6" w:rsidRDefault="008E7BC6" w:rsidP="008E7BC6">
      <w:pPr>
        <w:jc w:val="center"/>
        <w:rPr>
          <w:b/>
          <w:sz w:val="24"/>
          <w:szCs w:val="24"/>
        </w:rPr>
      </w:pPr>
    </w:p>
    <w:p w:rsidR="008E7BC6" w:rsidRDefault="008E7BC6" w:rsidP="008E7BC6">
      <w:pPr>
        <w:numPr>
          <w:ilvl w:val="0"/>
          <w:numId w:val="7"/>
        </w:numPr>
        <w:jc w:val="both"/>
        <w:rPr>
          <w:sz w:val="24"/>
          <w:szCs w:val="24"/>
        </w:rPr>
      </w:pPr>
      <w:r>
        <w:rPr>
          <w:sz w:val="24"/>
          <w:szCs w:val="24"/>
        </w:rPr>
        <w:t>Nájem ujednaný touto smlouvou skončí písemnou výpovědí jednou ze smluvních stran nebo dohodou smluvních stran.</w:t>
      </w:r>
    </w:p>
    <w:p w:rsidR="008E7BC6" w:rsidRDefault="008E7BC6" w:rsidP="008E7BC6">
      <w:pPr>
        <w:numPr>
          <w:ilvl w:val="0"/>
          <w:numId w:val="7"/>
        </w:numPr>
        <w:jc w:val="both"/>
        <w:rPr>
          <w:sz w:val="24"/>
          <w:szCs w:val="24"/>
        </w:rPr>
      </w:pPr>
      <w:r>
        <w:rPr>
          <w:sz w:val="24"/>
          <w:szCs w:val="24"/>
        </w:rPr>
        <w:t xml:space="preserve">Výpovědní doba je tříměsíční a počítá se od posledního dne měsíce, v němž výpověď došla druhé straně. Nájem skončí uplynutím výpovědní doby. </w:t>
      </w:r>
    </w:p>
    <w:p w:rsidR="008E7BC6" w:rsidRDefault="008E7BC6" w:rsidP="008E7BC6">
      <w:pPr>
        <w:numPr>
          <w:ilvl w:val="0"/>
          <w:numId w:val="7"/>
        </w:numPr>
        <w:jc w:val="both"/>
        <w:rPr>
          <w:sz w:val="24"/>
          <w:szCs w:val="24"/>
        </w:rPr>
      </w:pPr>
      <w:r>
        <w:rPr>
          <w:sz w:val="24"/>
          <w:szCs w:val="24"/>
        </w:rPr>
        <w:t>Pronajímatel má dále právo vypovědět nájem bez výpovědní doby, jestliže:</w:t>
      </w:r>
    </w:p>
    <w:p w:rsidR="008E7BC6" w:rsidRDefault="008E7BC6" w:rsidP="00236DDE">
      <w:pPr>
        <w:numPr>
          <w:ilvl w:val="0"/>
          <w:numId w:val="8"/>
        </w:numPr>
        <w:ind w:left="709"/>
        <w:jc w:val="both"/>
        <w:rPr>
          <w:sz w:val="24"/>
          <w:szCs w:val="24"/>
        </w:rPr>
      </w:pPr>
      <w:r>
        <w:rPr>
          <w:sz w:val="24"/>
          <w:szCs w:val="24"/>
        </w:rPr>
        <w:t>nájemce i přes písemnou výstrahu užívá předmět nájmu v rozporu se smlouvou nebo v rozporu s obecně závaznými předpisy,</w:t>
      </w:r>
    </w:p>
    <w:p w:rsidR="008E7BC6" w:rsidRDefault="008E7BC6" w:rsidP="00236DDE">
      <w:pPr>
        <w:numPr>
          <w:ilvl w:val="0"/>
          <w:numId w:val="8"/>
        </w:numPr>
        <w:ind w:left="709"/>
        <w:jc w:val="both"/>
        <w:rPr>
          <w:sz w:val="24"/>
          <w:szCs w:val="24"/>
        </w:rPr>
      </w:pPr>
      <w:r>
        <w:rPr>
          <w:sz w:val="24"/>
          <w:szCs w:val="24"/>
        </w:rPr>
        <w:t xml:space="preserve">nájemce nezaplatí bezdůvodné obohacení dle </w:t>
      </w:r>
      <w:r w:rsidR="009519E9">
        <w:rPr>
          <w:sz w:val="24"/>
          <w:szCs w:val="24"/>
        </w:rPr>
        <w:t>Č</w:t>
      </w:r>
      <w:r>
        <w:rPr>
          <w:sz w:val="24"/>
          <w:szCs w:val="24"/>
        </w:rPr>
        <w:t xml:space="preserve">l. III. </w:t>
      </w:r>
      <w:r w:rsidR="009519E9">
        <w:rPr>
          <w:sz w:val="24"/>
          <w:szCs w:val="24"/>
        </w:rPr>
        <w:t>o</w:t>
      </w:r>
      <w:r>
        <w:rPr>
          <w:sz w:val="24"/>
          <w:szCs w:val="24"/>
        </w:rPr>
        <w:t>dst</w:t>
      </w:r>
      <w:r w:rsidR="009519E9">
        <w:rPr>
          <w:sz w:val="24"/>
          <w:szCs w:val="24"/>
        </w:rPr>
        <w:t xml:space="preserve">. </w:t>
      </w:r>
      <w:r w:rsidR="00DB0ABE">
        <w:rPr>
          <w:sz w:val="24"/>
          <w:szCs w:val="24"/>
        </w:rPr>
        <w:t>4</w:t>
      </w:r>
      <w:r w:rsidR="009519E9">
        <w:rPr>
          <w:sz w:val="24"/>
          <w:szCs w:val="24"/>
        </w:rPr>
        <w:t xml:space="preserve"> </w:t>
      </w:r>
      <w:r w:rsidR="00DB0ABE">
        <w:rPr>
          <w:sz w:val="24"/>
          <w:szCs w:val="24"/>
        </w:rPr>
        <w:t>a</w:t>
      </w:r>
      <w:r w:rsidR="009519E9">
        <w:rPr>
          <w:sz w:val="24"/>
          <w:szCs w:val="24"/>
        </w:rPr>
        <w:t xml:space="preserve"> </w:t>
      </w:r>
      <w:r w:rsidR="00DB0ABE">
        <w:rPr>
          <w:sz w:val="24"/>
          <w:szCs w:val="24"/>
        </w:rPr>
        <w:t>5 t</w:t>
      </w:r>
      <w:r>
        <w:rPr>
          <w:sz w:val="24"/>
          <w:szCs w:val="24"/>
        </w:rPr>
        <w:t>éto smlouvy,</w:t>
      </w:r>
    </w:p>
    <w:p w:rsidR="008E7BC6" w:rsidRDefault="008E7BC6" w:rsidP="00236DDE">
      <w:pPr>
        <w:numPr>
          <w:ilvl w:val="0"/>
          <w:numId w:val="8"/>
        </w:numPr>
        <w:ind w:left="709"/>
        <w:jc w:val="both"/>
        <w:rPr>
          <w:sz w:val="24"/>
          <w:szCs w:val="24"/>
        </w:rPr>
      </w:pPr>
      <w:r>
        <w:rPr>
          <w:sz w:val="24"/>
          <w:szCs w:val="24"/>
        </w:rPr>
        <w:t xml:space="preserve">nájemce nezaplatí i přes písemné upomenutí splatné nájemné, </w:t>
      </w:r>
    </w:p>
    <w:p w:rsidR="008E7BC6" w:rsidRDefault="008E7BC6" w:rsidP="00236DDE">
      <w:pPr>
        <w:numPr>
          <w:ilvl w:val="0"/>
          <w:numId w:val="8"/>
        </w:numPr>
        <w:ind w:left="709"/>
        <w:jc w:val="both"/>
        <w:rPr>
          <w:sz w:val="24"/>
          <w:szCs w:val="24"/>
        </w:rPr>
      </w:pPr>
      <w:r>
        <w:rPr>
          <w:sz w:val="24"/>
          <w:szCs w:val="24"/>
        </w:rPr>
        <w:t>nájemce zřídí třetí osobě užívací právo k předmětu nájmu bez souhlasu pronajímatele</w:t>
      </w:r>
      <w:r w:rsidR="006228CE">
        <w:rPr>
          <w:sz w:val="24"/>
          <w:szCs w:val="24"/>
        </w:rPr>
        <w:t>.</w:t>
      </w:r>
    </w:p>
    <w:p w:rsidR="008E7BC6" w:rsidRDefault="00900B26" w:rsidP="008E7BC6">
      <w:pPr>
        <w:ind w:left="284"/>
        <w:jc w:val="both"/>
        <w:rPr>
          <w:sz w:val="24"/>
          <w:szCs w:val="24"/>
        </w:rPr>
      </w:pPr>
      <w:r>
        <w:rPr>
          <w:sz w:val="24"/>
          <w:szCs w:val="24"/>
        </w:rPr>
        <w:t xml:space="preserve"> </w:t>
      </w:r>
      <w:r w:rsidR="008E7BC6">
        <w:rPr>
          <w:sz w:val="24"/>
          <w:szCs w:val="24"/>
        </w:rPr>
        <w:t xml:space="preserve">Nájem v těchto případech skončí dnem dojití výpovědi nájemci. </w:t>
      </w:r>
    </w:p>
    <w:p w:rsidR="006228CE" w:rsidRDefault="008E7BC6" w:rsidP="00900B26">
      <w:pPr>
        <w:numPr>
          <w:ilvl w:val="0"/>
          <w:numId w:val="9"/>
        </w:numPr>
        <w:jc w:val="both"/>
        <w:rPr>
          <w:sz w:val="24"/>
          <w:szCs w:val="24"/>
        </w:rPr>
      </w:pPr>
      <w:bookmarkStart w:id="1" w:name="_GoBack"/>
      <w:bookmarkEnd w:id="1"/>
      <w:r>
        <w:rPr>
          <w:sz w:val="24"/>
          <w:szCs w:val="24"/>
        </w:rPr>
        <w:t xml:space="preserve">Pokud je výpověď doručována prostřednictvím veřejné datové sítě do datové  schránky, </w:t>
      </w:r>
    </w:p>
    <w:p w:rsidR="008E7BC6" w:rsidRDefault="008E7BC6" w:rsidP="006228CE">
      <w:pPr>
        <w:ind w:left="283"/>
        <w:jc w:val="both"/>
        <w:rPr>
          <w:sz w:val="24"/>
          <w:szCs w:val="24"/>
        </w:rPr>
      </w:pPr>
      <w:r>
        <w:rPr>
          <w:sz w:val="24"/>
          <w:szCs w:val="24"/>
        </w:rPr>
        <w:t xml:space="preserve">řídí se doručování příslušnými ustanoveními zákona č. 300/2008 Sb., o elektronických úkonech a autorizované konverzi dokumentů, ve znění pozdějších předpisů. Pokud je </w:t>
      </w:r>
      <w:r>
        <w:rPr>
          <w:sz w:val="24"/>
          <w:szCs w:val="24"/>
        </w:rPr>
        <w:lastRenderedPageBreak/>
        <w:t xml:space="preserve">výpověď doručována prostřednictvím provozovatele poštovních služeb, pak v případě jakýchkoli pochybností ohledně doby dojití výpovědi se má za to, že došla třetí pracovní den po odeslání v souladu s ustanovením § 573 občanského zákoníku. </w:t>
      </w:r>
    </w:p>
    <w:p w:rsidR="008E7BC6" w:rsidRDefault="008E7BC6" w:rsidP="008E7BC6">
      <w:pPr>
        <w:numPr>
          <w:ilvl w:val="0"/>
          <w:numId w:val="9"/>
        </w:numPr>
        <w:jc w:val="both"/>
        <w:rPr>
          <w:sz w:val="24"/>
          <w:szCs w:val="24"/>
        </w:rPr>
      </w:pPr>
      <w:r>
        <w:rPr>
          <w:sz w:val="24"/>
          <w:szCs w:val="24"/>
        </w:rPr>
        <w:t xml:space="preserve">Nájemce je povinen při skončení nájmu, bude-li to pronajímatel požadovat, předmět nájmu vyklidit a uvést do původního stavu na své náklady. Uvedením do původního stavu se rozumí odstranění veškerých staveb a odstranění veškerých změn předmětu nájmu včetně terénních úprav. Pokud tak nájemce neučiní ve lhůtě stanovené pronajímatelem, bere na vědomí, že odstranění provede pronajímatel na náklady nájemce. Odstranění staveb je nájemce povinen provést v souladu s příslušnými právními předpisy, zejména v souladu se zákonem č. 183/2006 Sb., o územním plánování a stavebním řádu (stavební zákon), ve znění pozdějších předpisů, popř.  se </w:t>
      </w:r>
      <w:r w:rsidR="00130C0B">
        <w:rPr>
          <w:sz w:val="24"/>
          <w:szCs w:val="24"/>
        </w:rPr>
        <w:t>Z</w:t>
      </w:r>
      <w:r>
        <w:rPr>
          <w:sz w:val="24"/>
          <w:szCs w:val="24"/>
        </w:rPr>
        <w:t>ákonem č. 254/2001 Sb., </w:t>
      </w:r>
      <w:r w:rsidR="00130C0B">
        <w:rPr>
          <w:sz w:val="24"/>
          <w:szCs w:val="24"/>
        </w:rPr>
        <w:t>O vodách a o změně</w:t>
      </w:r>
      <w:r>
        <w:rPr>
          <w:sz w:val="24"/>
          <w:szCs w:val="24"/>
        </w:rPr>
        <w:br/>
        <w:t xml:space="preserve">některých zákonů (vodní zákon), ve znění pozdějších předpisů.  </w:t>
      </w:r>
    </w:p>
    <w:p w:rsidR="008E7BC6" w:rsidRDefault="008E7BC6" w:rsidP="008E7BC6">
      <w:pPr>
        <w:jc w:val="center"/>
        <w:rPr>
          <w:b/>
          <w:bCs/>
          <w:sz w:val="24"/>
          <w:szCs w:val="24"/>
          <w:highlight w:val="yellow"/>
        </w:rPr>
      </w:pPr>
    </w:p>
    <w:p w:rsidR="008E7BC6" w:rsidRDefault="008E7BC6" w:rsidP="008E7BC6">
      <w:pPr>
        <w:jc w:val="center"/>
        <w:rPr>
          <w:b/>
          <w:bCs/>
          <w:sz w:val="24"/>
          <w:szCs w:val="24"/>
        </w:rPr>
      </w:pPr>
    </w:p>
    <w:p w:rsidR="006228CE" w:rsidRDefault="006228CE" w:rsidP="008E7BC6">
      <w:pPr>
        <w:jc w:val="center"/>
        <w:outlineLvl w:val="0"/>
        <w:rPr>
          <w:b/>
          <w:bCs/>
          <w:sz w:val="24"/>
          <w:szCs w:val="24"/>
        </w:rPr>
      </w:pPr>
    </w:p>
    <w:p w:rsidR="008E7BC6" w:rsidRDefault="008E7BC6" w:rsidP="008E7BC6">
      <w:pPr>
        <w:jc w:val="center"/>
        <w:outlineLvl w:val="0"/>
        <w:rPr>
          <w:b/>
          <w:bCs/>
          <w:sz w:val="24"/>
          <w:szCs w:val="24"/>
        </w:rPr>
      </w:pPr>
      <w:r>
        <w:rPr>
          <w:b/>
          <w:bCs/>
          <w:sz w:val="24"/>
          <w:szCs w:val="24"/>
        </w:rPr>
        <w:t>VI.</w:t>
      </w:r>
    </w:p>
    <w:p w:rsidR="008E7BC6" w:rsidRDefault="008E7BC6" w:rsidP="008E7BC6">
      <w:pPr>
        <w:jc w:val="center"/>
        <w:rPr>
          <w:b/>
          <w:bCs/>
          <w:sz w:val="24"/>
          <w:szCs w:val="24"/>
        </w:rPr>
      </w:pPr>
      <w:r>
        <w:rPr>
          <w:b/>
          <w:bCs/>
          <w:sz w:val="24"/>
          <w:szCs w:val="24"/>
        </w:rPr>
        <w:t>Vyhotovení smlouvy</w:t>
      </w:r>
    </w:p>
    <w:p w:rsidR="008E7BC6" w:rsidRDefault="008E7BC6" w:rsidP="008E7BC6">
      <w:pPr>
        <w:jc w:val="center"/>
        <w:rPr>
          <w:b/>
          <w:bCs/>
          <w:sz w:val="24"/>
          <w:szCs w:val="24"/>
        </w:rPr>
      </w:pPr>
    </w:p>
    <w:p w:rsidR="008E7BC6" w:rsidRDefault="008E7BC6" w:rsidP="008E7BC6">
      <w:pPr>
        <w:numPr>
          <w:ilvl w:val="0"/>
          <w:numId w:val="10"/>
        </w:numPr>
        <w:ind w:left="284" w:hanging="284"/>
        <w:jc w:val="both"/>
        <w:rPr>
          <w:sz w:val="24"/>
          <w:szCs w:val="24"/>
        </w:rPr>
      </w:pPr>
      <w:r>
        <w:rPr>
          <w:sz w:val="24"/>
          <w:szCs w:val="24"/>
        </w:rPr>
        <w:t xml:space="preserve">Tato smlouva je sepsána ve dvou vyhotoveních. Jedno vyhotovení obdrží pronajímatel </w:t>
      </w:r>
      <w:r>
        <w:rPr>
          <w:sz w:val="24"/>
          <w:szCs w:val="24"/>
        </w:rPr>
        <w:br/>
        <w:t xml:space="preserve">a jedno vyhotovení nájemce. </w:t>
      </w:r>
      <w:r w:rsidR="00236DDE">
        <w:rPr>
          <w:sz w:val="24"/>
          <w:szCs w:val="24"/>
        </w:rPr>
        <w:t>Přílohu tvoří soupis pronajatých hrobových míst.</w:t>
      </w:r>
    </w:p>
    <w:p w:rsidR="008E7BC6" w:rsidRDefault="008E7BC6" w:rsidP="008E7BC6">
      <w:pPr>
        <w:numPr>
          <w:ilvl w:val="0"/>
          <w:numId w:val="10"/>
        </w:numPr>
        <w:ind w:left="284" w:hanging="284"/>
        <w:jc w:val="both"/>
        <w:rPr>
          <w:sz w:val="24"/>
          <w:szCs w:val="24"/>
        </w:rPr>
      </w:pPr>
      <w:r>
        <w:rPr>
          <w:sz w:val="24"/>
          <w:szCs w:val="24"/>
        </w:rPr>
        <w:t>Jakékoliv změny a dodatky této smlouvy musí být provedeny písemně.</w:t>
      </w:r>
    </w:p>
    <w:p w:rsidR="008E7BC6" w:rsidRPr="00B932B1" w:rsidRDefault="008E7BC6" w:rsidP="008E7BC6">
      <w:pPr>
        <w:numPr>
          <w:ilvl w:val="0"/>
          <w:numId w:val="10"/>
        </w:numPr>
        <w:jc w:val="both"/>
        <w:rPr>
          <w:sz w:val="24"/>
          <w:szCs w:val="24"/>
        </w:rPr>
      </w:pPr>
      <w:r>
        <w:rPr>
          <w:sz w:val="24"/>
          <w:szCs w:val="24"/>
        </w:rPr>
        <w:t>Nájemce je povinen písemně sdělit pronajímateli změny v této smlouvě uvedených údajů,</w:t>
      </w:r>
      <w:r w:rsidR="006228CE">
        <w:rPr>
          <w:sz w:val="24"/>
          <w:szCs w:val="24"/>
        </w:rPr>
        <w:t xml:space="preserve"> zejména</w:t>
      </w:r>
      <w:r w:rsidRPr="00B932B1">
        <w:rPr>
          <w:sz w:val="24"/>
          <w:szCs w:val="24"/>
        </w:rPr>
        <w:t xml:space="preserve"> změnu názvu, sídla, přeměnu právnické osoby a vstup do likvidace, a to do jednoho měsíce od vzniku změny.</w:t>
      </w:r>
    </w:p>
    <w:p w:rsidR="008E7BC6" w:rsidRPr="006228CE" w:rsidRDefault="008E7BC6" w:rsidP="008E7BC6">
      <w:pPr>
        <w:numPr>
          <w:ilvl w:val="0"/>
          <w:numId w:val="10"/>
        </w:numPr>
        <w:ind w:left="284" w:hanging="284"/>
        <w:jc w:val="both"/>
        <w:rPr>
          <w:i/>
          <w:sz w:val="24"/>
          <w:szCs w:val="24"/>
        </w:rPr>
      </w:pPr>
      <w:r w:rsidRPr="00B932B1">
        <w:rPr>
          <w:sz w:val="24"/>
          <w:szCs w:val="24"/>
        </w:rPr>
        <w:t>V souvislosti se zákonem č. 101/2000 Sb., o ochraně osobních údajů a o změně některých zákonů, ve znění pozdějších předpisů, souhlasí nájemce s vedením osobních údajů v evidenci Magistrátu města Olomouce</w:t>
      </w:r>
      <w:r w:rsidR="00236DDE">
        <w:rPr>
          <w:sz w:val="24"/>
          <w:szCs w:val="24"/>
        </w:rPr>
        <w:t xml:space="preserve"> a jeho příspěvkové organizace - pronajímatele</w:t>
      </w:r>
      <w:r w:rsidRPr="00B932B1">
        <w:rPr>
          <w:sz w:val="24"/>
          <w:szCs w:val="24"/>
        </w:rPr>
        <w:t xml:space="preserve">. Nájemce souhlasí s tím, aby osobní údaje byly předmětem materiálů pro příslušné orgány </w:t>
      </w:r>
      <w:r w:rsidR="00236DDE">
        <w:rPr>
          <w:sz w:val="24"/>
          <w:szCs w:val="24"/>
        </w:rPr>
        <w:t>S</w:t>
      </w:r>
      <w:r w:rsidRPr="00B932B1">
        <w:rPr>
          <w:sz w:val="24"/>
          <w:szCs w:val="24"/>
        </w:rPr>
        <w:t xml:space="preserve">tatutárního města Olomouce pro možnost projednání všech závazků a povinností vyplývajících z této smlouvy včetně jejích dodatků. </w:t>
      </w:r>
    </w:p>
    <w:p w:rsidR="006228CE" w:rsidRPr="00B932B1" w:rsidRDefault="006228CE" w:rsidP="006228CE">
      <w:pPr>
        <w:ind w:left="284"/>
        <w:jc w:val="both"/>
        <w:rPr>
          <w:i/>
          <w:sz w:val="24"/>
          <w:szCs w:val="24"/>
        </w:rPr>
      </w:pPr>
    </w:p>
    <w:p w:rsidR="008E7BC6" w:rsidRDefault="008E7BC6" w:rsidP="008E7BC6">
      <w:pPr>
        <w:jc w:val="both"/>
        <w:rPr>
          <w:sz w:val="24"/>
          <w:szCs w:val="24"/>
        </w:rPr>
      </w:pPr>
    </w:p>
    <w:p w:rsidR="008851DF" w:rsidRDefault="008851DF" w:rsidP="008E7BC6">
      <w:pPr>
        <w:jc w:val="both"/>
        <w:rPr>
          <w:sz w:val="24"/>
          <w:szCs w:val="24"/>
        </w:rPr>
      </w:pPr>
    </w:p>
    <w:p w:rsidR="008851DF" w:rsidRDefault="008851DF" w:rsidP="008E7BC6">
      <w:pPr>
        <w:jc w:val="both"/>
        <w:rPr>
          <w:sz w:val="24"/>
          <w:szCs w:val="24"/>
        </w:rPr>
      </w:pPr>
    </w:p>
    <w:p w:rsidR="008E7BC6" w:rsidRDefault="008E7BC6" w:rsidP="008E7BC6">
      <w:pPr>
        <w:jc w:val="both"/>
        <w:outlineLvl w:val="0"/>
        <w:rPr>
          <w:sz w:val="24"/>
          <w:szCs w:val="24"/>
        </w:rPr>
      </w:pPr>
      <w:r>
        <w:rPr>
          <w:sz w:val="24"/>
          <w:szCs w:val="24"/>
        </w:rPr>
        <w:t xml:space="preserve">V Olomouci dne </w:t>
      </w:r>
      <w:r w:rsidR="008851DF">
        <w:rPr>
          <w:sz w:val="24"/>
          <w:szCs w:val="24"/>
        </w:rPr>
        <w:t>30. června 2021</w:t>
      </w:r>
    </w:p>
    <w:p w:rsidR="006228CE" w:rsidRDefault="006228CE" w:rsidP="008E7BC6">
      <w:pPr>
        <w:jc w:val="both"/>
        <w:outlineLvl w:val="0"/>
        <w:rPr>
          <w:sz w:val="24"/>
          <w:szCs w:val="24"/>
        </w:rPr>
      </w:pPr>
    </w:p>
    <w:p w:rsidR="006228CE" w:rsidRDefault="006228CE"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6228CE" w:rsidRDefault="006228CE" w:rsidP="008E7BC6">
      <w:pPr>
        <w:jc w:val="both"/>
        <w:outlineLvl w:val="0"/>
        <w:rPr>
          <w:sz w:val="24"/>
          <w:szCs w:val="24"/>
        </w:rPr>
      </w:pPr>
    </w:p>
    <w:p w:rsidR="008E7BC6" w:rsidRDefault="00130C0B" w:rsidP="008E7BC6">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F63263" w:rsidRDefault="008E7BC6" w:rsidP="006228CE">
      <w:pPr>
        <w:jc w:val="both"/>
        <w:rPr>
          <w:sz w:val="24"/>
          <w:szCs w:val="24"/>
        </w:rPr>
      </w:pPr>
      <w:r>
        <w:rPr>
          <w:sz w:val="24"/>
          <w:szCs w:val="24"/>
        </w:rPr>
        <w:t>Pronajímatel:</w:t>
      </w:r>
      <w:r>
        <w:rPr>
          <w:sz w:val="24"/>
          <w:szCs w:val="24"/>
        </w:rPr>
        <w:tab/>
      </w:r>
      <w:r>
        <w:rPr>
          <w:sz w:val="24"/>
          <w:szCs w:val="24"/>
        </w:rPr>
        <w:tab/>
      </w:r>
      <w:r>
        <w:rPr>
          <w:sz w:val="24"/>
          <w:szCs w:val="24"/>
        </w:rPr>
        <w:tab/>
      </w:r>
      <w:r>
        <w:rPr>
          <w:sz w:val="24"/>
          <w:szCs w:val="24"/>
        </w:rPr>
        <w:tab/>
      </w:r>
      <w:r>
        <w:rPr>
          <w:sz w:val="24"/>
          <w:szCs w:val="24"/>
        </w:rPr>
        <w:tab/>
      </w:r>
      <w:r>
        <w:rPr>
          <w:sz w:val="24"/>
          <w:szCs w:val="24"/>
        </w:rPr>
        <w:tab/>
        <w:t>Nájemce:</w:t>
      </w:r>
    </w:p>
    <w:p w:rsidR="00A23BE3" w:rsidRDefault="00A23BE3" w:rsidP="006228CE">
      <w:pPr>
        <w:jc w:val="both"/>
        <w:rPr>
          <w:sz w:val="24"/>
          <w:szCs w:val="24"/>
        </w:rPr>
      </w:pPr>
    </w:p>
    <w:p w:rsidR="00A23BE3" w:rsidRDefault="00A23BE3" w:rsidP="006228CE">
      <w:pPr>
        <w:jc w:val="both"/>
        <w:rPr>
          <w:sz w:val="24"/>
          <w:szCs w:val="24"/>
        </w:rPr>
      </w:pPr>
    </w:p>
    <w:p w:rsidR="00A23BE3" w:rsidRDefault="00A23BE3" w:rsidP="006228CE">
      <w:pPr>
        <w:jc w:val="both"/>
        <w:rPr>
          <w:sz w:val="24"/>
          <w:szCs w:val="24"/>
        </w:rPr>
      </w:pPr>
    </w:p>
    <w:tbl>
      <w:tblPr>
        <w:tblW w:w="8974" w:type="dxa"/>
        <w:tblCellMar>
          <w:left w:w="70" w:type="dxa"/>
          <w:right w:w="70" w:type="dxa"/>
        </w:tblCellMar>
        <w:tblLook w:val="04A0" w:firstRow="1" w:lastRow="0" w:firstColumn="1" w:lastColumn="0" w:noHBand="0" w:noVBand="1"/>
      </w:tblPr>
      <w:tblGrid>
        <w:gridCol w:w="364"/>
        <w:gridCol w:w="1221"/>
        <w:gridCol w:w="764"/>
        <w:gridCol w:w="879"/>
        <w:gridCol w:w="523"/>
        <w:gridCol w:w="960"/>
        <w:gridCol w:w="530"/>
        <w:gridCol w:w="643"/>
        <w:gridCol w:w="2905"/>
        <w:gridCol w:w="185"/>
      </w:tblGrid>
      <w:tr w:rsidR="0078463C" w:rsidRPr="0078463C" w:rsidTr="0078463C">
        <w:trPr>
          <w:trHeight w:val="510"/>
        </w:trPr>
        <w:tc>
          <w:tcPr>
            <w:tcW w:w="8974" w:type="dxa"/>
            <w:gridSpan w:val="10"/>
            <w:tcBorders>
              <w:top w:val="nil"/>
              <w:left w:val="nil"/>
              <w:bottom w:val="nil"/>
              <w:right w:val="nil"/>
            </w:tcBorders>
            <w:shd w:val="clear" w:color="auto" w:fill="auto"/>
            <w:noWrap/>
            <w:vAlign w:val="center"/>
            <w:hideMark/>
          </w:tcPr>
          <w:p w:rsidR="0078463C" w:rsidRPr="0078463C" w:rsidRDefault="0078463C" w:rsidP="0078463C">
            <w:pPr>
              <w:jc w:val="center"/>
              <w:rPr>
                <w:rFonts w:ascii="Calibri" w:hAnsi="Calibri" w:cs="Calibri"/>
                <w:b/>
                <w:bCs/>
                <w:color w:val="000000"/>
                <w:sz w:val="40"/>
                <w:szCs w:val="40"/>
              </w:rPr>
            </w:pPr>
            <w:r w:rsidRPr="0078463C">
              <w:rPr>
                <w:rFonts w:ascii="Calibri" w:hAnsi="Calibri" w:cs="Calibri"/>
                <w:b/>
                <w:bCs/>
                <w:color w:val="000000"/>
                <w:sz w:val="40"/>
                <w:szCs w:val="40"/>
              </w:rPr>
              <w:lastRenderedPageBreak/>
              <w:t>Příloha smlouvy k datu 1. 7. 2021</w:t>
            </w:r>
          </w:p>
        </w:tc>
      </w:tr>
      <w:tr w:rsidR="0078463C" w:rsidRPr="0078463C" w:rsidTr="0078463C">
        <w:trPr>
          <w:trHeight w:val="510"/>
        </w:trPr>
        <w:tc>
          <w:tcPr>
            <w:tcW w:w="8974" w:type="dxa"/>
            <w:gridSpan w:val="10"/>
            <w:tcBorders>
              <w:top w:val="nil"/>
              <w:left w:val="nil"/>
              <w:bottom w:val="nil"/>
              <w:right w:val="nil"/>
            </w:tcBorders>
            <w:shd w:val="clear" w:color="auto" w:fill="auto"/>
            <w:noWrap/>
            <w:vAlign w:val="center"/>
            <w:hideMark/>
          </w:tcPr>
          <w:p w:rsidR="0078463C" w:rsidRPr="0078463C" w:rsidRDefault="0078463C" w:rsidP="000C4D71">
            <w:pPr>
              <w:rPr>
                <w:color w:val="000000"/>
                <w:sz w:val="24"/>
                <w:szCs w:val="24"/>
              </w:rPr>
            </w:pPr>
            <w:r w:rsidRPr="0078463C">
              <w:rPr>
                <w:color w:val="000000"/>
                <w:sz w:val="24"/>
                <w:szCs w:val="24"/>
              </w:rPr>
              <w:t xml:space="preserve">     Úhrada za období 1. 1. až 31. 12.2021 ve výši </w:t>
            </w:r>
            <w:r w:rsidR="000C4D71">
              <w:rPr>
                <w:color w:val="000000"/>
                <w:sz w:val="24"/>
                <w:szCs w:val="24"/>
              </w:rPr>
              <w:t>327</w:t>
            </w:r>
            <w:r w:rsidRPr="0078463C">
              <w:rPr>
                <w:color w:val="000000"/>
                <w:sz w:val="24"/>
                <w:szCs w:val="24"/>
              </w:rPr>
              <w:t xml:space="preserve">5,- Kč je splatná do </w:t>
            </w:r>
            <w:r w:rsidR="000C4D71">
              <w:rPr>
                <w:color w:val="000000"/>
                <w:sz w:val="24"/>
                <w:szCs w:val="24"/>
              </w:rPr>
              <w:t>3</w:t>
            </w:r>
            <w:r w:rsidRPr="0078463C">
              <w:rPr>
                <w:color w:val="000000"/>
                <w:sz w:val="24"/>
                <w:szCs w:val="24"/>
              </w:rPr>
              <w:t>1. července 2021.</w:t>
            </w:r>
          </w:p>
        </w:tc>
      </w:tr>
      <w:tr w:rsidR="0078463C" w:rsidRPr="0078463C" w:rsidTr="008879B4">
        <w:trPr>
          <w:trHeight w:val="510"/>
        </w:trPr>
        <w:tc>
          <w:tcPr>
            <w:tcW w:w="364" w:type="dxa"/>
            <w:tcBorders>
              <w:top w:val="nil"/>
              <w:left w:val="nil"/>
              <w:bottom w:val="nil"/>
              <w:right w:val="nil"/>
            </w:tcBorders>
            <w:shd w:val="clear" w:color="auto" w:fill="auto"/>
            <w:noWrap/>
            <w:vAlign w:val="bottom"/>
            <w:hideMark/>
          </w:tcPr>
          <w:p w:rsidR="0078463C" w:rsidRPr="0078463C" w:rsidRDefault="0078463C" w:rsidP="0078463C">
            <w:pPr>
              <w:rPr>
                <w:color w:val="000000"/>
                <w:sz w:val="24"/>
                <w:szCs w:val="24"/>
              </w:rPr>
            </w:pPr>
          </w:p>
        </w:tc>
        <w:tc>
          <w:tcPr>
            <w:tcW w:w="8425" w:type="dxa"/>
            <w:gridSpan w:val="8"/>
            <w:tcBorders>
              <w:top w:val="single" w:sz="8" w:space="0" w:color="auto"/>
              <w:left w:val="single" w:sz="8" w:space="0" w:color="auto"/>
              <w:bottom w:val="nil"/>
              <w:right w:val="single" w:sz="8" w:space="0" w:color="000000"/>
            </w:tcBorders>
            <w:shd w:val="clear" w:color="auto" w:fill="auto"/>
            <w:noWrap/>
            <w:vAlign w:val="center"/>
            <w:hideMark/>
          </w:tcPr>
          <w:p w:rsidR="0078463C" w:rsidRPr="0078463C" w:rsidRDefault="0078463C" w:rsidP="0078463C">
            <w:pPr>
              <w:jc w:val="center"/>
              <w:rPr>
                <w:rFonts w:ascii="Calibri" w:hAnsi="Calibri" w:cs="Calibri"/>
                <w:color w:val="000000"/>
                <w:sz w:val="44"/>
                <w:szCs w:val="44"/>
              </w:rPr>
            </w:pPr>
            <w:r w:rsidRPr="0078463C">
              <w:rPr>
                <w:rFonts w:ascii="Calibri" w:hAnsi="Calibri" w:cs="Calibri"/>
                <w:color w:val="000000"/>
                <w:sz w:val="44"/>
                <w:szCs w:val="44"/>
              </w:rPr>
              <w:t xml:space="preserve">Hořínek - </w:t>
            </w:r>
            <w:r w:rsidRPr="0078463C">
              <w:rPr>
                <w:rFonts w:ascii="Calibri" w:hAnsi="Calibri" w:cs="Calibri"/>
                <w:color w:val="000000"/>
                <w:sz w:val="28"/>
                <w:szCs w:val="28"/>
              </w:rPr>
              <w:t>pronájem od HmO, p. o. k 31. 12. 2020</w:t>
            </w:r>
          </w:p>
        </w:tc>
        <w:tc>
          <w:tcPr>
            <w:tcW w:w="185" w:type="dxa"/>
            <w:tcBorders>
              <w:top w:val="nil"/>
              <w:left w:val="nil"/>
              <w:bottom w:val="nil"/>
              <w:right w:val="nil"/>
            </w:tcBorders>
            <w:shd w:val="clear" w:color="auto" w:fill="auto"/>
            <w:noWrap/>
            <w:vAlign w:val="center"/>
            <w:hideMark/>
          </w:tcPr>
          <w:p w:rsidR="0078463C" w:rsidRPr="0078463C" w:rsidRDefault="0078463C" w:rsidP="0078463C">
            <w:pPr>
              <w:jc w:val="center"/>
              <w:rPr>
                <w:rFonts w:ascii="Calibri" w:hAnsi="Calibri" w:cs="Calibri"/>
                <w:color w:val="000000"/>
                <w:sz w:val="44"/>
                <w:szCs w:val="44"/>
              </w:rPr>
            </w:pPr>
          </w:p>
        </w:tc>
      </w:tr>
      <w:tr w:rsidR="0078463C" w:rsidRPr="0078463C" w:rsidTr="008879B4">
        <w:trPr>
          <w:trHeight w:val="510"/>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Hřbitov</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Typ hrobu</w:t>
            </w:r>
          </w:p>
        </w:tc>
        <w:tc>
          <w:tcPr>
            <w:tcW w:w="879"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0C4D71">
            <w:pPr>
              <w:jc w:val="center"/>
              <w:rPr>
                <w:rFonts w:ascii="Calibri" w:hAnsi="Calibri" w:cs="Calibri"/>
                <w:color w:val="000000"/>
              </w:rPr>
            </w:pPr>
            <w:r w:rsidRPr="0078463C">
              <w:rPr>
                <w:rFonts w:ascii="Calibri" w:hAnsi="Calibri" w:cs="Calibri"/>
                <w:color w:val="000000"/>
              </w:rPr>
              <w:t>Odděl</w:t>
            </w:r>
            <w:r w:rsidR="000C4D71">
              <w:rPr>
                <w:rFonts w:ascii="Calibri" w:hAnsi="Calibri" w:cs="Calibri"/>
                <w:color w:val="000000"/>
              </w:rPr>
              <w:t>e</w:t>
            </w:r>
            <w:r w:rsidRPr="0078463C">
              <w:rPr>
                <w:rFonts w:ascii="Calibri" w:hAnsi="Calibri" w:cs="Calibri"/>
                <w:color w:val="000000"/>
              </w:rPr>
              <w:t>ní</w:t>
            </w:r>
          </w:p>
        </w:tc>
        <w:tc>
          <w:tcPr>
            <w:tcW w:w="523"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Číslo HM</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plocha HM [m2]</w:t>
            </w:r>
          </w:p>
        </w:tc>
        <w:tc>
          <w:tcPr>
            <w:tcW w:w="530"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šířka</w:t>
            </w:r>
          </w:p>
        </w:tc>
        <w:tc>
          <w:tcPr>
            <w:tcW w:w="643"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délka</w:t>
            </w:r>
          </w:p>
        </w:tc>
        <w:tc>
          <w:tcPr>
            <w:tcW w:w="2905" w:type="dxa"/>
            <w:tcBorders>
              <w:top w:val="single" w:sz="8" w:space="0" w:color="auto"/>
              <w:left w:val="nil"/>
              <w:bottom w:val="single" w:sz="8" w:space="0" w:color="auto"/>
              <w:right w:val="single" w:sz="8" w:space="0" w:color="auto"/>
            </w:tcBorders>
            <w:shd w:val="clear" w:color="auto" w:fill="auto"/>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čistá plocha m2</w:t>
            </w:r>
          </w:p>
        </w:tc>
        <w:tc>
          <w:tcPr>
            <w:tcW w:w="185" w:type="dxa"/>
            <w:tcBorders>
              <w:top w:val="nil"/>
              <w:left w:val="nil"/>
              <w:bottom w:val="nil"/>
              <w:right w:val="nil"/>
            </w:tcBorders>
            <w:shd w:val="clear" w:color="auto" w:fill="auto"/>
            <w:vAlign w:val="center"/>
            <w:hideMark/>
          </w:tcPr>
          <w:p w:rsidR="0078463C" w:rsidRPr="0078463C" w:rsidRDefault="0078463C" w:rsidP="0078463C">
            <w:pPr>
              <w:jc w:val="center"/>
              <w:rPr>
                <w:rFonts w:ascii="Calibri" w:hAnsi="Calibri" w:cs="Calibri"/>
                <w:color w:val="000000"/>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IVH</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10D</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21C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32C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43B</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43C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65B</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65C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76A</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76B</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87A</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10D</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21C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32C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33</w:t>
            </w:r>
          </w:p>
        </w:tc>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43B</w:t>
            </w:r>
          </w:p>
        </w:tc>
        <w:tc>
          <w:tcPr>
            <w:tcW w:w="960"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8"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tc>
        <w:tc>
          <w:tcPr>
            <w:tcW w:w="523" w:type="dxa"/>
            <w:tcBorders>
              <w:top w:val="nil"/>
              <w:left w:val="nil"/>
              <w:bottom w:val="nil"/>
              <w:right w:val="nil"/>
            </w:tcBorders>
            <w:shd w:val="clear" w:color="auto" w:fill="auto"/>
            <w:noWrap/>
            <w:vAlign w:val="bottom"/>
            <w:hideMark/>
          </w:tcPr>
          <w:p w:rsidR="0078463C" w:rsidRPr="0078463C" w:rsidRDefault="0078463C" w:rsidP="0078463C"/>
        </w:tc>
        <w:tc>
          <w:tcPr>
            <w:tcW w:w="960" w:type="dxa"/>
            <w:tcBorders>
              <w:top w:val="nil"/>
              <w:left w:val="nil"/>
              <w:bottom w:val="nil"/>
              <w:right w:val="nil"/>
            </w:tcBorders>
            <w:shd w:val="clear" w:color="auto" w:fill="auto"/>
            <w:noWrap/>
            <w:vAlign w:val="bottom"/>
            <w:hideMark/>
          </w:tcPr>
          <w:p w:rsidR="0078463C" w:rsidRPr="0078463C" w:rsidRDefault="0078463C" w:rsidP="0078463C"/>
        </w:tc>
        <w:tc>
          <w:tcPr>
            <w:tcW w:w="530" w:type="dxa"/>
            <w:tcBorders>
              <w:top w:val="nil"/>
              <w:left w:val="nil"/>
              <w:bottom w:val="nil"/>
              <w:right w:val="nil"/>
            </w:tcBorders>
            <w:shd w:val="clear" w:color="auto" w:fill="auto"/>
            <w:noWrap/>
            <w:vAlign w:val="bottom"/>
            <w:hideMark/>
          </w:tcPr>
          <w:p w:rsidR="0078463C" w:rsidRPr="0078463C" w:rsidRDefault="0078463C" w:rsidP="0078463C"/>
        </w:tc>
        <w:tc>
          <w:tcPr>
            <w:tcW w:w="643" w:type="dxa"/>
            <w:tcBorders>
              <w:top w:val="nil"/>
              <w:left w:val="nil"/>
              <w:bottom w:val="nil"/>
              <w:right w:val="nil"/>
            </w:tcBorders>
            <w:shd w:val="clear" w:color="auto" w:fill="auto"/>
            <w:noWrap/>
            <w:vAlign w:val="bottom"/>
            <w:hideMark/>
          </w:tcPr>
          <w:p w:rsidR="0078463C" w:rsidRPr="0078463C" w:rsidRDefault="0078463C" w:rsidP="0078463C"/>
        </w:tc>
        <w:tc>
          <w:tcPr>
            <w:tcW w:w="2905" w:type="dxa"/>
            <w:tcBorders>
              <w:top w:val="nil"/>
              <w:left w:val="nil"/>
              <w:bottom w:val="nil"/>
              <w:right w:val="nil"/>
            </w:tcBorders>
            <w:shd w:val="clear" w:color="auto" w:fill="auto"/>
            <w:noWrap/>
            <w:vAlign w:val="bottom"/>
            <w:hideMark/>
          </w:tcPr>
          <w:p w:rsidR="0078463C" w:rsidRPr="0078463C" w:rsidRDefault="0078463C" w:rsidP="0078463C"/>
        </w:tc>
        <w:tc>
          <w:tcPr>
            <w:tcW w:w="185" w:type="dxa"/>
            <w:tcBorders>
              <w:top w:val="nil"/>
              <w:left w:val="nil"/>
              <w:bottom w:val="nil"/>
              <w:right w:val="nil"/>
            </w:tcBorders>
            <w:shd w:val="clear" w:color="auto" w:fill="auto"/>
            <w:noWrap/>
            <w:vAlign w:val="bottom"/>
            <w:hideMark/>
          </w:tcPr>
          <w:p w:rsidR="0078463C" w:rsidRPr="0078463C" w:rsidRDefault="0078463C" w:rsidP="0078463C"/>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tc>
        <w:tc>
          <w:tcPr>
            <w:tcW w:w="523" w:type="dxa"/>
            <w:tcBorders>
              <w:top w:val="nil"/>
              <w:left w:val="nil"/>
              <w:bottom w:val="nil"/>
              <w:right w:val="nil"/>
            </w:tcBorders>
            <w:shd w:val="clear" w:color="auto" w:fill="auto"/>
            <w:noWrap/>
            <w:vAlign w:val="bottom"/>
            <w:hideMark/>
          </w:tcPr>
          <w:p w:rsidR="0078463C" w:rsidRPr="0078463C" w:rsidRDefault="0078463C" w:rsidP="0078463C"/>
        </w:tc>
        <w:tc>
          <w:tcPr>
            <w:tcW w:w="96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61</w:t>
            </w:r>
          </w:p>
        </w:tc>
        <w:tc>
          <w:tcPr>
            <w:tcW w:w="53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c>
          <w:tcPr>
            <w:tcW w:w="643" w:type="dxa"/>
            <w:tcBorders>
              <w:top w:val="nil"/>
              <w:left w:val="nil"/>
              <w:bottom w:val="nil"/>
              <w:right w:val="nil"/>
            </w:tcBorders>
            <w:shd w:val="clear" w:color="auto" w:fill="auto"/>
            <w:noWrap/>
            <w:vAlign w:val="bottom"/>
            <w:hideMark/>
          </w:tcPr>
          <w:p w:rsidR="0078463C" w:rsidRPr="0078463C" w:rsidRDefault="0078463C" w:rsidP="0078463C"/>
        </w:tc>
        <w:tc>
          <w:tcPr>
            <w:tcW w:w="290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31,87</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tc>
        <w:tc>
          <w:tcPr>
            <w:tcW w:w="523" w:type="dxa"/>
            <w:tcBorders>
              <w:top w:val="nil"/>
              <w:left w:val="nil"/>
              <w:bottom w:val="nil"/>
              <w:right w:val="nil"/>
            </w:tcBorders>
            <w:shd w:val="clear" w:color="auto" w:fill="auto"/>
            <w:noWrap/>
            <w:vAlign w:val="bottom"/>
            <w:hideMark/>
          </w:tcPr>
          <w:p w:rsidR="0078463C" w:rsidRPr="0078463C" w:rsidRDefault="0078463C" w:rsidP="0078463C"/>
        </w:tc>
        <w:tc>
          <w:tcPr>
            <w:tcW w:w="960" w:type="dxa"/>
            <w:tcBorders>
              <w:top w:val="nil"/>
              <w:left w:val="nil"/>
              <w:bottom w:val="nil"/>
              <w:right w:val="nil"/>
            </w:tcBorders>
            <w:shd w:val="clear" w:color="auto" w:fill="auto"/>
            <w:noWrap/>
            <w:vAlign w:val="bottom"/>
            <w:hideMark/>
          </w:tcPr>
          <w:p w:rsidR="0078463C" w:rsidRPr="0078463C" w:rsidRDefault="0078463C" w:rsidP="0078463C"/>
        </w:tc>
        <w:tc>
          <w:tcPr>
            <w:tcW w:w="530" w:type="dxa"/>
            <w:tcBorders>
              <w:top w:val="nil"/>
              <w:left w:val="nil"/>
              <w:bottom w:val="nil"/>
              <w:right w:val="nil"/>
            </w:tcBorders>
            <w:shd w:val="clear" w:color="auto" w:fill="auto"/>
            <w:noWrap/>
            <w:vAlign w:val="bottom"/>
            <w:hideMark/>
          </w:tcPr>
          <w:p w:rsidR="0078463C" w:rsidRPr="0078463C" w:rsidRDefault="0078463C" w:rsidP="0078463C"/>
        </w:tc>
        <w:tc>
          <w:tcPr>
            <w:tcW w:w="643" w:type="dxa"/>
            <w:tcBorders>
              <w:top w:val="nil"/>
              <w:left w:val="nil"/>
              <w:bottom w:val="nil"/>
              <w:right w:val="nil"/>
            </w:tcBorders>
            <w:shd w:val="clear" w:color="auto" w:fill="auto"/>
            <w:noWrap/>
            <w:vAlign w:val="bottom"/>
            <w:hideMark/>
          </w:tcPr>
          <w:p w:rsidR="0078463C" w:rsidRPr="0078463C" w:rsidRDefault="0078463C" w:rsidP="0078463C"/>
        </w:tc>
        <w:tc>
          <w:tcPr>
            <w:tcW w:w="2905" w:type="dxa"/>
            <w:tcBorders>
              <w:top w:val="nil"/>
              <w:left w:val="nil"/>
              <w:bottom w:val="nil"/>
              <w:right w:val="nil"/>
            </w:tcBorders>
            <w:shd w:val="clear" w:color="auto" w:fill="auto"/>
            <w:noWrap/>
            <w:vAlign w:val="bottom"/>
            <w:hideMark/>
          </w:tcPr>
          <w:p w:rsidR="0078463C" w:rsidRPr="0078463C" w:rsidRDefault="0078463C" w:rsidP="0078463C"/>
        </w:tc>
        <w:tc>
          <w:tcPr>
            <w:tcW w:w="185" w:type="dxa"/>
            <w:tcBorders>
              <w:top w:val="nil"/>
              <w:left w:val="nil"/>
              <w:bottom w:val="nil"/>
              <w:right w:val="nil"/>
            </w:tcBorders>
            <w:shd w:val="clear" w:color="auto" w:fill="auto"/>
            <w:noWrap/>
            <w:vAlign w:val="bottom"/>
            <w:hideMark/>
          </w:tcPr>
          <w:p w:rsidR="0078463C" w:rsidRPr="0078463C" w:rsidRDefault="0078463C" w:rsidP="0078463C"/>
        </w:tc>
      </w:tr>
      <w:tr w:rsidR="0078463C" w:rsidRPr="0078463C" w:rsidTr="008879B4">
        <w:trPr>
          <w:trHeight w:val="510"/>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8425" w:type="dxa"/>
            <w:gridSpan w:val="8"/>
            <w:tcBorders>
              <w:top w:val="single" w:sz="8" w:space="0" w:color="auto"/>
              <w:left w:val="single" w:sz="8" w:space="0" w:color="auto"/>
              <w:bottom w:val="nil"/>
              <w:right w:val="single" w:sz="8" w:space="0" w:color="000000"/>
            </w:tcBorders>
            <w:shd w:val="clear" w:color="auto" w:fill="auto"/>
            <w:noWrap/>
            <w:vAlign w:val="center"/>
            <w:hideMark/>
          </w:tcPr>
          <w:p w:rsidR="0078463C" w:rsidRPr="0078463C" w:rsidRDefault="0078463C" w:rsidP="0078463C">
            <w:pPr>
              <w:jc w:val="center"/>
              <w:rPr>
                <w:rFonts w:ascii="Calibri" w:hAnsi="Calibri" w:cs="Calibri"/>
                <w:color w:val="000000"/>
                <w:sz w:val="44"/>
                <w:szCs w:val="44"/>
              </w:rPr>
            </w:pPr>
            <w:r w:rsidRPr="0078463C">
              <w:rPr>
                <w:rFonts w:ascii="Calibri" w:hAnsi="Calibri" w:cs="Calibri"/>
                <w:color w:val="000000"/>
                <w:sz w:val="44"/>
                <w:szCs w:val="44"/>
              </w:rPr>
              <w:t xml:space="preserve">Hořínek - </w:t>
            </w:r>
            <w:r w:rsidRPr="0078463C">
              <w:rPr>
                <w:rFonts w:ascii="Calibri" w:hAnsi="Calibri" w:cs="Calibri"/>
                <w:color w:val="000000"/>
                <w:sz w:val="28"/>
                <w:szCs w:val="28"/>
              </w:rPr>
              <w:t>pronájem od HmO, p. o. k 31. 12. 2020</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44"/>
                <w:szCs w:val="44"/>
              </w:rPr>
            </w:pPr>
          </w:p>
        </w:tc>
      </w:tr>
      <w:tr w:rsidR="0078463C" w:rsidRPr="0078463C" w:rsidTr="008879B4">
        <w:trPr>
          <w:trHeight w:val="510"/>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Hřbitov</w:t>
            </w:r>
          </w:p>
        </w:tc>
        <w:tc>
          <w:tcPr>
            <w:tcW w:w="764"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Typ hrobu</w:t>
            </w:r>
          </w:p>
        </w:tc>
        <w:tc>
          <w:tcPr>
            <w:tcW w:w="879"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0C4D71">
            <w:pPr>
              <w:jc w:val="center"/>
              <w:rPr>
                <w:rFonts w:ascii="Calibri" w:hAnsi="Calibri" w:cs="Calibri"/>
                <w:color w:val="000000"/>
              </w:rPr>
            </w:pPr>
            <w:r w:rsidRPr="0078463C">
              <w:rPr>
                <w:rFonts w:ascii="Calibri" w:hAnsi="Calibri" w:cs="Calibri"/>
                <w:color w:val="000000"/>
              </w:rPr>
              <w:t>Odd</w:t>
            </w:r>
            <w:r w:rsidR="000C4D71">
              <w:rPr>
                <w:rFonts w:ascii="Calibri" w:hAnsi="Calibri" w:cs="Calibri"/>
                <w:color w:val="000000"/>
              </w:rPr>
              <w:t>ě</w:t>
            </w:r>
            <w:r w:rsidRPr="0078463C">
              <w:rPr>
                <w:rFonts w:ascii="Calibri" w:hAnsi="Calibri" w:cs="Calibri"/>
                <w:color w:val="000000"/>
              </w:rPr>
              <w:t>l</w:t>
            </w:r>
            <w:r w:rsidR="000C4D71">
              <w:rPr>
                <w:rFonts w:ascii="Calibri" w:hAnsi="Calibri" w:cs="Calibri"/>
                <w:color w:val="000000"/>
              </w:rPr>
              <w:t>e</w:t>
            </w:r>
            <w:r w:rsidRPr="0078463C">
              <w:rPr>
                <w:rFonts w:ascii="Calibri" w:hAnsi="Calibri" w:cs="Calibri"/>
                <w:color w:val="000000"/>
              </w:rPr>
              <w:t>ní</w:t>
            </w:r>
          </w:p>
        </w:tc>
        <w:tc>
          <w:tcPr>
            <w:tcW w:w="523"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Číslo HM</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plocha HM [m2]</w:t>
            </w:r>
          </w:p>
        </w:tc>
        <w:tc>
          <w:tcPr>
            <w:tcW w:w="530"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šířka</w:t>
            </w:r>
          </w:p>
        </w:tc>
        <w:tc>
          <w:tcPr>
            <w:tcW w:w="643"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délka</w:t>
            </w:r>
          </w:p>
        </w:tc>
        <w:tc>
          <w:tcPr>
            <w:tcW w:w="2905" w:type="dxa"/>
            <w:tcBorders>
              <w:top w:val="single" w:sz="8" w:space="0" w:color="auto"/>
              <w:left w:val="nil"/>
              <w:bottom w:val="single" w:sz="8" w:space="0" w:color="auto"/>
              <w:right w:val="single" w:sz="8" w:space="0" w:color="auto"/>
            </w:tcBorders>
            <w:shd w:val="clear" w:color="auto" w:fill="auto"/>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čistá plocha m2</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34</w:t>
            </w:r>
          </w:p>
        </w:tc>
        <w:tc>
          <w:tcPr>
            <w:tcW w:w="12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43C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single" w:sz="4" w:space="0" w:color="auto"/>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center"/>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65B</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vAlign w:val="center"/>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65C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76A</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76B</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76C</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87A</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31</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39</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1,15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0,73</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0,84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0,45</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0,56</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70</w:t>
            </w:r>
          </w:p>
        </w:tc>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56</w:t>
            </w:r>
          </w:p>
        </w:tc>
        <w:tc>
          <w:tcPr>
            <w:tcW w:w="960"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8"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tc>
        <w:tc>
          <w:tcPr>
            <w:tcW w:w="523" w:type="dxa"/>
            <w:tcBorders>
              <w:top w:val="nil"/>
              <w:left w:val="nil"/>
              <w:bottom w:val="nil"/>
              <w:right w:val="nil"/>
            </w:tcBorders>
            <w:shd w:val="clear" w:color="auto" w:fill="auto"/>
            <w:noWrap/>
            <w:vAlign w:val="bottom"/>
            <w:hideMark/>
          </w:tcPr>
          <w:p w:rsidR="0078463C" w:rsidRPr="0078463C" w:rsidRDefault="0078463C" w:rsidP="0078463C"/>
        </w:tc>
        <w:tc>
          <w:tcPr>
            <w:tcW w:w="960" w:type="dxa"/>
            <w:tcBorders>
              <w:top w:val="nil"/>
              <w:left w:val="nil"/>
              <w:bottom w:val="nil"/>
              <w:right w:val="nil"/>
            </w:tcBorders>
            <w:shd w:val="clear" w:color="auto" w:fill="auto"/>
            <w:noWrap/>
            <w:vAlign w:val="bottom"/>
            <w:hideMark/>
          </w:tcPr>
          <w:p w:rsidR="0078463C" w:rsidRPr="0078463C" w:rsidRDefault="0078463C" w:rsidP="0078463C"/>
        </w:tc>
        <w:tc>
          <w:tcPr>
            <w:tcW w:w="530" w:type="dxa"/>
            <w:tcBorders>
              <w:top w:val="nil"/>
              <w:left w:val="nil"/>
              <w:bottom w:val="nil"/>
              <w:right w:val="nil"/>
            </w:tcBorders>
            <w:shd w:val="clear" w:color="auto" w:fill="auto"/>
            <w:noWrap/>
            <w:vAlign w:val="bottom"/>
            <w:hideMark/>
          </w:tcPr>
          <w:p w:rsidR="0078463C" w:rsidRPr="0078463C" w:rsidRDefault="0078463C" w:rsidP="0078463C"/>
        </w:tc>
        <w:tc>
          <w:tcPr>
            <w:tcW w:w="643" w:type="dxa"/>
            <w:tcBorders>
              <w:top w:val="nil"/>
              <w:left w:val="nil"/>
              <w:bottom w:val="nil"/>
              <w:right w:val="nil"/>
            </w:tcBorders>
            <w:shd w:val="clear" w:color="auto" w:fill="auto"/>
            <w:noWrap/>
            <w:vAlign w:val="bottom"/>
            <w:hideMark/>
          </w:tcPr>
          <w:p w:rsidR="0078463C" w:rsidRPr="0078463C" w:rsidRDefault="0078463C" w:rsidP="0078463C"/>
        </w:tc>
        <w:tc>
          <w:tcPr>
            <w:tcW w:w="2905" w:type="dxa"/>
            <w:tcBorders>
              <w:top w:val="nil"/>
              <w:left w:val="nil"/>
              <w:bottom w:val="nil"/>
              <w:right w:val="nil"/>
            </w:tcBorders>
            <w:shd w:val="clear" w:color="auto" w:fill="auto"/>
            <w:noWrap/>
            <w:vAlign w:val="bottom"/>
            <w:hideMark/>
          </w:tcPr>
          <w:p w:rsidR="0078463C" w:rsidRPr="0078463C" w:rsidRDefault="0078463C" w:rsidP="0078463C"/>
        </w:tc>
        <w:tc>
          <w:tcPr>
            <w:tcW w:w="185" w:type="dxa"/>
            <w:tcBorders>
              <w:top w:val="nil"/>
              <w:left w:val="nil"/>
              <w:bottom w:val="nil"/>
              <w:right w:val="nil"/>
            </w:tcBorders>
            <w:shd w:val="clear" w:color="auto" w:fill="auto"/>
            <w:noWrap/>
            <w:vAlign w:val="bottom"/>
            <w:hideMark/>
          </w:tcPr>
          <w:p w:rsidR="0078463C" w:rsidRPr="0078463C" w:rsidRDefault="0078463C" w:rsidP="0078463C"/>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221"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tc>
        <w:tc>
          <w:tcPr>
            <w:tcW w:w="523" w:type="dxa"/>
            <w:tcBorders>
              <w:top w:val="nil"/>
              <w:left w:val="nil"/>
              <w:bottom w:val="nil"/>
              <w:right w:val="nil"/>
            </w:tcBorders>
            <w:shd w:val="clear" w:color="auto" w:fill="auto"/>
            <w:noWrap/>
            <w:vAlign w:val="bottom"/>
            <w:hideMark/>
          </w:tcPr>
          <w:p w:rsidR="0078463C" w:rsidRPr="0078463C" w:rsidRDefault="0078463C" w:rsidP="0078463C"/>
        </w:tc>
        <w:tc>
          <w:tcPr>
            <w:tcW w:w="96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44</w:t>
            </w:r>
          </w:p>
        </w:tc>
        <w:tc>
          <w:tcPr>
            <w:tcW w:w="53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c>
          <w:tcPr>
            <w:tcW w:w="643" w:type="dxa"/>
            <w:tcBorders>
              <w:top w:val="nil"/>
              <w:left w:val="nil"/>
              <w:bottom w:val="nil"/>
              <w:right w:val="nil"/>
            </w:tcBorders>
            <w:shd w:val="clear" w:color="auto" w:fill="auto"/>
            <w:noWrap/>
            <w:vAlign w:val="bottom"/>
            <w:hideMark/>
          </w:tcPr>
          <w:p w:rsidR="0078463C" w:rsidRPr="0078463C" w:rsidRDefault="0078463C" w:rsidP="0078463C"/>
        </w:tc>
        <w:tc>
          <w:tcPr>
            <w:tcW w:w="290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31,44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510"/>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8425" w:type="dxa"/>
            <w:gridSpan w:val="8"/>
            <w:tcBorders>
              <w:top w:val="single" w:sz="8" w:space="0" w:color="auto"/>
              <w:left w:val="single" w:sz="8" w:space="0" w:color="auto"/>
              <w:bottom w:val="nil"/>
              <w:right w:val="single" w:sz="8" w:space="0" w:color="000000"/>
            </w:tcBorders>
            <w:shd w:val="clear" w:color="auto" w:fill="auto"/>
            <w:noWrap/>
            <w:vAlign w:val="center"/>
            <w:hideMark/>
          </w:tcPr>
          <w:p w:rsidR="0078463C" w:rsidRPr="0078463C" w:rsidRDefault="0078463C" w:rsidP="0078463C">
            <w:pPr>
              <w:jc w:val="center"/>
              <w:rPr>
                <w:rFonts w:ascii="Calibri" w:hAnsi="Calibri" w:cs="Calibri"/>
                <w:color w:val="000000"/>
                <w:sz w:val="44"/>
                <w:szCs w:val="44"/>
              </w:rPr>
            </w:pPr>
            <w:r w:rsidRPr="0078463C">
              <w:rPr>
                <w:rFonts w:ascii="Calibri" w:hAnsi="Calibri" w:cs="Calibri"/>
                <w:color w:val="000000"/>
                <w:sz w:val="44"/>
                <w:szCs w:val="44"/>
              </w:rPr>
              <w:t xml:space="preserve">Hořínek - </w:t>
            </w:r>
            <w:r w:rsidRPr="0078463C">
              <w:rPr>
                <w:rFonts w:ascii="Calibri" w:hAnsi="Calibri" w:cs="Calibri"/>
                <w:color w:val="000000"/>
                <w:sz w:val="28"/>
                <w:szCs w:val="28"/>
              </w:rPr>
              <w:t>pronájem od HmO, p. o. k 31. 12. 2020</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44"/>
                <w:szCs w:val="44"/>
              </w:rPr>
            </w:pPr>
          </w:p>
        </w:tc>
      </w:tr>
      <w:tr w:rsidR="0078463C" w:rsidRPr="0078463C" w:rsidTr="008879B4">
        <w:trPr>
          <w:trHeight w:val="510"/>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Hřbitov</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Typ hrobu</w:t>
            </w:r>
          </w:p>
        </w:tc>
        <w:tc>
          <w:tcPr>
            <w:tcW w:w="879"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0C4D71" w:rsidP="0078463C">
            <w:pPr>
              <w:jc w:val="center"/>
              <w:rPr>
                <w:rFonts w:ascii="Calibri" w:hAnsi="Calibri" w:cs="Calibri"/>
                <w:color w:val="000000"/>
              </w:rPr>
            </w:pPr>
            <w:r>
              <w:rPr>
                <w:rFonts w:ascii="Calibri" w:hAnsi="Calibri" w:cs="Calibri"/>
                <w:color w:val="000000"/>
              </w:rPr>
              <w:t>Odděle</w:t>
            </w:r>
            <w:r w:rsidR="0078463C" w:rsidRPr="0078463C">
              <w:rPr>
                <w:rFonts w:ascii="Calibri" w:hAnsi="Calibri" w:cs="Calibri"/>
                <w:color w:val="000000"/>
              </w:rPr>
              <w:t>ní</w:t>
            </w:r>
          </w:p>
        </w:tc>
        <w:tc>
          <w:tcPr>
            <w:tcW w:w="523"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Číslo HM</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plocha HM [m2]</w:t>
            </w:r>
          </w:p>
        </w:tc>
        <w:tc>
          <w:tcPr>
            <w:tcW w:w="530"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šířka</w:t>
            </w:r>
          </w:p>
        </w:tc>
        <w:tc>
          <w:tcPr>
            <w:tcW w:w="643" w:type="dxa"/>
            <w:tcBorders>
              <w:top w:val="single" w:sz="8" w:space="0" w:color="auto"/>
              <w:left w:val="nil"/>
              <w:bottom w:val="single" w:sz="8" w:space="0" w:color="auto"/>
              <w:right w:val="single" w:sz="4" w:space="0" w:color="auto"/>
            </w:tcBorders>
            <w:shd w:val="clear" w:color="auto" w:fill="auto"/>
            <w:noWrap/>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délka</w:t>
            </w:r>
          </w:p>
        </w:tc>
        <w:tc>
          <w:tcPr>
            <w:tcW w:w="2905" w:type="dxa"/>
            <w:tcBorders>
              <w:top w:val="single" w:sz="8" w:space="0" w:color="auto"/>
              <w:left w:val="nil"/>
              <w:bottom w:val="single" w:sz="8" w:space="0" w:color="auto"/>
              <w:right w:val="single" w:sz="8" w:space="0" w:color="auto"/>
            </w:tcBorders>
            <w:shd w:val="clear" w:color="auto" w:fill="auto"/>
            <w:vAlign w:val="center"/>
            <w:hideMark/>
          </w:tcPr>
          <w:p w:rsidR="0078463C" w:rsidRPr="0078463C" w:rsidRDefault="0078463C" w:rsidP="0078463C">
            <w:pPr>
              <w:jc w:val="center"/>
              <w:rPr>
                <w:rFonts w:ascii="Calibri" w:hAnsi="Calibri" w:cs="Calibri"/>
                <w:color w:val="000000"/>
              </w:rPr>
            </w:pPr>
            <w:r w:rsidRPr="0078463C">
              <w:rPr>
                <w:rFonts w:ascii="Calibri" w:hAnsi="Calibri" w:cs="Calibri"/>
                <w:color w:val="000000"/>
              </w:rPr>
              <w:t>čistá plocha m2</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71</w:t>
            </w:r>
          </w:p>
        </w:tc>
        <w:tc>
          <w:tcPr>
            <w:tcW w:w="12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single" w:sz="4" w:space="0" w:color="auto"/>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62</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0,50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0,65</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0,33</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75</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77</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68</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78</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69</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79</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70</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80</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71</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81</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82</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73</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83</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74</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84</w:t>
            </w:r>
          </w:p>
        </w:tc>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75</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4"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85</w:t>
            </w:r>
          </w:p>
        </w:tc>
        <w:tc>
          <w:tcPr>
            <w:tcW w:w="1221" w:type="dxa"/>
            <w:tcBorders>
              <w:top w:val="nil"/>
              <w:left w:val="single" w:sz="8" w:space="0" w:color="auto"/>
              <w:bottom w:val="single" w:sz="8" w:space="0" w:color="auto"/>
              <w:right w:val="nil"/>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Ústř.hřbitov</w:t>
            </w:r>
          </w:p>
        </w:tc>
        <w:tc>
          <w:tcPr>
            <w:tcW w:w="764" w:type="dxa"/>
            <w:tcBorders>
              <w:top w:val="nil"/>
              <w:left w:val="single" w:sz="4" w:space="0" w:color="auto"/>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U</w:t>
            </w:r>
          </w:p>
        </w:tc>
        <w:tc>
          <w:tcPr>
            <w:tcW w:w="879"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XIIIA</w:t>
            </w:r>
          </w:p>
        </w:tc>
        <w:tc>
          <w:tcPr>
            <w:tcW w:w="523"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w:t>
            </w:r>
          </w:p>
        </w:tc>
        <w:tc>
          <w:tcPr>
            <w:tcW w:w="960"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w:t>
            </w:r>
          </w:p>
        </w:tc>
        <w:tc>
          <w:tcPr>
            <w:tcW w:w="530"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0,90</w:t>
            </w:r>
          </w:p>
        </w:tc>
        <w:tc>
          <w:tcPr>
            <w:tcW w:w="643" w:type="dxa"/>
            <w:tcBorders>
              <w:top w:val="nil"/>
              <w:left w:val="nil"/>
              <w:bottom w:val="single" w:sz="8"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1,20</w:t>
            </w:r>
          </w:p>
        </w:tc>
        <w:tc>
          <w:tcPr>
            <w:tcW w:w="2905" w:type="dxa"/>
            <w:tcBorders>
              <w:top w:val="nil"/>
              <w:left w:val="nil"/>
              <w:bottom w:val="single" w:sz="8" w:space="0" w:color="auto"/>
              <w:right w:val="single" w:sz="8"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1,08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nil"/>
              <w:left w:val="nil"/>
              <w:bottom w:val="nil"/>
              <w:right w:val="nil"/>
            </w:tcBorders>
            <w:shd w:val="clear" w:color="auto" w:fill="auto"/>
            <w:noWrap/>
            <w:vAlign w:val="bottom"/>
            <w:hideMark/>
          </w:tcPr>
          <w:p w:rsidR="0078463C" w:rsidRPr="0078463C" w:rsidRDefault="0078463C" w:rsidP="0078463C"/>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52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960"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530"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64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2905"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nil"/>
              <w:left w:val="nil"/>
              <w:bottom w:val="nil"/>
              <w:right w:val="nil"/>
            </w:tcBorders>
            <w:shd w:val="clear" w:color="auto" w:fill="auto"/>
            <w:noWrap/>
            <w:vAlign w:val="bottom"/>
            <w:hideMark/>
          </w:tcPr>
          <w:p w:rsidR="0078463C" w:rsidRPr="0078463C" w:rsidRDefault="0078463C" w:rsidP="0078463C"/>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52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96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26</w:t>
            </w:r>
          </w:p>
        </w:tc>
        <w:tc>
          <w:tcPr>
            <w:tcW w:w="53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c>
          <w:tcPr>
            <w:tcW w:w="64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290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13,18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nil"/>
              <w:left w:val="nil"/>
              <w:bottom w:val="nil"/>
              <w:right w:val="nil"/>
            </w:tcBorders>
            <w:shd w:val="clear" w:color="auto" w:fill="auto"/>
            <w:noWrap/>
            <w:vAlign w:val="bottom"/>
            <w:hideMark/>
          </w:tcPr>
          <w:p w:rsidR="0078463C" w:rsidRPr="0078463C" w:rsidRDefault="0078463C" w:rsidP="0078463C"/>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52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960"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530"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64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2905"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Přenos str. 1</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61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2905" w:type="dxa"/>
            <w:tcBorders>
              <w:top w:val="single" w:sz="4" w:space="0" w:color="auto"/>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31,87</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Přenos str. 2</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44</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31,44</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78463C" w:rsidRPr="0078463C" w:rsidRDefault="0078463C" w:rsidP="0078463C">
            <w:pPr>
              <w:rPr>
                <w:rFonts w:ascii="Calibri" w:hAnsi="Calibri" w:cs="Calibri"/>
                <w:color w:val="000000"/>
                <w:sz w:val="22"/>
                <w:szCs w:val="22"/>
              </w:rPr>
            </w:pPr>
            <w:r w:rsidRPr="0078463C">
              <w:rPr>
                <w:rFonts w:ascii="Calibri" w:hAnsi="Calibri" w:cs="Calibri"/>
                <w:color w:val="000000"/>
                <w:sz w:val="22"/>
                <w:szCs w:val="22"/>
              </w:rPr>
              <w:t>Str. 3</w:t>
            </w:r>
          </w:p>
        </w:tc>
        <w:tc>
          <w:tcPr>
            <w:tcW w:w="764"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879"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52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26</w:t>
            </w:r>
          </w:p>
        </w:tc>
        <w:tc>
          <w:tcPr>
            <w:tcW w:w="530"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643"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13,18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r w:rsidR="0078463C" w:rsidRPr="0078463C" w:rsidTr="008879B4">
        <w:trPr>
          <w:trHeight w:val="319"/>
        </w:trPr>
        <w:tc>
          <w:tcPr>
            <w:tcW w:w="364" w:type="dxa"/>
            <w:tcBorders>
              <w:top w:val="nil"/>
              <w:left w:val="nil"/>
              <w:bottom w:val="nil"/>
              <w:right w:val="nil"/>
            </w:tcBorders>
            <w:shd w:val="clear" w:color="auto" w:fill="auto"/>
            <w:noWrap/>
            <w:vAlign w:val="bottom"/>
            <w:hideMark/>
          </w:tcPr>
          <w:p w:rsidR="0078463C" w:rsidRPr="0078463C" w:rsidRDefault="0078463C" w:rsidP="0078463C"/>
        </w:tc>
        <w:tc>
          <w:tcPr>
            <w:tcW w:w="1221" w:type="dxa"/>
            <w:tcBorders>
              <w:top w:val="nil"/>
              <w:left w:val="nil"/>
              <w:bottom w:val="nil"/>
              <w:right w:val="nil"/>
            </w:tcBorders>
            <w:shd w:val="clear" w:color="auto" w:fill="auto"/>
            <w:noWrap/>
            <w:vAlign w:val="bottom"/>
            <w:hideMark/>
          </w:tcPr>
          <w:p w:rsidR="0078463C" w:rsidRPr="0078463C" w:rsidRDefault="0078463C" w:rsidP="0078463C"/>
        </w:tc>
        <w:tc>
          <w:tcPr>
            <w:tcW w:w="764" w:type="dxa"/>
            <w:tcBorders>
              <w:top w:val="nil"/>
              <w:left w:val="nil"/>
              <w:bottom w:val="nil"/>
              <w:right w:val="nil"/>
            </w:tcBorders>
            <w:shd w:val="clear" w:color="auto" w:fill="auto"/>
            <w:noWrap/>
            <w:vAlign w:val="bottom"/>
            <w:hideMark/>
          </w:tcPr>
          <w:p w:rsidR="0078463C" w:rsidRPr="0078463C" w:rsidRDefault="0078463C" w:rsidP="0078463C"/>
        </w:tc>
        <w:tc>
          <w:tcPr>
            <w:tcW w:w="879"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52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96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131</w:t>
            </w:r>
          </w:p>
        </w:tc>
        <w:tc>
          <w:tcPr>
            <w:tcW w:w="530"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c>
          <w:tcPr>
            <w:tcW w:w="643" w:type="dxa"/>
            <w:tcBorders>
              <w:top w:val="nil"/>
              <w:left w:val="nil"/>
              <w:bottom w:val="nil"/>
              <w:right w:val="nil"/>
            </w:tcBorders>
            <w:shd w:val="clear" w:color="auto" w:fill="auto"/>
            <w:noWrap/>
            <w:vAlign w:val="bottom"/>
            <w:hideMark/>
          </w:tcPr>
          <w:p w:rsidR="0078463C" w:rsidRPr="0078463C" w:rsidRDefault="0078463C" w:rsidP="0078463C">
            <w:pPr>
              <w:jc w:val="center"/>
            </w:pPr>
          </w:p>
        </w:tc>
        <w:tc>
          <w:tcPr>
            <w:tcW w:w="290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r w:rsidRPr="0078463C">
              <w:rPr>
                <w:rFonts w:ascii="Calibri" w:hAnsi="Calibri" w:cs="Calibri"/>
                <w:color w:val="000000"/>
                <w:sz w:val="22"/>
                <w:szCs w:val="22"/>
              </w:rPr>
              <w:t>76,48</w:t>
            </w:r>
          </w:p>
        </w:tc>
        <w:tc>
          <w:tcPr>
            <w:tcW w:w="185" w:type="dxa"/>
            <w:tcBorders>
              <w:top w:val="nil"/>
              <w:left w:val="nil"/>
              <w:bottom w:val="nil"/>
              <w:right w:val="nil"/>
            </w:tcBorders>
            <w:shd w:val="clear" w:color="auto" w:fill="auto"/>
            <w:noWrap/>
            <w:vAlign w:val="bottom"/>
            <w:hideMark/>
          </w:tcPr>
          <w:p w:rsidR="0078463C" w:rsidRPr="0078463C" w:rsidRDefault="0078463C" w:rsidP="0078463C">
            <w:pPr>
              <w:jc w:val="center"/>
              <w:rPr>
                <w:rFonts w:ascii="Calibri" w:hAnsi="Calibri" w:cs="Calibri"/>
                <w:color w:val="000000"/>
                <w:sz w:val="22"/>
                <w:szCs w:val="22"/>
              </w:rPr>
            </w:pPr>
          </w:p>
        </w:tc>
      </w:tr>
    </w:tbl>
    <w:p w:rsidR="00874CEC" w:rsidRDefault="00874CEC" w:rsidP="0078463C">
      <w:pPr>
        <w:ind w:right="3967"/>
        <w:jc w:val="both"/>
        <w:rPr>
          <w:sz w:val="24"/>
          <w:szCs w:val="24"/>
        </w:rPr>
      </w:pPr>
    </w:p>
    <w:sectPr w:rsidR="00874CEC" w:rsidSect="0078463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3E7"/>
    <w:multiLevelType w:val="singleLevel"/>
    <w:tmpl w:val="48B46F1A"/>
    <w:lvl w:ilvl="0">
      <w:start w:val="1"/>
      <w:numFmt w:val="decimal"/>
      <w:lvlText w:val="%1."/>
      <w:legacy w:legacy="1" w:legacySpace="0" w:legacyIndent="283"/>
      <w:lvlJc w:val="left"/>
      <w:pPr>
        <w:ind w:left="283" w:hanging="283"/>
      </w:pPr>
      <w:rPr>
        <w:rFonts w:cs="Times New Roman"/>
        <w:i w:val="0"/>
      </w:rPr>
    </w:lvl>
  </w:abstractNum>
  <w:abstractNum w:abstractNumId="1" w15:restartNumberingAfterBreak="0">
    <w:nsid w:val="11BE59B4"/>
    <w:multiLevelType w:val="singleLevel"/>
    <w:tmpl w:val="FD16BD5C"/>
    <w:lvl w:ilvl="0">
      <w:start w:val="1"/>
      <w:numFmt w:val="decimal"/>
      <w:lvlText w:val="%1."/>
      <w:legacy w:legacy="1" w:legacySpace="0" w:legacyIndent="283"/>
      <w:lvlJc w:val="left"/>
      <w:pPr>
        <w:ind w:left="284" w:hanging="283"/>
      </w:pPr>
      <w:rPr>
        <w:rFonts w:cs="Times New Roman"/>
      </w:rPr>
    </w:lvl>
  </w:abstractNum>
  <w:abstractNum w:abstractNumId="2" w15:restartNumberingAfterBreak="0">
    <w:nsid w:val="47FC643A"/>
    <w:multiLevelType w:val="singleLevel"/>
    <w:tmpl w:val="C374AE56"/>
    <w:lvl w:ilvl="0">
      <w:start w:val="1"/>
      <w:numFmt w:val="lowerLetter"/>
      <w:lvlText w:val="    %1)"/>
      <w:legacy w:legacy="1" w:legacySpace="0" w:legacyIndent="510"/>
      <w:lvlJc w:val="left"/>
      <w:pPr>
        <w:ind w:left="567" w:hanging="510"/>
      </w:pPr>
      <w:rPr>
        <w:rFonts w:cs="Times New Roman"/>
      </w:rPr>
    </w:lvl>
  </w:abstractNum>
  <w:abstractNum w:abstractNumId="3" w15:restartNumberingAfterBreak="0">
    <w:nsid w:val="485B1B03"/>
    <w:multiLevelType w:val="singleLevel"/>
    <w:tmpl w:val="8DD8F8A8"/>
    <w:lvl w:ilvl="0">
      <w:start w:val="4"/>
      <w:numFmt w:val="decimal"/>
      <w:lvlText w:val="%1."/>
      <w:lvlJc w:val="left"/>
      <w:pPr>
        <w:tabs>
          <w:tab w:val="num" w:pos="0"/>
        </w:tabs>
        <w:ind w:left="283" w:hanging="283"/>
      </w:pPr>
      <w:rPr>
        <w:rFonts w:cs="Times New Roman" w:hint="default"/>
      </w:rPr>
    </w:lvl>
  </w:abstractNum>
  <w:abstractNum w:abstractNumId="4" w15:restartNumberingAfterBreak="0">
    <w:nsid w:val="51166CFF"/>
    <w:multiLevelType w:val="singleLevel"/>
    <w:tmpl w:val="C59EB520"/>
    <w:lvl w:ilvl="0">
      <w:start w:val="2"/>
      <w:numFmt w:val="decimal"/>
      <w:lvlText w:val="%1."/>
      <w:legacy w:legacy="1" w:legacySpace="0" w:legacyIndent="283"/>
      <w:lvlJc w:val="left"/>
      <w:pPr>
        <w:ind w:left="283" w:hanging="283"/>
      </w:pPr>
      <w:rPr>
        <w:rFonts w:cs="Times New Roman"/>
      </w:rPr>
    </w:lvl>
  </w:abstractNum>
  <w:abstractNum w:abstractNumId="5" w15:restartNumberingAfterBreak="0">
    <w:nsid w:val="524A162D"/>
    <w:multiLevelType w:val="singleLevel"/>
    <w:tmpl w:val="FD16BD5C"/>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5B951B71"/>
    <w:multiLevelType w:val="singleLevel"/>
    <w:tmpl w:val="FD16BD5C"/>
    <w:lvl w:ilvl="0">
      <w:start w:val="1"/>
      <w:numFmt w:val="decimal"/>
      <w:lvlText w:val="%1."/>
      <w:legacy w:legacy="1" w:legacySpace="0" w:legacyIndent="283"/>
      <w:lvlJc w:val="left"/>
      <w:pPr>
        <w:ind w:left="284" w:hanging="283"/>
      </w:pPr>
      <w:rPr>
        <w:rFonts w:cs="Times New Roman"/>
      </w:rPr>
    </w:lvl>
  </w:abstractNum>
  <w:abstractNum w:abstractNumId="7" w15:restartNumberingAfterBreak="0">
    <w:nsid w:val="5BF763B4"/>
    <w:multiLevelType w:val="hybridMultilevel"/>
    <w:tmpl w:val="362494CC"/>
    <w:lvl w:ilvl="0" w:tplc="C4A6AE44">
      <w:start w:val="1"/>
      <w:numFmt w:val="decimal"/>
      <w:lvlText w:val="%1)"/>
      <w:lvlJc w:val="left"/>
      <w:pPr>
        <w:tabs>
          <w:tab w:val="num" w:pos="1421"/>
        </w:tabs>
        <w:ind w:left="1421" w:hanging="340"/>
      </w:pPr>
      <w:rPr>
        <w:rFonts w:cs="Times New Roman"/>
        <w:b/>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DC94A6B"/>
    <w:multiLevelType w:val="singleLevel"/>
    <w:tmpl w:val="FD16BD5C"/>
    <w:lvl w:ilvl="0">
      <w:start w:val="1"/>
      <w:numFmt w:val="decimal"/>
      <w:lvlText w:val="%1."/>
      <w:legacy w:legacy="1" w:legacySpace="0" w:legacyIndent="283"/>
      <w:lvlJc w:val="left"/>
      <w:pPr>
        <w:ind w:left="283" w:hanging="283"/>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4"/>
    <w:lvlOverride w:ilvl="0">
      <w:startOverride w:val="2"/>
    </w:lvlOverride>
  </w:num>
  <w:num w:numId="4">
    <w:abstractNumId w:val="5"/>
    <w:lvlOverride w:ilvl="0">
      <w:startOverride w:val="1"/>
    </w:lvlOverride>
  </w:num>
  <w:num w:numId="5">
    <w:abstractNumId w:val="5"/>
    <w:lvlOverride w:ilvl="0">
      <w:lvl w:ilvl="0">
        <w:start w:val="1"/>
        <w:numFmt w:val="decimal"/>
        <w:lvlText w:val="%1."/>
        <w:legacy w:legacy="1" w:legacySpace="0" w:legacyIndent="283"/>
        <w:lvlJc w:val="left"/>
        <w:pPr>
          <w:ind w:left="283" w:hanging="283"/>
        </w:pPr>
        <w:rPr>
          <w:rFonts w:cs="Times New Roman"/>
        </w:rPr>
      </w:lvl>
    </w:lvlOverride>
  </w:num>
  <w:num w:numId="6">
    <w:abstractNumId w:val="1"/>
    <w:lvlOverride w:ilvl="0">
      <w:startOverride w:val="1"/>
    </w:lvlOverride>
  </w:num>
  <w:num w:numId="7">
    <w:abstractNumId w:val="6"/>
    <w:lvlOverride w:ilvl="0">
      <w:startOverride w:val="1"/>
    </w:lvlOverride>
  </w:num>
  <w:num w:numId="8">
    <w:abstractNumId w:val="2"/>
    <w:lvlOverride w:ilvl="0">
      <w:startOverride w:val="1"/>
    </w:lvlOverride>
  </w:num>
  <w:num w:numId="9">
    <w:abstractNumId w:val="3"/>
  </w:num>
  <w:num w:numId="10">
    <w:abstractNumId w:val="0"/>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C6"/>
    <w:rsid w:val="000428BA"/>
    <w:rsid w:val="000C4D71"/>
    <w:rsid w:val="00130C0B"/>
    <w:rsid w:val="00236DDE"/>
    <w:rsid w:val="003234F7"/>
    <w:rsid w:val="004432D8"/>
    <w:rsid w:val="00462D38"/>
    <w:rsid w:val="005B394D"/>
    <w:rsid w:val="006228CE"/>
    <w:rsid w:val="00707BF3"/>
    <w:rsid w:val="00773D80"/>
    <w:rsid w:val="0078463C"/>
    <w:rsid w:val="00874CEC"/>
    <w:rsid w:val="00880D5B"/>
    <w:rsid w:val="008851DF"/>
    <w:rsid w:val="008879B4"/>
    <w:rsid w:val="008E7BC6"/>
    <w:rsid w:val="00900B26"/>
    <w:rsid w:val="0093781C"/>
    <w:rsid w:val="009519E9"/>
    <w:rsid w:val="009D2B6C"/>
    <w:rsid w:val="00A23BE3"/>
    <w:rsid w:val="00A9641B"/>
    <w:rsid w:val="00B139FE"/>
    <w:rsid w:val="00B932B1"/>
    <w:rsid w:val="00C11218"/>
    <w:rsid w:val="00CC129B"/>
    <w:rsid w:val="00D37040"/>
    <w:rsid w:val="00DB0ABE"/>
    <w:rsid w:val="00DC15EF"/>
    <w:rsid w:val="00F63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9961F"/>
  <w15:chartTrackingRefBased/>
  <w15:docId w15:val="{301552E3-B9DA-4C49-9872-31163D13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BC6"/>
  </w:style>
  <w:style w:type="paragraph" w:styleId="Nadpis2">
    <w:name w:val="heading 2"/>
    <w:basedOn w:val="Normln"/>
    <w:next w:val="Normln"/>
    <w:link w:val="Nadpis2Char"/>
    <w:qFormat/>
    <w:rsid w:val="008E7BC6"/>
    <w:pPr>
      <w:keepNext/>
      <w:jc w:val="center"/>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8E7BC6"/>
    <w:rPr>
      <w:b/>
      <w:bCs/>
      <w:sz w:val="22"/>
      <w:szCs w:val="22"/>
      <w:lang w:val="cs-CZ" w:eastAsia="cs-CZ" w:bidi="ar-SA"/>
    </w:rPr>
  </w:style>
  <w:style w:type="character" w:customStyle="1" w:styleId="Zkladntext3Char">
    <w:name w:val="Základní text 3 Char"/>
    <w:link w:val="Zkladntext3"/>
    <w:locked/>
    <w:rsid w:val="008E7BC6"/>
    <w:rPr>
      <w:lang w:val="cs-CZ" w:eastAsia="cs-CZ" w:bidi="ar-SA"/>
    </w:rPr>
  </w:style>
  <w:style w:type="paragraph" w:styleId="Zkladntext3">
    <w:name w:val="Body Text 3"/>
    <w:basedOn w:val="Normln"/>
    <w:link w:val="Zkladntext3Char"/>
    <w:rsid w:val="008E7BC6"/>
    <w:pPr>
      <w:spacing w:line="360" w:lineRule="auto"/>
      <w:jc w:val="both"/>
    </w:pPr>
  </w:style>
  <w:style w:type="paragraph" w:styleId="Textbubliny">
    <w:name w:val="Balloon Text"/>
    <w:basedOn w:val="Normln"/>
    <w:link w:val="TextbublinyChar"/>
    <w:rsid w:val="00462D38"/>
    <w:rPr>
      <w:rFonts w:ascii="Segoe UI" w:hAnsi="Segoe UI" w:cs="Segoe UI"/>
      <w:sz w:val="18"/>
      <w:szCs w:val="18"/>
    </w:rPr>
  </w:style>
  <w:style w:type="character" w:customStyle="1" w:styleId="TextbublinyChar">
    <w:name w:val="Text bubliny Char"/>
    <w:link w:val="Textbubliny"/>
    <w:rsid w:val="00462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998">
      <w:bodyDiv w:val="1"/>
      <w:marLeft w:val="0"/>
      <w:marRight w:val="0"/>
      <w:marTop w:val="0"/>
      <w:marBottom w:val="0"/>
      <w:divBdr>
        <w:top w:val="none" w:sz="0" w:space="0" w:color="auto"/>
        <w:left w:val="none" w:sz="0" w:space="0" w:color="auto"/>
        <w:bottom w:val="none" w:sz="0" w:space="0" w:color="auto"/>
        <w:right w:val="none" w:sz="0" w:space="0" w:color="auto"/>
      </w:divBdr>
    </w:div>
    <w:div w:id="79453993">
      <w:bodyDiv w:val="1"/>
      <w:marLeft w:val="0"/>
      <w:marRight w:val="0"/>
      <w:marTop w:val="0"/>
      <w:marBottom w:val="0"/>
      <w:divBdr>
        <w:top w:val="none" w:sz="0" w:space="0" w:color="auto"/>
        <w:left w:val="none" w:sz="0" w:space="0" w:color="auto"/>
        <w:bottom w:val="none" w:sz="0" w:space="0" w:color="auto"/>
        <w:right w:val="none" w:sz="0" w:space="0" w:color="auto"/>
      </w:divBdr>
    </w:div>
    <w:div w:id="158350325">
      <w:bodyDiv w:val="1"/>
      <w:marLeft w:val="0"/>
      <w:marRight w:val="0"/>
      <w:marTop w:val="0"/>
      <w:marBottom w:val="0"/>
      <w:divBdr>
        <w:top w:val="none" w:sz="0" w:space="0" w:color="auto"/>
        <w:left w:val="none" w:sz="0" w:space="0" w:color="auto"/>
        <w:bottom w:val="none" w:sz="0" w:space="0" w:color="auto"/>
        <w:right w:val="none" w:sz="0" w:space="0" w:color="auto"/>
      </w:divBdr>
    </w:div>
    <w:div w:id="343286843">
      <w:bodyDiv w:val="1"/>
      <w:marLeft w:val="0"/>
      <w:marRight w:val="0"/>
      <w:marTop w:val="0"/>
      <w:marBottom w:val="0"/>
      <w:divBdr>
        <w:top w:val="none" w:sz="0" w:space="0" w:color="auto"/>
        <w:left w:val="none" w:sz="0" w:space="0" w:color="auto"/>
        <w:bottom w:val="none" w:sz="0" w:space="0" w:color="auto"/>
        <w:right w:val="none" w:sz="0" w:space="0" w:color="auto"/>
      </w:divBdr>
    </w:div>
    <w:div w:id="487983781">
      <w:bodyDiv w:val="1"/>
      <w:marLeft w:val="0"/>
      <w:marRight w:val="0"/>
      <w:marTop w:val="0"/>
      <w:marBottom w:val="0"/>
      <w:divBdr>
        <w:top w:val="none" w:sz="0" w:space="0" w:color="auto"/>
        <w:left w:val="none" w:sz="0" w:space="0" w:color="auto"/>
        <w:bottom w:val="none" w:sz="0" w:space="0" w:color="auto"/>
        <w:right w:val="none" w:sz="0" w:space="0" w:color="auto"/>
      </w:divBdr>
    </w:div>
    <w:div w:id="805440579">
      <w:bodyDiv w:val="1"/>
      <w:marLeft w:val="0"/>
      <w:marRight w:val="0"/>
      <w:marTop w:val="0"/>
      <w:marBottom w:val="0"/>
      <w:divBdr>
        <w:top w:val="none" w:sz="0" w:space="0" w:color="auto"/>
        <w:left w:val="none" w:sz="0" w:space="0" w:color="auto"/>
        <w:bottom w:val="none" w:sz="0" w:space="0" w:color="auto"/>
        <w:right w:val="none" w:sz="0" w:space="0" w:color="auto"/>
      </w:divBdr>
    </w:div>
    <w:div w:id="811095652">
      <w:bodyDiv w:val="1"/>
      <w:marLeft w:val="0"/>
      <w:marRight w:val="0"/>
      <w:marTop w:val="0"/>
      <w:marBottom w:val="0"/>
      <w:divBdr>
        <w:top w:val="none" w:sz="0" w:space="0" w:color="auto"/>
        <w:left w:val="none" w:sz="0" w:space="0" w:color="auto"/>
        <w:bottom w:val="none" w:sz="0" w:space="0" w:color="auto"/>
        <w:right w:val="none" w:sz="0" w:space="0" w:color="auto"/>
      </w:divBdr>
    </w:div>
    <w:div w:id="977295396">
      <w:bodyDiv w:val="1"/>
      <w:marLeft w:val="0"/>
      <w:marRight w:val="0"/>
      <w:marTop w:val="0"/>
      <w:marBottom w:val="0"/>
      <w:divBdr>
        <w:top w:val="none" w:sz="0" w:space="0" w:color="auto"/>
        <w:left w:val="none" w:sz="0" w:space="0" w:color="auto"/>
        <w:bottom w:val="none" w:sz="0" w:space="0" w:color="auto"/>
        <w:right w:val="none" w:sz="0" w:space="0" w:color="auto"/>
      </w:divBdr>
    </w:div>
    <w:div w:id="1070927824">
      <w:bodyDiv w:val="1"/>
      <w:marLeft w:val="0"/>
      <w:marRight w:val="0"/>
      <w:marTop w:val="0"/>
      <w:marBottom w:val="0"/>
      <w:divBdr>
        <w:top w:val="none" w:sz="0" w:space="0" w:color="auto"/>
        <w:left w:val="none" w:sz="0" w:space="0" w:color="auto"/>
        <w:bottom w:val="none" w:sz="0" w:space="0" w:color="auto"/>
        <w:right w:val="none" w:sz="0" w:space="0" w:color="auto"/>
      </w:divBdr>
    </w:div>
    <w:div w:id="1181621816">
      <w:bodyDiv w:val="1"/>
      <w:marLeft w:val="0"/>
      <w:marRight w:val="0"/>
      <w:marTop w:val="0"/>
      <w:marBottom w:val="0"/>
      <w:divBdr>
        <w:top w:val="none" w:sz="0" w:space="0" w:color="auto"/>
        <w:left w:val="none" w:sz="0" w:space="0" w:color="auto"/>
        <w:bottom w:val="none" w:sz="0" w:space="0" w:color="auto"/>
        <w:right w:val="none" w:sz="0" w:space="0" w:color="auto"/>
      </w:divBdr>
    </w:div>
    <w:div w:id="1459184261">
      <w:bodyDiv w:val="1"/>
      <w:marLeft w:val="0"/>
      <w:marRight w:val="0"/>
      <w:marTop w:val="0"/>
      <w:marBottom w:val="0"/>
      <w:divBdr>
        <w:top w:val="none" w:sz="0" w:space="0" w:color="auto"/>
        <w:left w:val="none" w:sz="0" w:space="0" w:color="auto"/>
        <w:bottom w:val="none" w:sz="0" w:space="0" w:color="auto"/>
        <w:right w:val="none" w:sz="0" w:space="0" w:color="auto"/>
      </w:divBdr>
    </w:div>
    <w:div w:id="19507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1603</Words>
  <Characters>9460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Spisový znak</vt:lpstr>
    </vt:vector>
  </TitlesOfParts>
  <Company>MMOL</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Spisový znak</dc:title>
  <dc:subject/>
  <dc:creator>plhle</dc:creator>
  <cp:keywords/>
  <dc:description/>
  <cp:lastModifiedBy>Horáček Evžen</cp:lastModifiedBy>
  <cp:revision>5</cp:revision>
  <cp:lastPrinted>2021-06-29T11:27:00Z</cp:lastPrinted>
  <dcterms:created xsi:type="dcterms:W3CDTF">2021-06-29T10:32:00Z</dcterms:created>
  <dcterms:modified xsi:type="dcterms:W3CDTF">2021-06-29T11:33:00Z</dcterms:modified>
</cp:coreProperties>
</file>