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21/382/295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Chomutov I, LV číslo 10125, geometrický plán č. 6618-190297/2020</w:t>
              <w:br/>
              <w:t xml:space="preserve">Pozemky p. č. 3793/1, p. č. 3793/186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Kyjice, LV číslo 214, geometrický plán č. 119-190297/2020</w:t>
              <w:br/>
              <w:t xml:space="preserve">Pozemky p. č. 154/4, p. č. 678/1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Nové Sedlo nad Bílinou, LV číslo 222, geometrický plán č. 84-190297/2020</w:t>
              <w:br/>
              <w:t xml:space="preserve">Pozemky p. č. 904/3, p. č. 904/4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76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