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5F4C8" w14:textId="77777777" w:rsidR="00644162" w:rsidRPr="0030251F" w:rsidRDefault="00644162" w:rsidP="00644162">
      <w:pPr>
        <w:jc w:val="center"/>
        <w:rPr>
          <w:rFonts w:asciiTheme="minorHAnsi" w:hAnsiTheme="minorHAnsi" w:cs="Arial"/>
          <w:smallCaps/>
          <w:sz w:val="44"/>
          <w:szCs w:val="44"/>
        </w:rPr>
      </w:pPr>
    </w:p>
    <w:p w14:paraId="298C5DEC" w14:textId="77777777" w:rsidR="00644162" w:rsidRPr="0030251F" w:rsidRDefault="00644162" w:rsidP="00644162">
      <w:pPr>
        <w:jc w:val="center"/>
        <w:rPr>
          <w:rFonts w:asciiTheme="minorHAnsi" w:hAnsiTheme="minorHAnsi" w:cs="Arial"/>
          <w:smallCaps/>
          <w:sz w:val="44"/>
          <w:szCs w:val="44"/>
        </w:rPr>
      </w:pPr>
    </w:p>
    <w:p w14:paraId="08FBE23B" w14:textId="77777777" w:rsidR="00644162" w:rsidRPr="0030251F" w:rsidRDefault="00644162" w:rsidP="00644162">
      <w:pPr>
        <w:jc w:val="center"/>
        <w:rPr>
          <w:rFonts w:asciiTheme="minorHAnsi" w:hAnsiTheme="minorHAnsi" w:cs="Arial"/>
          <w:smallCaps/>
          <w:sz w:val="44"/>
          <w:szCs w:val="44"/>
        </w:rPr>
      </w:pPr>
    </w:p>
    <w:p w14:paraId="4222AD74" w14:textId="77777777" w:rsidR="00644162" w:rsidRPr="0030251F" w:rsidRDefault="00644162" w:rsidP="00644162">
      <w:pPr>
        <w:pStyle w:val="Centered"/>
        <w:outlineLvl w:val="0"/>
        <w:rPr>
          <w:rFonts w:ascii="Calibri" w:hAnsi="Calibri"/>
          <w:b/>
          <w:color w:val="000000"/>
          <w:w w:val="0"/>
          <w:sz w:val="26"/>
        </w:rPr>
      </w:pPr>
      <w:r w:rsidRPr="0030251F">
        <w:rPr>
          <w:rFonts w:ascii="Calibri" w:hAnsi="Calibri"/>
          <w:b/>
          <w:color w:val="000000"/>
          <w:w w:val="0"/>
          <w:sz w:val="26"/>
        </w:rPr>
        <w:t xml:space="preserve">P3 </w:t>
      </w:r>
      <w:r>
        <w:rPr>
          <w:rFonts w:ascii="Calibri" w:hAnsi="Calibri"/>
          <w:b/>
          <w:color w:val="000000"/>
          <w:w w:val="0"/>
          <w:sz w:val="26"/>
        </w:rPr>
        <w:t>Prague Horní Počernice 1 s.r.o.</w:t>
      </w:r>
    </w:p>
    <w:p w14:paraId="47650193" w14:textId="77777777" w:rsidR="00644162" w:rsidRPr="0030251F" w:rsidRDefault="00644162" w:rsidP="00644162">
      <w:pPr>
        <w:pStyle w:val="Centered"/>
        <w:outlineLvl w:val="0"/>
        <w:rPr>
          <w:rFonts w:ascii="Calibri" w:hAnsi="Calibri"/>
          <w:sz w:val="26"/>
          <w:szCs w:val="26"/>
        </w:rPr>
      </w:pPr>
      <w:r w:rsidRPr="0030251F">
        <w:rPr>
          <w:rFonts w:ascii="Calibri" w:hAnsi="Calibri"/>
          <w:sz w:val="26"/>
          <w:szCs w:val="26"/>
        </w:rPr>
        <w:t>a</w:t>
      </w:r>
    </w:p>
    <w:p w14:paraId="08FA345B" w14:textId="77777777" w:rsidR="00644162" w:rsidRPr="0030251F" w:rsidRDefault="00644162" w:rsidP="00644162">
      <w:pPr>
        <w:pStyle w:val="Centered"/>
        <w:outlineLvl w:val="0"/>
        <w:rPr>
          <w:rFonts w:ascii="Calibri" w:hAnsi="Calibri"/>
          <w:b/>
          <w:color w:val="000000"/>
          <w:w w:val="0"/>
          <w:sz w:val="26"/>
        </w:rPr>
      </w:pPr>
      <w:r>
        <w:rPr>
          <w:rFonts w:ascii="Calibri" w:hAnsi="Calibri"/>
          <w:b/>
          <w:color w:val="000000"/>
          <w:w w:val="0"/>
          <w:sz w:val="26"/>
        </w:rPr>
        <w:t>Česká pošta, s.p.</w:t>
      </w:r>
    </w:p>
    <w:p w14:paraId="01B73345" w14:textId="77777777" w:rsidR="00644162" w:rsidRPr="0030251F" w:rsidRDefault="00644162" w:rsidP="00644162">
      <w:pPr>
        <w:pStyle w:val="Nzev"/>
        <w:rPr>
          <w:rFonts w:ascii="Calibri" w:hAnsi="Calibri"/>
          <w:sz w:val="24"/>
          <w:szCs w:val="24"/>
          <w:lang w:val="cs-CZ"/>
        </w:rPr>
      </w:pPr>
    </w:p>
    <w:p w14:paraId="6C3697FC" w14:textId="77777777" w:rsidR="00644162" w:rsidRPr="0030251F" w:rsidRDefault="00644162" w:rsidP="00644162">
      <w:pPr>
        <w:pStyle w:val="Co-names"/>
        <w:framePr w:hSpace="180" w:wrap="around" w:vAnchor="text" w:hAnchor="text" w:y="1"/>
        <w:rPr>
          <w:rFonts w:ascii="Calibri" w:hAnsi="Calibri"/>
          <w:bCs/>
          <w:szCs w:val="24"/>
          <w:lang w:val="cs-CZ"/>
        </w:rPr>
      </w:pPr>
    </w:p>
    <w:p w14:paraId="0571880D" w14:textId="77777777" w:rsidR="00644162" w:rsidRPr="0030251F" w:rsidRDefault="00644162" w:rsidP="00644162">
      <w:pPr>
        <w:rPr>
          <w:rFonts w:ascii="Calibri" w:hAnsi="Calibri"/>
        </w:rPr>
      </w:pPr>
    </w:p>
    <w:p w14:paraId="6F7D1BAF" w14:textId="77777777" w:rsidR="00644162" w:rsidRDefault="00644162" w:rsidP="00644162">
      <w:pPr>
        <w:rPr>
          <w:rFonts w:ascii="Calibri" w:hAnsi="Calibri"/>
        </w:rPr>
      </w:pPr>
    </w:p>
    <w:p w14:paraId="2D9BF4EC" w14:textId="77777777" w:rsidR="00644162" w:rsidRDefault="00644162" w:rsidP="00644162">
      <w:pPr>
        <w:rPr>
          <w:rFonts w:ascii="Calibri" w:hAnsi="Calibri"/>
        </w:rPr>
      </w:pPr>
    </w:p>
    <w:p w14:paraId="530FCE63" w14:textId="77777777" w:rsidR="00644162" w:rsidRPr="0030251F" w:rsidRDefault="00644162" w:rsidP="00644162">
      <w:pPr>
        <w:rPr>
          <w:rFonts w:ascii="Calibri" w:hAnsi="Calibri"/>
        </w:rPr>
      </w:pPr>
    </w:p>
    <w:p w14:paraId="206D7ED6" w14:textId="77777777" w:rsidR="00644162" w:rsidRPr="0030251F" w:rsidRDefault="00644162" w:rsidP="00644162">
      <w:pPr>
        <w:rPr>
          <w:rFonts w:ascii="Calibri" w:hAnsi="Calibri"/>
        </w:rPr>
      </w:pPr>
    </w:p>
    <w:p w14:paraId="23A7AD8A" w14:textId="77777777" w:rsidR="00644162" w:rsidRPr="0030251F" w:rsidRDefault="00644162" w:rsidP="00644162">
      <w:pPr>
        <w:pBdr>
          <w:bottom w:val="single" w:sz="12" w:space="1" w:color="auto"/>
        </w:pBdr>
        <w:jc w:val="center"/>
        <w:rPr>
          <w:rFonts w:ascii="Calibri" w:hAnsi="Calibri" w:cs="Arial"/>
          <w:smallCaps/>
          <w:sz w:val="44"/>
          <w:szCs w:val="44"/>
        </w:rPr>
      </w:pPr>
    </w:p>
    <w:p w14:paraId="72B939C8" w14:textId="49548226" w:rsidR="00644162" w:rsidRPr="0030251F" w:rsidRDefault="00644162" w:rsidP="00644162">
      <w:pPr>
        <w:pStyle w:val="Nzev"/>
        <w:widowControl w:val="0"/>
        <w:overflowPunct w:val="0"/>
        <w:autoSpaceDE w:val="0"/>
        <w:autoSpaceDN w:val="0"/>
        <w:adjustRightInd w:val="0"/>
        <w:spacing w:before="600" w:line="240" w:lineRule="auto"/>
        <w:textAlignment w:val="baseline"/>
        <w:outlineLvl w:val="0"/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</w:pPr>
      <w:r w:rsidRPr="0030251F"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 xml:space="preserve">DODATEK Č. </w:t>
      </w:r>
      <w:r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>5</w:t>
      </w:r>
    </w:p>
    <w:p w14:paraId="46EAA5C4" w14:textId="77777777" w:rsidR="00644162" w:rsidRPr="0030251F" w:rsidRDefault="00644162" w:rsidP="00644162">
      <w:pPr>
        <w:pStyle w:val="Nzev"/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outlineLvl w:val="0"/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</w:pPr>
      <w:r w:rsidRPr="0030251F"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>K</w:t>
      </w:r>
      <w:r>
        <w:rPr>
          <w:rFonts w:ascii="Calibri" w:hAnsi="Calibri" w:cs="Times New Roman"/>
          <w:bCs w:val="0"/>
          <w:kern w:val="0"/>
          <w:sz w:val="34"/>
          <w:szCs w:val="34"/>
          <w:lang w:val="cs-CZ" w:eastAsia="en-US"/>
        </w:rPr>
        <w:t>E SMLOUVĚ O NÁJMU NEBYTOVÝCH PROSTOR</w:t>
      </w:r>
    </w:p>
    <w:p w14:paraId="32E630A3" w14:textId="77777777" w:rsidR="00644162" w:rsidRPr="0030251F" w:rsidRDefault="00644162" w:rsidP="00644162">
      <w:pPr>
        <w:pStyle w:val="Nzev"/>
        <w:pBdr>
          <w:bottom w:val="single" w:sz="12" w:space="1" w:color="auto"/>
        </w:pBdr>
        <w:rPr>
          <w:rFonts w:asciiTheme="minorHAnsi" w:hAnsiTheme="minorHAnsi"/>
          <w:b w:val="0"/>
          <w:smallCaps/>
          <w:sz w:val="44"/>
          <w:szCs w:val="44"/>
          <w:lang w:val="cs-CZ"/>
        </w:rPr>
      </w:pPr>
    </w:p>
    <w:p w14:paraId="43E4AE4A" w14:textId="77777777" w:rsidR="00644162" w:rsidRPr="0030251F" w:rsidRDefault="00644162" w:rsidP="00644162">
      <w:pPr>
        <w:pStyle w:val="Nzev"/>
        <w:rPr>
          <w:rFonts w:asciiTheme="minorHAnsi" w:hAnsiTheme="minorHAnsi"/>
          <w:b w:val="0"/>
          <w:smallCaps/>
          <w:sz w:val="44"/>
          <w:szCs w:val="44"/>
          <w:lang w:val="cs-CZ"/>
        </w:rPr>
      </w:pPr>
    </w:p>
    <w:p w14:paraId="36FF14E4" w14:textId="77777777" w:rsidR="00644162" w:rsidRPr="0030251F" w:rsidRDefault="00644162" w:rsidP="00644162">
      <w:pPr>
        <w:pStyle w:val="Nzev"/>
        <w:rPr>
          <w:rFonts w:asciiTheme="minorHAnsi" w:hAnsiTheme="minorHAnsi"/>
          <w:b w:val="0"/>
          <w:sz w:val="20"/>
          <w:szCs w:val="20"/>
          <w:lang w:val="cs-CZ"/>
        </w:rPr>
      </w:pPr>
    </w:p>
    <w:p w14:paraId="72D137A8" w14:textId="77777777" w:rsidR="00644162" w:rsidRPr="0030251F" w:rsidRDefault="00644162" w:rsidP="00644162">
      <w:pPr>
        <w:pStyle w:val="Nzev"/>
        <w:rPr>
          <w:rFonts w:asciiTheme="minorHAnsi" w:hAnsiTheme="minorHAnsi"/>
          <w:b w:val="0"/>
          <w:sz w:val="20"/>
          <w:szCs w:val="20"/>
          <w:lang w:val="cs-CZ"/>
        </w:rPr>
      </w:pPr>
    </w:p>
    <w:p w14:paraId="5F511726" w14:textId="77777777" w:rsidR="00644162" w:rsidRPr="0030251F" w:rsidRDefault="00644162" w:rsidP="00644162">
      <w:pPr>
        <w:pStyle w:val="Nzev"/>
        <w:rPr>
          <w:rFonts w:asciiTheme="minorHAnsi" w:hAnsiTheme="minorHAnsi"/>
          <w:b w:val="0"/>
          <w:sz w:val="20"/>
          <w:szCs w:val="20"/>
          <w:lang w:val="cs-CZ"/>
        </w:rPr>
      </w:pPr>
    </w:p>
    <w:p w14:paraId="44F1F508" w14:textId="2496569C" w:rsidR="00644162" w:rsidRPr="0030251F" w:rsidRDefault="00644162" w:rsidP="00644162">
      <w:pPr>
        <w:pStyle w:val="Centered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________ 2021</w:t>
      </w:r>
    </w:p>
    <w:p w14:paraId="115200C9" w14:textId="77777777" w:rsidR="00644162" w:rsidRPr="0030251F" w:rsidRDefault="00644162" w:rsidP="00644162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11F4E06F" w14:textId="77777777" w:rsidR="00644162" w:rsidRPr="0030251F" w:rsidRDefault="00644162" w:rsidP="00644162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7A52CBC0" w14:textId="77777777" w:rsidR="00644162" w:rsidRPr="0030251F" w:rsidRDefault="00644162" w:rsidP="00644162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555F8540" w14:textId="77777777" w:rsidR="00644162" w:rsidRPr="0030251F" w:rsidRDefault="00644162" w:rsidP="00644162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4C87D5DF" w14:textId="77777777" w:rsidR="00644162" w:rsidRPr="0030251F" w:rsidRDefault="00644162" w:rsidP="00644162">
      <w:pPr>
        <w:jc w:val="center"/>
        <w:rPr>
          <w:rFonts w:asciiTheme="minorHAnsi" w:hAnsiTheme="minorHAnsi"/>
          <w:bCs/>
          <w:smallCaps/>
          <w:lang w:eastAsia="en-US"/>
        </w:rPr>
      </w:pPr>
    </w:p>
    <w:p w14:paraId="12249BE3" w14:textId="77777777" w:rsidR="00644162" w:rsidRPr="0030251F" w:rsidRDefault="00644162" w:rsidP="00644162">
      <w:pPr>
        <w:pStyle w:val="Centered"/>
        <w:spacing w:after="0"/>
        <w:outlineLvl w:val="0"/>
        <w:rPr>
          <w:rFonts w:ascii="Calibri" w:hAnsi="Calibri"/>
          <w:b/>
          <w:sz w:val="26"/>
          <w:szCs w:val="26"/>
        </w:rPr>
      </w:pPr>
      <w:r w:rsidRPr="0030251F">
        <w:rPr>
          <w:rFonts w:ascii="Calibri" w:hAnsi="Calibri"/>
          <w:b/>
          <w:sz w:val="26"/>
          <w:szCs w:val="26"/>
        </w:rPr>
        <w:t xml:space="preserve">P3 Prague </w:t>
      </w:r>
      <w:r>
        <w:rPr>
          <w:rFonts w:ascii="Calibri" w:hAnsi="Calibri"/>
          <w:b/>
          <w:sz w:val="26"/>
          <w:szCs w:val="26"/>
        </w:rPr>
        <w:t>Horní Počernice</w:t>
      </w:r>
    </w:p>
    <w:p w14:paraId="217D1F12" w14:textId="77777777" w:rsidR="00644162" w:rsidRPr="0030251F" w:rsidRDefault="00644162" w:rsidP="00644162">
      <w:pPr>
        <w:pStyle w:val="Centered"/>
        <w:rPr>
          <w:rFonts w:ascii="Calibri" w:hAnsi="Calibri"/>
          <w:b/>
          <w:sz w:val="26"/>
          <w:szCs w:val="26"/>
        </w:rPr>
      </w:pPr>
      <w:r w:rsidRPr="0030251F">
        <w:rPr>
          <w:rFonts w:ascii="Calibri" w:hAnsi="Calibri"/>
          <w:b/>
          <w:sz w:val="26"/>
          <w:szCs w:val="26"/>
        </w:rPr>
        <w:t xml:space="preserve">Budova </w:t>
      </w:r>
      <w:r w:rsidRPr="009F6E7A">
        <w:rPr>
          <w:rFonts w:ascii="Calibri" w:hAnsi="Calibri"/>
          <w:b/>
          <w:sz w:val="26"/>
          <w:szCs w:val="26"/>
        </w:rPr>
        <w:t>I3I4</w:t>
      </w:r>
    </w:p>
    <w:p w14:paraId="581DB394" w14:textId="77777777" w:rsidR="00644162" w:rsidRPr="0030251F" w:rsidRDefault="00644162" w:rsidP="00644162">
      <w:pPr>
        <w:overflowPunct/>
        <w:autoSpaceDE/>
        <w:autoSpaceDN/>
        <w:adjustRightInd/>
        <w:jc w:val="left"/>
        <w:textAlignment w:val="auto"/>
        <w:rPr>
          <w:rFonts w:ascii="Calibri" w:eastAsia="Times New Roman" w:hAnsi="Calibri"/>
          <w:b/>
          <w:sz w:val="26"/>
          <w:szCs w:val="26"/>
          <w:lang w:eastAsia="en-US"/>
        </w:rPr>
      </w:pPr>
      <w:r w:rsidRPr="0030251F">
        <w:rPr>
          <w:rFonts w:ascii="Calibri" w:hAnsi="Calibri"/>
          <w:b/>
          <w:sz w:val="26"/>
          <w:szCs w:val="26"/>
        </w:rPr>
        <w:br w:type="page"/>
      </w:r>
    </w:p>
    <w:p w14:paraId="067F1DE5" w14:textId="37030711" w:rsidR="00644162" w:rsidRPr="0030251F" w:rsidRDefault="00644162" w:rsidP="00644162">
      <w:pPr>
        <w:keepNext/>
        <w:keepLines/>
        <w:spacing w:after="240"/>
        <w:rPr>
          <w:rFonts w:asciiTheme="minorHAnsi" w:hAnsiTheme="minorHAnsi"/>
          <w:bCs/>
          <w:sz w:val="22"/>
          <w:szCs w:val="22"/>
        </w:rPr>
      </w:pPr>
      <w:r w:rsidRPr="0030251F">
        <w:rPr>
          <w:rFonts w:asciiTheme="minorHAnsi" w:hAnsiTheme="minorHAnsi"/>
          <w:b/>
          <w:bCs/>
          <w:sz w:val="22"/>
          <w:szCs w:val="22"/>
        </w:rPr>
        <w:lastRenderedPageBreak/>
        <w:t xml:space="preserve">TENTO DODATEK Č. </w:t>
      </w:r>
      <w:r>
        <w:rPr>
          <w:rFonts w:asciiTheme="minorHAnsi" w:hAnsiTheme="minorHAnsi"/>
          <w:b/>
          <w:bCs/>
          <w:sz w:val="22"/>
          <w:szCs w:val="22"/>
        </w:rPr>
        <w:t>5</w:t>
      </w:r>
      <w:r w:rsidRPr="0030251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0251F">
        <w:rPr>
          <w:rFonts w:asciiTheme="minorHAnsi" w:hAnsiTheme="minorHAnsi"/>
          <w:bCs/>
          <w:sz w:val="22"/>
          <w:szCs w:val="22"/>
        </w:rPr>
        <w:t>(„</w:t>
      </w:r>
      <w:r w:rsidRPr="0030251F">
        <w:rPr>
          <w:rFonts w:asciiTheme="minorHAnsi" w:hAnsiTheme="minorHAnsi"/>
          <w:b/>
          <w:bCs/>
          <w:sz w:val="22"/>
          <w:szCs w:val="22"/>
        </w:rPr>
        <w:t>Dodatek</w:t>
      </w:r>
      <w:r w:rsidRPr="0030251F">
        <w:rPr>
          <w:rFonts w:asciiTheme="minorHAnsi" w:hAnsiTheme="minorHAnsi"/>
          <w:bCs/>
          <w:sz w:val="22"/>
          <w:szCs w:val="22"/>
        </w:rPr>
        <w:t>“)</w:t>
      </w:r>
      <w:r w:rsidRPr="0030251F">
        <w:rPr>
          <w:rFonts w:asciiTheme="minorHAnsi" w:hAnsiTheme="minorHAnsi"/>
          <w:b/>
          <w:bCs/>
          <w:sz w:val="22"/>
          <w:szCs w:val="22"/>
        </w:rPr>
        <w:t xml:space="preserve"> K</w:t>
      </w:r>
      <w:r>
        <w:rPr>
          <w:rFonts w:asciiTheme="minorHAnsi" w:hAnsiTheme="minorHAnsi"/>
          <w:b/>
          <w:bCs/>
          <w:sz w:val="22"/>
          <w:szCs w:val="22"/>
        </w:rPr>
        <w:t>E SMLOUVĚ O NÁJMU</w:t>
      </w:r>
      <w:r w:rsidRPr="0030251F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NEBYTOVÝCH PROSTOR </w:t>
      </w:r>
      <w:r w:rsidRPr="0030251F">
        <w:rPr>
          <w:rFonts w:asciiTheme="minorHAnsi" w:hAnsiTheme="minorHAnsi"/>
          <w:bCs/>
          <w:sz w:val="22"/>
          <w:szCs w:val="22"/>
        </w:rPr>
        <w:t>se uzavírá mezi:</w:t>
      </w:r>
    </w:p>
    <w:p w14:paraId="55AA8799" w14:textId="77777777" w:rsidR="00644162" w:rsidRPr="0030251F" w:rsidRDefault="00644162" w:rsidP="00644162">
      <w:pPr>
        <w:pStyle w:val="Zkladntext"/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after="240"/>
        <w:ind w:left="709" w:hanging="709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0251F">
        <w:rPr>
          <w:rFonts w:ascii="Calibri" w:eastAsia="Times New Roman" w:hAnsi="Calibri"/>
          <w:b/>
          <w:color w:val="000000"/>
          <w:w w:val="0"/>
          <w:sz w:val="22"/>
          <w:szCs w:val="20"/>
        </w:rPr>
        <w:t xml:space="preserve">P3 </w:t>
      </w:r>
      <w:r>
        <w:rPr>
          <w:rFonts w:ascii="Calibri" w:eastAsia="Times New Roman" w:hAnsi="Calibri"/>
          <w:b/>
          <w:color w:val="000000"/>
          <w:w w:val="0"/>
          <w:sz w:val="22"/>
          <w:szCs w:val="20"/>
        </w:rPr>
        <w:t xml:space="preserve">Prague Horní Počernice 1 </w:t>
      </w:r>
      <w:r w:rsidRPr="0030251F">
        <w:rPr>
          <w:rFonts w:ascii="Calibri" w:eastAsia="Times New Roman" w:hAnsi="Calibri"/>
          <w:b/>
          <w:color w:val="000000"/>
          <w:w w:val="0"/>
          <w:sz w:val="22"/>
          <w:szCs w:val="20"/>
        </w:rPr>
        <w:t>s.</w:t>
      </w:r>
      <w:r>
        <w:rPr>
          <w:rFonts w:ascii="Calibri" w:eastAsia="Times New Roman" w:hAnsi="Calibri"/>
          <w:b/>
          <w:color w:val="000000"/>
          <w:w w:val="0"/>
          <w:sz w:val="22"/>
          <w:szCs w:val="20"/>
        </w:rPr>
        <w:t>r.o.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se sídlem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Pra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ha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1, Na Florenci 2116/15,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PSČ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110 00, I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ČO 015 41 439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zapsaná v obchodním rejstříku vedeném Městským soudem v Praze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oddíl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C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vložka č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.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208030</w:t>
      </w:r>
      <w:r w:rsidRPr="0030251F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bCs/>
          <w:sz w:val="22"/>
          <w:szCs w:val="22"/>
        </w:rPr>
        <w:t>Pronajímatel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>) a</w:t>
      </w:r>
    </w:p>
    <w:p w14:paraId="0A20D546" w14:textId="77777777" w:rsidR="00644162" w:rsidRPr="0030251F" w:rsidRDefault="00644162" w:rsidP="00644162">
      <w:pPr>
        <w:pStyle w:val="Zkladntext"/>
        <w:keepNext/>
        <w:keepLines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240"/>
        <w:ind w:left="709" w:hanging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Česká pošta, s.p.</w:t>
      </w:r>
      <w:r w:rsidRPr="0030251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se sídlem Praha 1</w:t>
      </w:r>
      <w:r w:rsidRPr="0030251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Politických vězňů 909/4</w:t>
      </w:r>
      <w:r w:rsidRPr="0030251F">
        <w:rPr>
          <w:rFonts w:asciiTheme="minorHAnsi" w:hAnsiTheme="minorHAnsi"/>
          <w:sz w:val="22"/>
          <w:szCs w:val="22"/>
        </w:rPr>
        <w:t>, P</w:t>
      </w:r>
      <w:r>
        <w:rPr>
          <w:rFonts w:asciiTheme="minorHAnsi" w:hAnsiTheme="minorHAnsi"/>
          <w:sz w:val="22"/>
          <w:szCs w:val="22"/>
        </w:rPr>
        <w:t>SČ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225 99</w:t>
      </w:r>
      <w:r w:rsidRPr="0030251F">
        <w:rPr>
          <w:rFonts w:asciiTheme="minorHAnsi" w:hAnsiTheme="minorHAnsi"/>
          <w:sz w:val="22"/>
          <w:szCs w:val="22"/>
        </w:rPr>
        <w:t>, I</w:t>
      </w:r>
      <w:r>
        <w:rPr>
          <w:rFonts w:asciiTheme="minorHAnsi" w:hAnsiTheme="minorHAnsi"/>
          <w:sz w:val="22"/>
          <w:szCs w:val="22"/>
        </w:rPr>
        <w:t>ČO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471 14 983</w:t>
      </w:r>
      <w:r w:rsidRPr="0030251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zapsaná v obchodním rejstříku vedeném Městským soudem v Praze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oddíl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A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,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>vložka č</w:t>
      </w:r>
      <w:r w:rsidRPr="0030251F">
        <w:rPr>
          <w:rFonts w:ascii="Calibri" w:eastAsia="Times New Roman" w:hAnsi="Calibri"/>
          <w:color w:val="000000"/>
          <w:w w:val="0"/>
          <w:sz w:val="22"/>
          <w:szCs w:val="20"/>
        </w:rPr>
        <w:t xml:space="preserve">. </w:t>
      </w:r>
      <w:r>
        <w:rPr>
          <w:rFonts w:ascii="Calibri" w:eastAsia="Times New Roman" w:hAnsi="Calibri"/>
          <w:color w:val="000000"/>
          <w:w w:val="0"/>
          <w:sz w:val="22"/>
          <w:szCs w:val="20"/>
        </w:rPr>
        <w:t xml:space="preserve">7565 </w:t>
      </w:r>
      <w:r w:rsidRPr="0030251F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bCs/>
          <w:sz w:val="22"/>
          <w:szCs w:val="22"/>
        </w:rPr>
        <w:t>Nájemce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>);</w:t>
      </w:r>
    </w:p>
    <w:p w14:paraId="28A285FE" w14:textId="77777777" w:rsidR="00644162" w:rsidRPr="0030251F" w:rsidRDefault="00644162" w:rsidP="00644162">
      <w:pPr>
        <w:keepNext/>
        <w:keepLines/>
        <w:ind w:left="709"/>
        <w:rPr>
          <w:rFonts w:asciiTheme="minorHAnsi" w:hAnsiTheme="minorHAnsi"/>
          <w:sz w:val="22"/>
          <w:szCs w:val="22"/>
        </w:rPr>
      </w:pPr>
      <w:r w:rsidRPr="0030251F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Pronajímatel a Nájemce dále společně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Strany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nebo každá jednotlivě</w:t>
      </w:r>
      <w:r w:rsidRPr="003025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b/>
          <w:sz w:val="22"/>
          <w:szCs w:val="22"/>
        </w:rPr>
        <w:t>Strana</w:t>
      </w:r>
      <w:r>
        <w:rPr>
          <w:rFonts w:asciiTheme="minorHAnsi" w:hAnsiTheme="minorHAnsi"/>
          <w:sz w:val="22"/>
          <w:szCs w:val="22"/>
        </w:rPr>
        <w:t>“</w:t>
      </w:r>
      <w:r w:rsidRPr="0030251F">
        <w:rPr>
          <w:rFonts w:asciiTheme="minorHAnsi" w:hAnsiTheme="minorHAnsi"/>
          <w:sz w:val="22"/>
          <w:szCs w:val="22"/>
        </w:rPr>
        <w:t>).</w:t>
      </w:r>
    </w:p>
    <w:p w14:paraId="7DFB3783" w14:textId="77777777" w:rsidR="00644162" w:rsidRPr="0030251F" w:rsidRDefault="00644162" w:rsidP="00644162">
      <w:pPr>
        <w:rPr>
          <w:rFonts w:asciiTheme="minorHAnsi" w:hAnsiTheme="minorHAnsi"/>
          <w:b/>
          <w:kern w:val="20"/>
          <w:sz w:val="22"/>
          <w:szCs w:val="22"/>
          <w:lang w:eastAsia="en-US"/>
        </w:rPr>
      </w:pPr>
    </w:p>
    <w:p w14:paraId="298D9F6B" w14:textId="77777777" w:rsidR="00644162" w:rsidRPr="0030251F" w:rsidRDefault="00644162" w:rsidP="00644162">
      <w:pPr>
        <w:outlineLvl w:val="0"/>
        <w:rPr>
          <w:rFonts w:asciiTheme="minorHAnsi" w:hAnsiTheme="minorHAnsi"/>
          <w:b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b/>
          <w:kern w:val="20"/>
          <w:sz w:val="22"/>
          <w:szCs w:val="22"/>
          <w:lang w:eastAsia="en-US"/>
        </w:rPr>
        <w:t>VZHLEDEM K TOMU, ŽE</w:t>
      </w:r>
      <w:r w:rsidRPr="0030251F">
        <w:rPr>
          <w:rFonts w:asciiTheme="minorHAnsi" w:hAnsiTheme="minorHAnsi"/>
          <w:b/>
          <w:kern w:val="20"/>
          <w:sz w:val="22"/>
          <w:szCs w:val="22"/>
          <w:lang w:eastAsia="en-US"/>
        </w:rPr>
        <w:t>:</w:t>
      </w:r>
    </w:p>
    <w:p w14:paraId="3929850B" w14:textId="77777777" w:rsidR="00644162" w:rsidRPr="0030251F" w:rsidRDefault="00644162" w:rsidP="00644162">
      <w:pPr>
        <w:rPr>
          <w:rFonts w:asciiTheme="minorHAnsi" w:hAnsiTheme="minorHAnsi"/>
          <w:kern w:val="20"/>
          <w:sz w:val="22"/>
          <w:szCs w:val="22"/>
          <w:lang w:eastAsia="en-US"/>
        </w:rPr>
      </w:pPr>
    </w:p>
    <w:p w14:paraId="08E1C12E" w14:textId="284F0AEC" w:rsidR="00644162" w:rsidRDefault="00644162" w:rsidP="00644162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Právní předchůdce Pronajímatele a Nájemce uzavřeli dne 17. 6. 2011 </w:t>
      </w:r>
      <w:r w:rsidR="00D8348D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mlouvu o nájmu nebytových prostor ve znění dodatku č. 1 ze dne 19. 8. 2016, dodatku č. 2 ze dne 31. 10. 2018, dodatku č. 3 ze dne 1. 7. 2019 a dodatku č. 4 ze dne 31. 7. 2020 („</w:t>
      </w:r>
      <w:r w:rsidRPr="00FF3602">
        <w:rPr>
          <w:rFonts w:asciiTheme="minorHAnsi" w:hAnsiTheme="minorHAnsi"/>
          <w:b/>
          <w:sz w:val="22"/>
          <w:szCs w:val="22"/>
        </w:rPr>
        <w:t>Nájemní smlouva</w:t>
      </w:r>
      <w:r>
        <w:rPr>
          <w:rFonts w:asciiTheme="minorHAnsi" w:hAnsiTheme="minorHAnsi"/>
          <w:sz w:val="22"/>
          <w:szCs w:val="22"/>
        </w:rPr>
        <w:t>“), na základě které Pronajímatel pronajímá Nájemci a Nájemce si najímá od Pronajímatele prostory nacházející se v budově I3I4 v logistickém parku P3 Prague Horní Počernice</w:t>
      </w:r>
      <w:r w:rsidRPr="0030251F">
        <w:rPr>
          <w:rFonts w:asciiTheme="minorHAnsi" w:hAnsiTheme="minorHAnsi"/>
          <w:sz w:val="22"/>
          <w:szCs w:val="22"/>
        </w:rPr>
        <w:t xml:space="preserve">; </w:t>
      </w:r>
    </w:p>
    <w:p w14:paraId="57BCAE71" w14:textId="77777777" w:rsidR="00644162" w:rsidRDefault="00644162" w:rsidP="00644162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Práva a povinnosti Pronajímatele z Nájemní smlouvy přešla ze společnosti P3 Park Horní Počernice, a.s., IČO 287 12 994 (dříve VGP CZ I., a.s. a VGP Park Horní Počernice, a.s.) na Pronajímatele v důsledku fúze sloučením s účinností ke dni 1. 11. 2015;</w:t>
      </w:r>
    </w:p>
    <w:p w14:paraId="64D20566" w14:textId="6B2C9142" w:rsidR="00644162" w:rsidRPr="002A20AE" w:rsidRDefault="00644162" w:rsidP="002A20AE">
      <w:pPr>
        <w:numPr>
          <w:ilvl w:val="0"/>
          <w:numId w:val="1"/>
        </w:numPr>
        <w:overflowPunct/>
        <w:autoSpaceDE/>
        <w:autoSpaceDN/>
        <w:adjustRightInd/>
        <w:spacing w:after="120"/>
        <w:ind w:hanging="720"/>
        <w:textAlignment w:val="auto"/>
        <w:rPr>
          <w:rFonts w:asciiTheme="minorHAnsi" w:hAnsiTheme="minorHAnsi"/>
          <w:sz w:val="22"/>
          <w:szCs w:val="22"/>
        </w:rPr>
      </w:pPr>
      <w:r w:rsidRPr="002A20AE">
        <w:rPr>
          <w:rFonts w:asciiTheme="minorHAnsi" w:hAnsiTheme="minorHAnsi"/>
          <w:sz w:val="22"/>
          <w:szCs w:val="22"/>
        </w:rPr>
        <w:t>Strany si přejí upravit Nájemní smlouvu tak, že dojde k rozšíření předmětu nájmu o 5</w:t>
      </w:r>
      <w:r w:rsidR="002A20AE">
        <w:rPr>
          <w:rFonts w:asciiTheme="minorHAnsi" w:hAnsiTheme="minorHAnsi"/>
          <w:sz w:val="22"/>
          <w:szCs w:val="22"/>
        </w:rPr>
        <w:t> </w:t>
      </w:r>
      <w:r w:rsidRPr="002A20AE">
        <w:rPr>
          <w:rFonts w:asciiTheme="minorHAnsi" w:hAnsiTheme="minorHAnsi"/>
          <w:sz w:val="22"/>
          <w:szCs w:val="22"/>
        </w:rPr>
        <w:t>parkovacích míst</w:t>
      </w:r>
      <w:r w:rsidR="002A20AE" w:rsidRPr="002A20AE">
        <w:rPr>
          <w:rFonts w:asciiTheme="minorHAnsi" w:hAnsiTheme="minorHAnsi"/>
          <w:sz w:val="22"/>
          <w:szCs w:val="22"/>
        </w:rPr>
        <w:t xml:space="preserve"> u budovy D2 nacházející se v Logistickém parku, tj. budovy č.p. 2760 na pozemku parc. č. 4036/382 v katastrálním území Horní Počernice, obec Praha, </w:t>
      </w:r>
      <w:r w:rsidRPr="002A20AE">
        <w:rPr>
          <w:rFonts w:asciiTheme="minorHAnsi" w:hAnsiTheme="minorHAnsi"/>
          <w:sz w:val="22"/>
          <w:szCs w:val="22"/>
        </w:rPr>
        <w:t xml:space="preserve"> jak jsou vyznačena </w:t>
      </w:r>
      <w:r w:rsidR="00FC0812">
        <w:rPr>
          <w:rFonts w:asciiTheme="minorHAnsi" w:hAnsiTheme="minorHAnsi"/>
          <w:sz w:val="22"/>
          <w:szCs w:val="22"/>
        </w:rPr>
        <w:t>oranžově</w:t>
      </w:r>
      <w:r w:rsidRPr="002A20AE">
        <w:rPr>
          <w:rFonts w:asciiTheme="minorHAnsi" w:hAnsiTheme="minorHAnsi"/>
          <w:sz w:val="22"/>
          <w:szCs w:val="22"/>
        </w:rPr>
        <w:t xml:space="preserve"> na plánku v </w:t>
      </w:r>
      <w:r w:rsidRPr="002A20AE">
        <w:rPr>
          <w:rFonts w:asciiTheme="minorHAnsi" w:hAnsiTheme="minorHAnsi"/>
          <w:sz w:val="22"/>
          <w:szCs w:val="22"/>
          <w:u w:val="single"/>
        </w:rPr>
        <w:t>Příloze č. 1</w:t>
      </w:r>
      <w:r w:rsidRPr="002A20AE">
        <w:rPr>
          <w:rFonts w:asciiTheme="minorHAnsi" w:hAnsiTheme="minorHAnsi"/>
          <w:sz w:val="22"/>
          <w:szCs w:val="22"/>
        </w:rPr>
        <w:t xml:space="preserve"> tohoto Dodatku</w:t>
      </w:r>
      <w:r w:rsidR="00F2584E">
        <w:rPr>
          <w:rFonts w:asciiTheme="minorHAnsi" w:hAnsiTheme="minorHAnsi"/>
          <w:sz w:val="22"/>
          <w:szCs w:val="22"/>
        </w:rPr>
        <w:t xml:space="preserve">; Strany si zároveň přejí vyřešit narovnáním období od 1. 6. 2021 do dne předcházejícího </w:t>
      </w:r>
      <w:r w:rsidR="008619C7">
        <w:rPr>
          <w:rFonts w:asciiTheme="minorHAnsi" w:hAnsiTheme="minorHAnsi"/>
          <w:sz w:val="22"/>
          <w:szCs w:val="22"/>
        </w:rPr>
        <w:t>d</w:t>
      </w:r>
      <w:r w:rsidR="00F2584E">
        <w:rPr>
          <w:rFonts w:asciiTheme="minorHAnsi" w:hAnsiTheme="minorHAnsi"/>
          <w:sz w:val="22"/>
          <w:szCs w:val="22"/>
        </w:rPr>
        <w:t>ni účinnosti tohoto Dodatku</w:t>
      </w:r>
      <w:r w:rsidR="007561A7">
        <w:rPr>
          <w:rFonts w:asciiTheme="minorHAnsi" w:hAnsiTheme="minorHAnsi"/>
          <w:sz w:val="22"/>
          <w:szCs w:val="22"/>
        </w:rPr>
        <w:t xml:space="preserve"> (</w:t>
      </w:r>
      <w:r w:rsidR="007561A7" w:rsidRPr="007561A7">
        <w:rPr>
          <w:rFonts w:asciiTheme="minorHAnsi" w:hAnsiTheme="minorHAnsi"/>
          <w:b/>
          <w:sz w:val="22"/>
          <w:szCs w:val="22"/>
        </w:rPr>
        <w:t>„Den účinnosti“</w:t>
      </w:r>
      <w:r w:rsidR="007561A7">
        <w:rPr>
          <w:rFonts w:asciiTheme="minorHAnsi" w:hAnsiTheme="minorHAnsi"/>
          <w:sz w:val="22"/>
          <w:szCs w:val="22"/>
        </w:rPr>
        <w:t>)</w:t>
      </w:r>
      <w:r w:rsidR="00F2584E">
        <w:rPr>
          <w:rFonts w:asciiTheme="minorHAnsi" w:hAnsiTheme="minorHAnsi"/>
          <w:sz w:val="22"/>
          <w:szCs w:val="22"/>
        </w:rPr>
        <w:t>, po které Nájemce tato parkovací místa již skutečně užíval</w:t>
      </w:r>
      <w:r w:rsidR="002A20AE" w:rsidRPr="002A20AE">
        <w:rPr>
          <w:rFonts w:asciiTheme="minorHAnsi" w:hAnsiTheme="minorHAnsi"/>
          <w:sz w:val="22"/>
          <w:szCs w:val="22"/>
        </w:rPr>
        <w:t>.</w:t>
      </w:r>
    </w:p>
    <w:p w14:paraId="6826135D" w14:textId="77777777" w:rsidR="00644162" w:rsidRPr="0030251F" w:rsidRDefault="00644162" w:rsidP="00644162">
      <w:pPr>
        <w:pStyle w:val="Odstavecseseznamem"/>
        <w:rPr>
          <w:rFonts w:asciiTheme="minorHAnsi" w:hAnsiTheme="minorHAnsi"/>
          <w:sz w:val="22"/>
          <w:szCs w:val="22"/>
        </w:rPr>
      </w:pPr>
    </w:p>
    <w:p w14:paraId="17C1B38D" w14:textId="77777777" w:rsidR="00644162" w:rsidRPr="0030251F" w:rsidRDefault="00644162" w:rsidP="00644162">
      <w:pPr>
        <w:outlineLvl w:val="0"/>
        <w:rPr>
          <w:rFonts w:asciiTheme="minorHAnsi" w:hAnsiTheme="minorHAnsi"/>
          <w:b/>
          <w:kern w:val="20"/>
          <w:sz w:val="22"/>
          <w:szCs w:val="22"/>
          <w:lang w:eastAsia="en-US"/>
        </w:rPr>
      </w:pPr>
      <w:r>
        <w:rPr>
          <w:rFonts w:asciiTheme="minorHAnsi" w:hAnsiTheme="minorHAnsi"/>
          <w:b/>
          <w:kern w:val="20"/>
          <w:sz w:val="22"/>
          <w:szCs w:val="22"/>
          <w:lang w:eastAsia="en-US"/>
        </w:rPr>
        <w:t>SE STRANY DOHODLY NÁSLEDOVNĚ</w:t>
      </w:r>
      <w:r w:rsidRPr="0030251F">
        <w:rPr>
          <w:rFonts w:asciiTheme="minorHAnsi" w:hAnsiTheme="minorHAnsi"/>
          <w:b/>
          <w:kern w:val="20"/>
          <w:sz w:val="22"/>
          <w:szCs w:val="22"/>
          <w:lang w:eastAsia="en-US"/>
        </w:rPr>
        <w:t>:</w:t>
      </w:r>
    </w:p>
    <w:p w14:paraId="7D11D6C0" w14:textId="77777777" w:rsidR="00644162" w:rsidRPr="0030251F" w:rsidRDefault="00644162" w:rsidP="00644162">
      <w:pPr>
        <w:rPr>
          <w:rFonts w:asciiTheme="minorHAnsi" w:hAnsiTheme="minorHAnsi"/>
          <w:sz w:val="22"/>
          <w:szCs w:val="22"/>
        </w:rPr>
      </w:pPr>
    </w:p>
    <w:p w14:paraId="30687C3C" w14:textId="77777777" w:rsidR="00644162" w:rsidRPr="0030251F" w:rsidRDefault="00644162" w:rsidP="0064416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Článek </w:t>
      </w:r>
      <w:r w:rsidRPr="0030251F">
        <w:rPr>
          <w:rFonts w:asciiTheme="minorHAnsi" w:hAnsiTheme="minorHAnsi"/>
          <w:b/>
          <w:sz w:val="22"/>
          <w:szCs w:val="22"/>
        </w:rPr>
        <w:t>1.</w:t>
      </w:r>
    </w:p>
    <w:p w14:paraId="3372E6A2" w14:textId="77777777" w:rsidR="00644162" w:rsidRPr="0030251F" w:rsidRDefault="00644162" w:rsidP="0064416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Definice a výklad</w:t>
      </w:r>
    </w:p>
    <w:p w14:paraId="5A06B0B6" w14:textId="77777777" w:rsidR="00644162" w:rsidRPr="0030251F" w:rsidRDefault="00644162" w:rsidP="00644162">
      <w:pPr>
        <w:rPr>
          <w:rFonts w:asciiTheme="minorHAnsi" w:hAnsiTheme="minorHAnsi"/>
          <w:sz w:val="22"/>
          <w:szCs w:val="22"/>
        </w:rPr>
      </w:pPr>
    </w:p>
    <w:p w14:paraId="4DB62A7B" w14:textId="77777777" w:rsidR="00644162" w:rsidRPr="0030251F" w:rsidRDefault="00644162" w:rsidP="00644162">
      <w:pPr>
        <w:numPr>
          <w:ilvl w:val="1"/>
          <w:numId w:val="2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Pokud není v tomto Dodatku uvedeno jinak, mají pojmy začínající velkými písmeny stejný význam, jako jim byl přiřazen v Nájemní smlouvě. </w:t>
      </w:r>
    </w:p>
    <w:p w14:paraId="60888DE5" w14:textId="77777777" w:rsidR="00644162" w:rsidRPr="0030251F" w:rsidRDefault="00644162" w:rsidP="00644162">
      <w:pPr>
        <w:numPr>
          <w:ilvl w:val="1"/>
          <w:numId w:val="2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Změny a úpravy Nájemní smlouvy specifikované v tomto Dodatku se považují za součást Nájemní smlouvy a nahrazují dosavadní ustanovení Nájemní smlouvy, která jsou těmito změnami a úpravami dotčena. </w:t>
      </w:r>
    </w:p>
    <w:p w14:paraId="71B86287" w14:textId="77777777" w:rsidR="00644162" w:rsidRDefault="00644162" w:rsidP="00644162">
      <w:pPr>
        <w:numPr>
          <w:ilvl w:val="1"/>
          <w:numId w:val="2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 výjimkou změn specifikovaných v tomto Dodatku zůstávají ostatní ustanovení Nájemní </w:t>
      </w:r>
      <w:r w:rsidRPr="00942FE6">
        <w:rPr>
          <w:rFonts w:asciiTheme="minorHAnsi" w:hAnsiTheme="minorHAnsi"/>
          <w:sz w:val="22"/>
          <w:szCs w:val="22"/>
        </w:rPr>
        <w:t xml:space="preserve">smlouvy beze změn v platnosti a účinnosti. </w:t>
      </w:r>
    </w:p>
    <w:p w14:paraId="49A8DB2A" w14:textId="77777777" w:rsidR="00644162" w:rsidRDefault="00644162" w:rsidP="00644162">
      <w:p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</w:p>
    <w:p w14:paraId="6DECB97D" w14:textId="77777777" w:rsidR="00644162" w:rsidRDefault="00644162" w:rsidP="0064416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Článek</w:t>
      </w:r>
      <w:r w:rsidRPr="0030251F">
        <w:rPr>
          <w:rFonts w:asciiTheme="minorHAnsi" w:hAnsiTheme="minorHAnsi"/>
          <w:b/>
          <w:sz w:val="22"/>
          <w:szCs w:val="22"/>
        </w:rPr>
        <w:t xml:space="preserve"> 2.</w:t>
      </w:r>
    </w:p>
    <w:p w14:paraId="2D94EB72" w14:textId="77777777" w:rsidR="00644162" w:rsidRDefault="00644162" w:rsidP="0064416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Dohoda Stran</w:t>
      </w:r>
    </w:p>
    <w:p w14:paraId="451931C8" w14:textId="77777777" w:rsidR="00644162" w:rsidRDefault="00644162" w:rsidP="0064416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8CDC088" w14:textId="59536079" w:rsidR="008619C7" w:rsidRDefault="008619C7" w:rsidP="00F01CED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shodně prohlašují, že Nájemce užívá od 1. 6. 2021 („</w:t>
      </w:r>
      <w:r w:rsidRPr="00C408D1">
        <w:rPr>
          <w:rFonts w:asciiTheme="minorHAnsi" w:hAnsiTheme="minorHAnsi"/>
          <w:b/>
          <w:sz w:val="22"/>
          <w:szCs w:val="22"/>
        </w:rPr>
        <w:t xml:space="preserve">Den </w:t>
      </w:r>
      <w:r>
        <w:rPr>
          <w:rFonts w:asciiTheme="minorHAnsi" w:hAnsiTheme="minorHAnsi"/>
          <w:b/>
          <w:sz w:val="22"/>
          <w:szCs w:val="22"/>
        </w:rPr>
        <w:t>předání</w:t>
      </w:r>
      <w:r w:rsidRPr="00C408D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IV</w:t>
      </w:r>
      <w:r>
        <w:rPr>
          <w:rFonts w:asciiTheme="minorHAnsi" w:hAnsiTheme="minorHAnsi"/>
          <w:sz w:val="22"/>
          <w:szCs w:val="22"/>
        </w:rPr>
        <w:t xml:space="preserve">“) 5 parkovacích míst u </w:t>
      </w:r>
      <w:r w:rsidRPr="002A20AE">
        <w:rPr>
          <w:rFonts w:asciiTheme="minorHAnsi" w:hAnsiTheme="minorHAnsi"/>
          <w:sz w:val="22"/>
          <w:szCs w:val="22"/>
        </w:rPr>
        <w:t>budovy D2 nacházející se v Logistickém parku, tj. budovy č.p. 2760 na pozemku parc. č.</w:t>
      </w:r>
      <w:r w:rsidR="007561A7">
        <w:rPr>
          <w:rFonts w:asciiTheme="minorHAnsi" w:hAnsiTheme="minorHAnsi"/>
          <w:sz w:val="22"/>
          <w:szCs w:val="22"/>
        </w:rPr>
        <w:t> </w:t>
      </w:r>
      <w:r w:rsidRPr="002A20AE">
        <w:rPr>
          <w:rFonts w:asciiTheme="minorHAnsi" w:hAnsiTheme="minorHAnsi"/>
          <w:sz w:val="22"/>
          <w:szCs w:val="22"/>
        </w:rPr>
        <w:t>4036/382 v katastrálním území Horní Počernice, obec Praha</w:t>
      </w:r>
      <w:r w:rsidRPr="00040CB0">
        <w:rPr>
          <w:rFonts w:asciiTheme="minorHAnsi" w:hAnsiTheme="minorHAnsi"/>
          <w:sz w:val="22"/>
          <w:szCs w:val="22"/>
        </w:rPr>
        <w:t>, jak j</w:t>
      </w:r>
      <w:r>
        <w:rPr>
          <w:rFonts w:asciiTheme="minorHAnsi" w:hAnsiTheme="minorHAnsi"/>
          <w:sz w:val="22"/>
          <w:szCs w:val="22"/>
        </w:rPr>
        <w:t>sou</w:t>
      </w:r>
      <w:r w:rsidRPr="00040CB0">
        <w:rPr>
          <w:rFonts w:asciiTheme="minorHAnsi" w:hAnsiTheme="minorHAnsi"/>
          <w:sz w:val="22"/>
          <w:szCs w:val="22"/>
        </w:rPr>
        <w:t xml:space="preserve"> vyznačena </w:t>
      </w:r>
      <w:r>
        <w:rPr>
          <w:rFonts w:asciiTheme="minorHAnsi" w:hAnsiTheme="minorHAnsi"/>
          <w:sz w:val="22"/>
          <w:szCs w:val="22"/>
        </w:rPr>
        <w:t>oranžově</w:t>
      </w:r>
      <w:r w:rsidRPr="00040CB0">
        <w:rPr>
          <w:rFonts w:asciiTheme="minorHAnsi" w:hAnsiTheme="minorHAnsi"/>
          <w:sz w:val="22"/>
          <w:szCs w:val="22"/>
        </w:rPr>
        <w:t xml:space="preserve"> na plánku v </w:t>
      </w:r>
      <w:r w:rsidRPr="00040CB0">
        <w:rPr>
          <w:rFonts w:asciiTheme="minorHAnsi" w:hAnsiTheme="minorHAnsi"/>
          <w:sz w:val="22"/>
          <w:szCs w:val="22"/>
          <w:u w:val="single"/>
        </w:rPr>
        <w:t>Příloze č. </w:t>
      </w:r>
      <w:r>
        <w:rPr>
          <w:rFonts w:asciiTheme="minorHAnsi" w:hAnsiTheme="minorHAnsi"/>
          <w:sz w:val="22"/>
          <w:szCs w:val="22"/>
          <w:u w:val="single"/>
        </w:rPr>
        <w:t>1</w:t>
      </w:r>
      <w:r w:rsidRPr="00040CB0">
        <w:rPr>
          <w:rFonts w:asciiTheme="minorHAnsi" w:hAnsiTheme="minorHAnsi"/>
          <w:sz w:val="22"/>
          <w:szCs w:val="22"/>
        </w:rPr>
        <w:t xml:space="preserve"> tohoto Dodatku</w:t>
      </w:r>
      <w:r>
        <w:rPr>
          <w:rFonts w:asciiTheme="minorHAnsi" w:hAnsiTheme="minorHAnsi"/>
          <w:sz w:val="22"/>
          <w:szCs w:val="22"/>
        </w:rPr>
        <w:t xml:space="preserve"> („</w:t>
      </w:r>
      <w:r w:rsidRPr="00C408D1">
        <w:rPr>
          <w:rFonts w:asciiTheme="minorHAnsi" w:hAnsiTheme="minorHAnsi"/>
          <w:b/>
          <w:sz w:val="22"/>
          <w:szCs w:val="22"/>
        </w:rPr>
        <w:t xml:space="preserve">Parkovací místa </w:t>
      </w:r>
      <w:r>
        <w:rPr>
          <w:rFonts w:asciiTheme="minorHAnsi" w:hAnsiTheme="minorHAnsi"/>
          <w:b/>
          <w:sz w:val="22"/>
          <w:szCs w:val="22"/>
        </w:rPr>
        <w:t>I</w:t>
      </w:r>
      <w:r w:rsidRPr="00C408D1">
        <w:rPr>
          <w:rFonts w:asciiTheme="minorHAnsi" w:hAnsiTheme="minorHAnsi"/>
          <w:b/>
          <w:sz w:val="22"/>
          <w:szCs w:val="22"/>
        </w:rPr>
        <w:t>II</w:t>
      </w:r>
      <w:r>
        <w:rPr>
          <w:rFonts w:asciiTheme="minorHAnsi" w:hAnsiTheme="minorHAnsi"/>
          <w:sz w:val="22"/>
          <w:szCs w:val="22"/>
        </w:rPr>
        <w:t>“)</w:t>
      </w:r>
      <w:r w:rsidRPr="00040CB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 něž má být rozšířen předmět nájmu; Parkovací místa III si Nájemce bude najímat od Pronajímatele ode </w:t>
      </w:r>
      <w:r w:rsidR="007561A7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ne účinnosti na dobu neurčitou s výpovědní dobou 1 měsíc počínaje dnem následujícím po dni doručení výpovědi druhé Straně</w:t>
      </w:r>
      <w:r w:rsidR="00366614">
        <w:rPr>
          <w:rFonts w:asciiTheme="minorHAnsi" w:hAnsiTheme="minorHAnsi"/>
          <w:sz w:val="22"/>
          <w:szCs w:val="22"/>
        </w:rPr>
        <w:t xml:space="preserve"> (</w:t>
      </w:r>
      <w:r w:rsidR="00366614" w:rsidRPr="00366614">
        <w:rPr>
          <w:rFonts w:asciiTheme="minorHAnsi" w:hAnsiTheme="minorHAnsi"/>
          <w:b/>
          <w:sz w:val="22"/>
          <w:szCs w:val="22"/>
        </w:rPr>
        <w:t>„Doba nájmu II“</w:t>
      </w:r>
      <w:r w:rsidR="00366614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. Den </w:t>
      </w:r>
      <w:r w:rsidR="007561A7">
        <w:rPr>
          <w:rFonts w:asciiTheme="minorHAnsi" w:hAnsiTheme="minorHAnsi"/>
          <w:sz w:val="22"/>
          <w:szCs w:val="22"/>
        </w:rPr>
        <w:t>účinnosti</w:t>
      </w:r>
      <w:r>
        <w:rPr>
          <w:rFonts w:asciiTheme="minorHAnsi" w:hAnsiTheme="minorHAnsi"/>
          <w:sz w:val="22"/>
          <w:szCs w:val="22"/>
        </w:rPr>
        <w:t xml:space="preserve"> je zároveň dnem Začátku nájmu IV. </w:t>
      </w:r>
      <w:r>
        <w:rPr>
          <w:rFonts w:asciiTheme="minorHAnsi" w:hAnsiTheme="minorHAnsi"/>
          <w:sz w:val="22"/>
          <w:szCs w:val="22"/>
        </w:rPr>
        <w:lastRenderedPageBreak/>
        <w:t>Strany shodně konstatují, že předání Parkovacích míst III ke dni Začátku nájmu IV nebude realizováno a Strany odkazují na předávací protokol vyhotovený ke Dni předání IV, který bude považován za protokol o předání Parkovacích míst III pro účely Nájemní smlouvy.</w:t>
      </w:r>
    </w:p>
    <w:p w14:paraId="7297966D" w14:textId="15429498" w:rsidR="00644162" w:rsidRDefault="008619C7" w:rsidP="00F01CED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bookmarkStart w:id="0" w:name="_Hlk46152068"/>
      <w:r>
        <w:rPr>
          <w:rFonts w:asciiTheme="minorHAnsi" w:hAnsiTheme="minorHAnsi"/>
          <w:sz w:val="22"/>
          <w:szCs w:val="22"/>
        </w:rPr>
        <w:t xml:space="preserve">Strany shodně konstatují, že Parkovací místa III užíval Nájemce ode Dne předání IV bez smluvního podkladu, a proto uzavírají dohodu o narovnání, kterou narovnávají období ode Dne předání IV do dne předcházejícího </w:t>
      </w:r>
      <w:r w:rsidR="007561A7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ni účinnosti tak, že Nájemce uhradí Pronajímateli za dané období částku narovnání vypočtenou jako </w:t>
      </w:r>
      <w:r w:rsidR="007561A7">
        <w:rPr>
          <w:rFonts w:asciiTheme="minorHAnsi" w:hAnsiTheme="minorHAnsi"/>
          <w:sz w:val="22"/>
          <w:szCs w:val="22"/>
        </w:rPr>
        <w:t>3,33</w:t>
      </w:r>
      <w:r>
        <w:rPr>
          <w:rFonts w:asciiTheme="minorHAnsi" w:hAnsiTheme="minorHAnsi"/>
          <w:sz w:val="22"/>
          <w:szCs w:val="22"/>
        </w:rPr>
        <w:t xml:space="preserve"> EUR krát skutečný počet kalendářních dnů </w:t>
      </w:r>
      <w:r w:rsidR="007561A7">
        <w:rPr>
          <w:rFonts w:asciiTheme="minorHAnsi" w:hAnsiTheme="minorHAnsi"/>
          <w:sz w:val="22"/>
          <w:szCs w:val="22"/>
        </w:rPr>
        <w:t xml:space="preserve">užívání Parkovacích míst III v </w:t>
      </w:r>
      <w:r>
        <w:rPr>
          <w:rFonts w:asciiTheme="minorHAnsi" w:hAnsiTheme="minorHAnsi"/>
          <w:sz w:val="22"/>
          <w:szCs w:val="22"/>
        </w:rPr>
        <w:t>dané</w:t>
      </w:r>
      <w:r w:rsidR="007561A7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 období, čímž budou vzájemná práva a povinnost Stran z tohoto právního titulu zcela narovnány, </w:t>
      </w:r>
      <w:bookmarkStart w:id="1" w:name="_Hlk46152241"/>
      <w:r>
        <w:rPr>
          <w:rFonts w:asciiTheme="minorHAnsi" w:hAnsiTheme="minorHAnsi"/>
          <w:sz w:val="22"/>
          <w:szCs w:val="22"/>
        </w:rPr>
        <w:t>částka narovnání nezahrnuje DPH a DPH z této částku bude řešen</w:t>
      </w:r>
      <w:r w:rsidR="007561A7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dle příslušných právních předpisů</w:t>
      </w:r>
      <w:bookmarkEnd w:id="1"/>
      <w:r>
        <w:rPr>
          <w:rFonts w:asciiTheme="minorHAnsi" w:hAnsiTheme="minorHAnsi"/>
          <w:sz w:val="22"/>
          <w:szCs w:val="22"/>
        </w:rPr>
        <w:t xml:space="preserve">; částka narovnání bude uhrazena na základě faktury Pronajímatele vystavené po </w:t>
      </w:r>
      <w:r w:rsidR="007561A7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ni účinnosti se splatností 14 dnů.</w:t>
      </w:r>
      <w:bookmarkEnd w:id="0"/>
    </w:p>
    <w:p w14:paraId="625C886A" w14:textId="2765B416" w:rsidR="00644162" w:rsidRDefault="00644162" w:rsidP="00644162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Ode </w:t>
      </w:r>
      <w:r w:rsidR="007561A7">
        <w:rPr>
          <w:rFonts w:asciiTheme="minorHAnsi" w:hAnsiTheme="minorHAnsi"/>
          <w:sz w:val="22"/>
          <w:szCs w:val="22"/>
        </w:rPr>
        <w:t>Dne účinnosti</w:t>
      </w:r>
      <w:r>
        <w:rPr>
          <w:rFonts w:asciiTheme="minorHAnsi" w:hAnsiTheme="minorHAnsi"/>
          <w:sz w:val="22"/>
          <w:szCs w:val="22"/>
        </w:rPr>
        <w:t xml:space="preserve"> bude Nájemce povinen hradit za Parkovací místa I</w:t>
      </w:r>
      <w:r w:rsidR="00F01CED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 Nájemné v souladu s Nájemní smlouvou.</w:t>
      </w:r>
      <w:r w:rsidR="006B6C1F">
        <w:rPr>
          <w:rFonts w:asciiTheme="minorHAnsi" w:hAnsiTheme="minorHAnsi"/>
          <w:sz w:val="22"/>
          <w:szCs w:val="22"/>
        </w:rPr>
        <w:t xml:space="preserve"> Pro vyloučení pochybností</w:t>
      </w:r>
      <w:r w:rsidR="00AD4A03">
        <w:rPr>
          <w:rFonts w:asciiTheme="minorHAnsi" w:hAnsiTheme="minorHAnsi"/>
          <w:sz w:val="22"/>
          <w:szCs w:val="22"/>
        </w:rPr>
        <w:t xml:space="preserve"> Strany prohlašují</w:t>
      </w:r>
      <w:r w:rsidR="006B6C1F">
        <w:rPr>
          <w:rFonts w:asciiTheme="minorHAnsi" w:hAnsiTheme="minorHAnsi"/>
          <w:sz w:val="22"/>
          <w:szCs w:val="22"/>
        </w:rPr>
        <w:t>,</w:t>
      </w:r>
      <w:r w:rsidR="00EC3DE9">
        <w:rPr>
          <w:rFonts w:asciiTheme="minorHAnsi" w:hAnsiTheme="minorHAnsi"/>
          <w:sz w:val="22"/>
          <w:szCs w:val="22"/>
        </w:rPr>
        <w:t xml:space="preserve"> </w:t>
      </w:r>
      <w:r w:rsidR="007561A7">
        <w:rPr>
          <w:rFonts w:asciiTheme="minorHAnsi" w:hAnsiTheme="minorHAnsi"/>
          <w:sz w:val="22"/>
          <w:szCs w:val="22"/>
        </w:rPr>
        <w:t xml:space="preserve">že </w:t>
      </w:r>
      <w:r w:rsidR="001268A9">
        <w:rPr>
          <w:rFonts w:asciiTheme="minorHAnsi" w:hAnsiTheme="minorHAnsi"/>
          <w:sz w:val="22"/>
          <w:szCs w:val="22"/>
        </w:rPr>
        <w:t xml:space="preserve">za </w:t>
      </w:r>
      <w:r w:rsidR="00EC3DE9">
        <w:rPr>
          <w:rFonts w:asciiTheme="minorHAnsi" w:hAnsiTheme="minorHAnsi"/>
          <w:sz w:val="22"/>
          <w:szCs w:val="22"/>
        </w:rPr>
        <w:t xml:space="preserve">Skladové prostory, Kancelářské prostory, Parkovací místa II a Mobilní buňku je Nájemce povinen hradit aktuální Nájemné odrážející provedenou indexaci. 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905D053" w14:textId="0FEC1ED1" w:rsidR="00644162" w:rsidRPr="00CB08CF" w:rsidRDefault="00644162" w:rsidP="00CB08CF">
      <w:pPr>
        <w:numPr>
          <w:ilvl w:val="1"/>
          <w:numId w:val="4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 vyloučení pochybností Strany prohlašují, že odkaz na Parkovací místa v Nájemní smlouvě se vztahuje i na Parkovací místa I</w:t>
      </w:r>
      <w:r w:rsidR="00F01CED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I, odkaz na Den předání v Nájemní smlouvě se vztahuje i na Den předání I</w:t>
      </w:r>
      <w:r w:rsidR="003B51CE">
        <w:rPr>
          <w:rFonts w:asciiTheme="minorHAnsi" w:hAnsiTheme="minorHAnsi"/>
          <w:sz w:val="22"/>
          <w:szCs w:val="22"/>
        </w:rPr>
        <w:t>V</w:t>
      </w:r>
      <w:r w:rsidR="00CB08CF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 xml:space="preserve"> odkaz na Začátek nájmu v Nájemní smlouvě se vztahuje i na Začátek nájmu</w:t>
      </w:r>
      <w:r w:rsidR="00CB08CF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I</w:t>
      </w:r>
      <w:r w:rsidR="003B51CE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>, nevyplývá-li z kontextu jinak</w:t>
      </w:r>
      <w:r w:rsidR="00675FCD">
        <w:rPr>
          <w:rFonts w:asciiTheme="minorHAnsi" w:hAnsiTheme="minorHAnsi"/>
          <w:sz w:val="22"/>
          <w:szCs w:val="22"/>
        </w:rPr>
        <w:t xml:space="preserve">; na Parkovací místa a Mobilní buňku se použijí přiměřeně ustanovení Nájemní smlouvy </w:t>
      </w:r>
      <w:r w:rsidR="00AD4A03">
        <w:rPr>
          <w:rFonts w:asciiTheme="minorHAnsi" w:hAnsiTheme="minorHAnsi"/>
          <w:sz w:val="22"/>
          <w:szCs w:val="22"/>
        </w:rPr>
        <w:t>upravující podmínky nájmu Nebytových prostor, není-li sjednáno jinak</w:t>
      </w:r>
      <w:r>
        <w:rPr>
          <w:rFonts w:asciiTheme="minorHAnsi" w:hAnsiTheme="minorHAnsi"/>
          <w:sz w:val="22"/>
          <w:szCs w:val="22"/>
        </w:rPr>
        <w:t>.</w:t>
      </w:r>
    </w:p>
    <w:p w14:paraId="6F15FB08" w14:textId="77777777" w:rsidR="00644162" w:rsidRDefault="00644162" w:rsidP="00644162">
      <w:pPr>
        <w:rPr>
          <w:rFonts w:asciiTheme="minorHAnsi" w:hAnsiTheme="minorHAnsi"/>
          <w:sz w:val="22"/>
          <w:szCs w:val="22"/>
        </w:rPr>
      </w:pPr>
    </w:p>
    <w:p w14:paraId="394C5DEA" w14:textId="77777777" w:rsidR="00644162" w:rsidRPr="00E93E3A" w:rsidRDefault="00644162" w:rsidP="0064416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3</w:t>
      </w:r>
      <w:r w:rsidRPr="00E93E3A">
        <w:rPr>
          <w:rFonts w:asciiTheme="minorHAnsi" w:hAnsiTheme="minorHAnsi"/>
          <w:b/>
          <w:sz w:val="22"/>
          <w:szCs w:val="22"/>
        </w:rPr>
        <w:t>.</w:t>
      </w:r>
    </w:p>
    <w:p w14:paraId="41BBA529" w14:textId="77777777" w:rsidR="00644162" w:rsidRPr="00E93E3A" w:rsidRDefault="00644162" w:rsidP="00644162">
      <w:pPr>
        <w:jc w:val="center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>Změny Nájemní smlouvy</w:t>
      </w:r>
    </w:p>
    <w:p w14:paraId="56BBF6DA" w14:textId="77777777" w:rsidR="00644162" w:rsidRPr="00E93E3A" w:rsidRDefault="00644162" w:rsidP="0064416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F9E4B0" w14:textId="5FD39F97" w:rsidR="00644162" w:rsidRDefault="00644162" w:rsidP="00644162">
      <w:pPr>
        <w:numPr>
          <w:ilvl w:val="1"/>
          <w:numId w:val="6"/>
        </w:numPr>
        <w:overflowPunct/>
        <w:autoSpaceDE/>
        <w:autoSpaceDN/>
        <w:adjustRightInd/>
        <w:spacing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</w:t>
      </w:r>
      <w:r w:rsidR="007E669B">
        <w:rPr>
          <w:rFonts w:asciiTheme="minorHAnsi" w:hAnsiTheme="minorHAnsi"/>
          <w:sz w:val="22"/>
          <w:szCs w:val="22"/>
        </w:rPr>
        <w:t xml:space="preserve">účinností </w:t>
      </w:r>
      <w:r w:rsidR="007561A7">
        <w:rPr>
          <w:rFonts w:asciiTheme="minorHAnsi" w:hAnsiTheme="minorHAnsi"/>
          <w:sz w:val="22"/>
          <w:szCs w:val="22"/>
        </w:rPr>
        <w:t>ode Dne</w:t>
      </w:r>
      <w:r>
        <w:rPr>
          <w:rFonts w:asciiTheme="minorHAnsi" w:hAnsiTheme="minorHAnsi"/>
          <w:sz w:val="22"/>
          <w:szCs w:val="22"/>
        </w:rPr>
        <w:t> </w:t>
      </w:r>
      <w:r w:rsidR="007561A7">
        <w:rPr>
          <w:rFonts w:asciiTheme="minorHAnsi" w:hAnsiTheme="minorHAnsi"/>
          <w:sz w:val="22"/>
          <w:szCs w:val="22"/>
        </w:rPr>
        <w:t xml:space="preserve">účinnosti tohoto Dodatku </w:t>
      </w:r>
      <w:r w:rsidRPr="00A72925"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z w:val="22"/>
          <w:szCs w:val="22"/>
        </w:rPr>
        <w:t xml:space="preserve"> v</w:t>
      </w:r>
      <w:r w:rsidRPr="00A729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čl. 1.1</w:t>
      </w:r>
      <w:r w:rsidRPr="00A72925">
        <w:rPr>
          <w:rFonts w:asciiTheme="minorHAnsi" w:hAnsiTheme="minorHAnsi"/>
          <w:sz w:val="22"/>
          <w:szCs w:val="22"/>
        </w:rPr>
        <w:t xml:space="preserve"> Nájemní smlouvy</w:t>
      </w:r>
      <w:r>
        <w:rPr>
          <w:rFonts w:asciiTheme="minorHAnsi" w:hAnsiTheme="minorHAnsi"/>
          <w:sz w:val="22"/>
          <w:szCs w:val="22"/>
        </w:rPr>
        <w:t xml:space="preserve"> upravují níže uvedené definice následujícím z</w:t>
      </w:r>
      <w:r w:rsidR="00712768">
        <w:rPr>
          <w:rFonts w:asciiTheme="minorHAnsi" w:hAnsiTheme="minorHAnsi"/>
          <w:sz w:val="22"/>
          <w:szCs w:val="22"/>
        </w:rPr>
        <w:t>působem</w:t>
      </w:r>
      <w:r>
        <w:rPr>
          <w:rFonts w:asciiTheme="minorHAnsi" w:hAnsiTheme="minorHAnsi"/>
          <w:sz w:val="22"/>
          <w:szCs w:val="22"/>
        </w:rPr>
        <w:t xml:space="preserve"> a do čl. 1.1 Nájemní smlouvy se doplňují níže uvedené nové definice:</w:t>
      </w:r>
    </w:p>
    <w:tbl>
      <w:tblPr>
        <w:tblW w:w="8505" w:type="dxa"/>
        <w:tblInd w:w="567" w:type="dxa"/>
        <w:tblLayout w:type="fixed"/>
        <w:tblLook w:val="00A0" w:firstRow="1" w:lastRow="0" w:firstColumn="1" w:lastColumn="0" w:noHBand="0" w:noVBand="0"/>
      </w:tblPr>
      <w:tblGrid>
        <w:gridCol w:w="2187"/>
        <w:gridCol w:w="6318"/>
      </w:tblGrid>
      <w:tr w:rsidR="007E669B" w:rsidRPr="008778A7" w14:paraId="71A56188" w14:textId="77777777" w:rsidTr="00CB08CF">
        <w:tc>
          <w:tcPr>
            <w:tcW w:w="2187" w:type="dxa"/>
          </w:tcPr>
          <w:p w14:paraId="047825ED" w14:textId="68037992" w:rsidR="007E669B" w:rsidRDefault="007E669B" w:rsidP="004F35C3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Doba nájmu II</w:t>
            </w:r>
          </w:p>
        </w:tc>
        <w:tc>
          <w:tcPr>
            <w:tcW w:w="6318" w:type="dxa"/>
          </w:tcPr>
          <w:p w14:paraId="105395C5" w14:textId="1C0AD756" w:rsidR="007E669B" w:rsidRDefault="007E669B" w:rsidP="004F35C3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má význam uvedený v čl. 5.2;</w:t>
            </w:r>
          </w:p>
        </w:tc>
      </w:tr>
      <w:tr w:rsidR="00644162" w:rsidRPr="008778A7" w14:paraId="7867973C" w14:textId="77777777" w:rsidTr="00CB08CF">
        <w:tc>
          <w:tcPr>
            <w:tcW w:w="2187" w:type="dxa"/>
          </w:tcPr>
          <w:p w14:paraId="24C6DF19" w14:textId="0180D460" w:rsidR="00644162" w:rsidRPr="008778A7" w:rsidRDefault="00644162" w:rsidP="004F35C3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Den předání I</w:t>
            </w:r>
            <w:r w:rsidR="003B51CE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6318" w:type="dxa"/>
          </w:tcPr>
          <w:p w14:paraId="7C698D88" w14:textId="549E3AC5" w:rsidR="00644162" w:rsidRPr="008778A7" w:rsidRDefault="00644162" w:rsidP="004F35C3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znamená </w:t>
            </w:r>
            <w:r w:rsidRPr="007561A7">
              <w:rPr>
                <w:rFonts w:ascii="Calibri" w:hAnsi="Calibri"/>
                <w:sz w:val="22"/>
                <w:szCs w:val="22"/>
              </w:rPr>
              <w:t>1. 6. 202</w:t>
            </w:r>
            <w:r w:rsidR="00CB08CF" w:rsidRPr="007561A7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6614">
              <w:rPr>
                <w:rFonts w:ascii="Calibri" w:hAnsi="Calibri"/>
                <w:sz w:val="22"/>
                <w:szCs w:val="22"/>
              </w:rPr>
              <w:t xml:space="preserve">(pouze </w:t>
            </w:r>
            <w:r>
              <w:rPr>
                <w:rFonts w:ascii="Calibri" w:hAnsi="Calibri"/>
                <w:sz w:val="22"/>
                <w:szCs w:val="22"/>
              </w:rPr>
              <w:t>ve vztahu k Parkovacím místům I</w:t>
            </w:r>
            <w:r w:rsidR="00CB08CF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="00366614">
              <w:rPr>
                <w:rFonts w:ascii="Calibri" w:hAnsi="Calibri"/>
                <w:sz w:val="22"/>
                <w:szCs w:val="22"/>
              </w:rPr>
              <w:t>)</w:t>
            </w:r>
            <w:r w:rsidR="007E669B">
              <w:rPr>
                <w:rFonts w:ascii="Calibri" w:hAnsi="Calibri"/>
                <w:sz w:val="22"/>
                <w:szCs w:val="22"/>
              </w:rPr>
              <w:t>;</w:t>
            </w:r>
            <w:r w:rsidRPr="008778A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44162" w:rsidRPr="008778A7" w14:paraId="6EA263DC" w14:textId="77777777" w:rsidTr="00CB08CF">
        <w:tc>
          <w:tcPr>
            <w:tcW w:w="2187" w:type="dxa"/>
          </w:tcPr>
          <w:p w14:paraId="09F45DF5" w14:textId="69F6F25D" w:rsidR="00644162" w:rsidRPr="008778A7" w:rsidRDefault="00644162" w:rsidP="004F35C3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Parkovací místa </w:t>
            </w:r>
            <w:r w:rsidR="00CB08CF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  <w:r w:rsidRPr="008778A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18" w:type="dxa"/>
          </w:tcPr>
          <w:p w14:paraId="7EC53580" w14:textId="55418C61" w:rsidR="00644162" w:rsidRPr="008778A7" w:rsidRDefault="00644162" w:rsidP="004F35C3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 parkovacích míst vyznačených </w:t>
            </w:r>
            <w:r w:rsidR="00FC0812">
              <w:rPr>
                <w:rFonts w:ascii="Calibri" w:hAnsi="Calibri"/>
                <w:sz w:val="22"/>
                <w:szCs w:val="22"/>
              </w:rPr>
              <w:t>oranžově</w:t>
            </w:r>
            <w:r>
              <w:rPr>
                <w:rFonts w:ascii="Calibri" w:hAnsi="Calibri"/>
                <w:sz w:val="22"/>
                <w:szCs w:val="22"/>
              </w:rPr>
              <w:t xml:space="preserve"> na plánku v příloze č. 3B</w:t>
            </w:r>
            <w:r w:rsidR="007E669B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644162" w:rsidRPr="008778A7" w14:paraId="4D29D3D7" w14:textId="77777777" w:rsidTr="00CB08CF">
        <w:tc>
          <w:tcPr>
            <w:tcW w:w="2187" w:type="dxa"/>
          </w:tcPr>
          <w:p w14:paraId="66DDF292" w14:textId="152BC7C6" w:rsidR="00644162" w:rsidRDefault="00644162" w:rsidP="004F35C3">
            <w:pPr>
              <w:pStyle w:val="Definition"/>
              <w:spacing w:before="60" w:after="60"/>
              <w:ind w:left="0"/>
              <w:jc w:val="left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Začátek nájmu I</w:t>
            </w:r>
            <w:r w:rsidR="003B51CE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6318" w:type="dxa"/>
          </w:tcPr>
          <w:p w14:paraId="6BAFAA6C" w14:textId="26B8689B" w:rsidR="00644162" w:rsidRDefault="00A12379" w:rsidP="004F35C3">
            <w:pPr>
              <w:pStyle w:val="Definition"/>
              <w:spacing w:before="60" w:after="60"/>
              <w:ind w:left="0" w:right="-15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znamená Den účinnosti, jak je specifikován v dodatku č. 5 k Nájemní smlouvě</w:t>
            </w:r>
            <w:r w:rsidR="0064416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66614">
              <w:rPr>
                <w:rFonts w:ascii="Calibri" w:hAnsi="Calibri"/>
                <w:sz w:val="22"/>
                <w:szCs w:val="22"/>
              </w:rPr>
              <w:t xml:space="preserve">(pouze </w:t>
            </w:r>
            <w:r w:rsidR="00644162">
              <w:rPr>
                <w:rFonts w:ascii="Calibri" w:hAnsi="Calibri"/>
                <w:sz w:val="22"/>
                <w:szCs w:val="22"/>
              </w:rPr>
              <w:t>ve vztahu k Parkovacím místům I</w:t>
            </w:r>
            <w:r w:rsidR="00CB08CF">
              <w:rPr>
                <w:rFonts w:ascii="Calibri" w:hAnsi="Calibri"/>
                <w:sz w:val="22"/>
                <w:szCs w:val="22"/>
              </w:rPr>
              <w:t>I</w:t>
            </w:r>
            <w:r w:rsidR="00644162">
              <w:rPr>
                <w:rFonts w:ascii="Calibri" w:hAnsi="Calibri"/>
                <w:sz w:val="22"/>
                <w:szCs w:val="22"/>
              </w:rPr>
              <w:t>I</w:t>
            </w:r>
            <w:r w:rsidR="00366614">
              <w:rPr>
                <w:rFonts w:ascii="Calibri" w:hAnsi="Calibri"/>
                <w:sz w:val="22"/>
                <w:szCs w:val="22"/>
              </w:rPr>
              <w:t>)</w:t>
            </w:r>
            <w:r w:rsidR="007E669B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</w:tbl>
    <w:p w14:paraId="6ED57DA5" w14:textId="13D7333B" w:rsidR="00644162" w:rsidRPr="006C15B9" w:rsidRDefault="00644162" w:rsidP="00CB08CF">
      <w:pPr>
        <w:numPr>
          <w:ilvl w:val="1"/>
          <w:numId w:val="6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>
        <w:rPr>
          <w:rFonts w:asciiTheme="minorHAnsi" w:hAnsiTheme="minorHAnsi"/>
          <w:sz w:val="22"/>
          <w:szCs w:val="22"/>
        </w:rPr>
        <w:t xml:space="preserve">ode Dne účinnosti tohoto Dodatku </w:t>
      </w:r>
      <w:r w:rsidRPr="006C15B9">
        <w:rPr>
          <w:rFonts w:asciiTheme="minorHAnsi" w:hAnsiTheme="minorHAnsi"/>
          <w:sz w:val="22"/>
          <w:szCs w:val="22"/>
        </w:rPr>
        <w:t>se čl</w:t>
      </w:r>
      <w:r>
        <w:rPr>
          <w:rFonts w:asciiTheme="minorHAnsi" w:hAnsiTheme="minorHAnsi"/>
          <w:sz w:val="22"/>
          <w:szCs w:val="22"/>
        </w:rPr>
        <w:t>.</w:t>
      </w:r>
      <w:r w:rsidRPr="006C15B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</w:t>
      </w:r>
      <w:r w:rsidRPr="006C15B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3</w:t>
      </w:r>
      <w:r w:rsidRPr="006C15B9">
        <w:rPr>
          <w:rFonts w:asciiTheme="minorHAnsi" w:hAnsiTheme="minorHAnsi"/>
          <w:sz w:val="22"/>
          <w:szCs w:val="22"/>
        </w:rPr>
        <w:t xml:space="preserve">. Nájemní smlouvy </w:t>
      </w:r>
      <w:r>
        <w:rPr>
          <w:rFonts w:asciiTheme="minorHAnsi" w:hAnsiTheme="minorHAnsi"/>
          <w:sz w:val="22"/>
          <w:szCs w:val="22"/>
        </w:rPr>
        <w:t>doplňuje v tom smyslu, že za Parkovací místa I</w:t>
      </w:r>
      <w:r w:rsidR="00CB08CF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 je Nájemce povinen platit Nájemné za Parkovací místa I</w:t>
      </w:r>
      <w:r w:rsidR="00CB08CF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 a nově zní takto</w:t>
      </w:r>
      <w:r w:rsidRPr="006C15B9">
        <w:rPr>
          <w:rFonts w:asciiTheme="minorHAnsi" w:hAnsiTheme="minorHAnsi"/>
          <w:sz w:val="22"/>
          <w:szCs w:val="22"/>
        </w:rPr>
        <w:t>:</w:t>
      </w:r>
    </w:p>
    <w:p w14:paraId="0F421F2D" w14:textId="7A126AEA" w:rsidR="00644162" w:rsidRPr="00864DE6" w:rsidRDefault="00644162" w:rsidP="00644162">
      <w:pPr>
        <w:pStyle w:val="Odstavecseseznamem"/>
        <w:autoSpaceDE/>
        <w:autoSpaceDN/>
        <w:adjustRightInd/>
        <w:spacing w:after="120"/>
        <w:ind w:left="1440" w:hanging="727"/>
        <w:jc w:val="both"/>
        <w:rPr>
          <w:rFonts w:asciiTheme="minorHAnsi" w:hAnsiTheme="minorHAnsi"/>
          <w:sz w:val="22"/>
          <w:szCs w:val="22"/>
        </w:rPr>
      </w:pPr>
      <w:r w:rsidRPr="00864DE6"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3.3</w:t>
      </w:r>
      <w:r w:rsidRPr="00864DE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Parkovací místa jsou příslušenstvím Nebytových prostor a úplata za jejich užívání tak byla zohledněna při stanovení </w:t>
      </w:r>
      <w:r w:rsidRPr="00E07D44">
        <w:rPr>
          <w:rFonts w:asciiTheme="minorHAnsi" w:hAnsiTheme="minorHAnsi"/>
          <w:sz w:val="22"/>
          <w:szCs w:val="22"/>
        </w:rPr>
        <w:t xml:space="preserve">Nájemného; to neplatí pro </w:t>
      </w:r>
      <w:r w:rsidR="00E07D44" w:rsidRPr="00E07D44">
        <w:rPr>
          <w:rFonts w:asciiTheme="minorHAnsi" w:hAnsiTheme="minorHAnsi"/>
          <w:sz w:val="22"/>
          <w:szCs w:val="22"/>
        </w:rPr>
        <w:t xml:space="preserve">(i) </w:t>
      </w:r>
      <w:r w:rsidRPr="00E07D44">
        <w:rPr>
          <w:rFonts w:asciiTheme="minorHAnsi" w:hAnsiTheme="minorHAnsi"/>
          <w:sz w:val="22"/>
          <w:szCs w:val="22"/>
        </w:rPr>
        <w:t>Parkovací místa II, za něž je Nájemce povinen platit od Začátku nájmu II Nájemné za Parkovací místa II</w:t>
      </w:r>
      <w:r w:rsidR="00E07D44">
        <w:rPr>
          <w:rFonts w:asciiTheme="minorHAnsi" w:hAnsiTheme="minorHAnsi"/>
          <w:sz w:val="22"/>
          <w:szCs w:val="22"/>
        </w:rPr>
        <w:t xml:space="preserve"> a </w:t>
      </w:r>
      <w:r w:rsidR="00E07D44" w:rsidRPr="00E07D44">
        <w:rPr>
          <w:rFonts w:asciiTheme="minorHAnsi" w:hAnsiTheme="minorHAnsi"/>
          <w:sz w:val="22"/>
          <w:szCs w:val="22"/>
        </w:rPr>
        <w:t>(</w:t>
      </w:r>
      <w:r w:rsidR="00E07D44">
        <w:rPr>
          <w:rFonts w:asciiTheme="minorHAnsi" w:hAnsiTheme="minorHAnsi"/>
          <w:sz w:val="22"/>
          <w:szCs w:val="22"/>
        </w:rPr>
        <w:t>i</w:t>
      </w:r>
      <w:r w:rsidR="00E07D44" w:rsidRPr="00E07D44">
        <w:rPr>
          <w:rFonts w:asciiTheme="minorHAnsi" w:hAnsiTheme="minorHAnsi"/>
          <w:sz w:val="22"/>
          <w:szCs w:val="22"/>
        </w:rPr>
        <w:t>i)</w:t>
      </w:r>
      <w:r w:rsidR="00E07D44">
        <w:rPr>
          <w:rFonts w:asciiTheme="minorHAnsi" w:hAnsiTheme="minorHAnsi"/>
          <w:sz w:val="22"/>
          <w:szCs w:val="22"/>
        </w:rPr>
        <w:t> </w:t>
      </w:r>
      <w:r w:rsidR="00E07D44" w:rsidRPr="00E07D44">
        <w:rPr>
          <w:rFonts w:asciiTheme="minorHAnsi" w:hAnsiTheme="minorHAnsi"/>
          <w:sz w:val="22"/>
          <w:szCs w:val="22"/>
        </w:rPr>
        <w:t>Parkovací místa I</w:t>
      </w:r>
      <w:r w:rsidR="00E07D44">
        <w:rPr>
          <w:rFonts w:asciiTheme="minorHAnsi" w:hAnsiTheme="minorHAnsi"/>
          <w:sz w:val="22"/>
          <w:szCs w:val="22"/>
        </w:rPr>
        <w:t>I</w:t>
      </w:r>
      <w:r w:rsidR="00E07D44" w:rsidRPr="00E07D44">
        <w:rPr>
          <w:rFonts w:asciiTheme="minorHAnsi" w:hAnsiTheme="minorHAnsi"/>
          <w:sz w:val="22"/>
          <w:szCs w:val="22"/>
        </w:rPr>
        <w:t>I, za něž je Nájemce povinen platit od Začátku nájmu I</w:t>
      </w:r>
      <w:r w:rsidR="003B51CE">
        <w:rPr>
          <w:rFonts w:asciiTheme="minorHAnsi" w:hAnsiTheme="minorHAnsi"/>
          <w:sz w:val="22"/>
          <w:szCs w:val="22"/>
        </w:rPr>
        <w:t>V</w:t>
      </w:r>
      <w:r w:rsidR="00E07D44" w:rsidRPr="00E07D44">
        <w:rPr>
          <w:rFonts w:asciiTheme="minorHAnsi" w:hAnsiTheme="minorHAnsi"/>
          <w:sz w:val="22"/>
          <w:szCs w:val="22"/>
        </w:rPr>
        <w:t xml:space="preserve"> Nájemné za Parkovací místa </w:t>
      </w:r>
      <w:r w:rsidR="00E07D44">
        <w:rPr>
          <w:rFonts w:asciiTheme="minorHAnsi" w:hAnsiTheme="minorHAnsi"/>
          <w:sz w:val="22"/>
          <w:szCs w:val="22"/>
        </w:rPr>
        <w:t>I</w:t>
      </w:r>
      <w:r w:rsidR="00E07D44" w:rsidRPr="00E07D44">
        <w:rPr>
          <w:rFonts w:asciiTheme="minorHAnsi" w:hAnsiTheme="minorHAnsi"/>
          <w:sz w:val="22"/>
          <w:szCs w:val="22"/>
        </w:rPr>
        <w:t>II</w:t>
      </w:r>
      <w:r w:rsidR="00E07D44">
        <w:rPr>
          <w:rFonts w:asciiTheme="minorHAnsi" w:hAnsiTheme="minorHAnsi"/>
          <w:sz w:val="22"/>
          <w:szCs w:val="22"/>
        </w:rPr>
        <w:t xml:space="preserve">; </w:t>
      </w:r>
      <w:r w:rsidRPr="00E07D44">
        <w:rPr>
          <w:rFonts w:asciiTheme="minorHAnsi" w:hAnsiTheme="minorHAnsi"/>
          <w:sz w:val="22"/>
          <w:szCs w:val="22"/>
        </w:rPr>
        <w:t>způsob výpočtu</w:t>
      </w:r>
      <w:r w:rsidR="00E07D44">
        <w:rPr>
          <w:rFonts w:asciiTheme="minorHAnsi" w:hAnsiTheme="minorHAnsi"/>
          <w:sz w:val="22"/>
          <w:szCs w:val="22"/>
        </w:rPr>
        <w:t xml:space="preserve"> Nájemného za Parkovací místa II a Nájemného za Parkovací místa III</w:t>
      </w:r>
      <w:r w:rsidRPr="00E07D44">
        <w:rPr>
          <w:rFonts w:asciiTheme="minorHAnsi" w:hAnsiTheme="minorHAnsi"/>
          <w:sz w:val="22"/>
          <w:szCs w:val="22"/>
        </w:rPr>
        <w:t xml:space="preserve"> je uveden v příloze č. 3A. K Nájemnému bude připočtena DPH v zákonné výši.</w:t>
      </w:r>
      <w:r w:rsidRPr="00E07D44">
        <w:rPr>
          <w:rFonts w:ascii="Calibri" w:hAnsi="Calibri"/>
          <w:sz w:val="22"/>
          <w:szCs w:val="22"/>
        </w:rPr>
        <w:t>“</w:t>
      </w:r>
    </w:p>
    <w:p w14:paraId="0BEF1D99" w14:textId="1E428E6D" w:rsidR="00DC1452" w:rsidRPr="00366614" w:rsidRDefault="00DC1452" w:rsidP="00366614">
      <w:pPr>
        <w:numPr>
          <w:ilvl w:val="1"/>
          <w:numId w:val="6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>
        <w:rPr>
          <w:rFonts w:asciiTheme="minorHAnsi" w:hAnsiTheme="minorHAnsi"/>
          <w:sz w:val="22"/>
          <w:szCs w:val="22"/>
        </w:rPr>
        <w:t xml:space="preserve">ode Dne účinnosti tohoto Dodatku </w:t>
      </w:r>
      <w:r w:rsidR="0061464C">
        <w:rPr>
          <w:rFonts w:asciiTheme="minorHAnsi" w:hAnsiTheme="minorHAnsi"/>
          <w:sz w:val="22"/>
          <w:szCs w:val="22"/>
        </w:rPr>
        <w:t>se</w:t>
      </w:r>
      <w:r w:rsidRPr="006C15B9">
        <w:rPr>
          <w:rFonts w:asciiTheme="minorHAnsi" w:hAnsiTheme="minorHAnsi"/>
          <w:sz w:val="22"/>
          <w:szCs w:val="22"/>
        </w:rPr>
        <w:t xml:space="preserve"> čl</w:t>
      </w:r>
      <w:r>
        <w:rPr>
          <w:rFonts w:asciiTheme="minorHAnsi" w:hAnsiTheme="minorHAnsi"/>
          <w:sz w:val="22"/>
          <w:szCs w:val="22"/>
        </w:rPr>
        <w:t>.</w:t>
      </w:r>
      <w:r w:rsidRPr="006C15B9">
        <w:rPr>
          <w:rFonts w:asciiTheme="minorHAnsi" w:hAnsiTheme="minorHAnsi"/>
          <w:sz w:val="22"/>
          <w:szCs w:val="22"/>
        </w:rPr>
        <w:t xml:space="preserve"> </w:t>
      </w:r>
      <w:r w:rsidR="0061464C">
        <w:rPr>
          <w:rFonts w:asciiTheme="minorHAnsi" w:hAnsiTheme="minorHAnsi"/>
          <w:sz w:val="22"/>
          <w:szCs w:val="22"/>
        </w:rPr>
        <w:t>5</w:t>
      </w:r>
      <w:r w:rsidRPr="006C15B9">
        <w:rPr>
          <w:rFonts w:asciiTheme="minorHAnsi" w:hAnsiTheme="minorHAnsi"/>
          <w:sz w:val="22"/>
          <w:szCs w:val="22"/>
        </w:rPr>
        <w:t>.</w:t>
      </w:r>
      <w:r w:rsidR="0061464C">
        <w:rPr>
          <w:rFonts w:asciiTheme="minorHAnsi" w:hAnsiTheme="minorHAnsi"/>
          <w:sz w:val="22"/>
          <w:szCs w:val="22"/>
        </w:rPr>
        <w:t>2</w:t>
      </w:r>
      <w:r w:rsidRPr="006C15B9">
        <w:rPr>
          <w:rFonts w:asciiTheme="minorHAnsi" w:hAnsiTheme="minorHAnsi"/>
          <w:sz w:val="22"/>
          <w:szCs w:val="22"/>
        </w:rPr>
        <w:t xml:space="preserve">. Nájemní smlouvy </w:t>
      </w:r>
      <w:r w:rsidR="006B6C1F">
        <w:rPr>
          <w:rFonts w:asciiTheme="minorHAnsi" w:hAnsiTheme="minorHAnsi"/>
          <w:sz w:val="22"/>
          <w:szCs w:val="22"/>
        </w:rPr>
        <w:t>nahrazuje</w:t>
      </w:r>
      <w:r w:rsidR="0061464C">
        <w:rPr>
          <w:rFonts w:asciiTheme="minorHAnsi" w:hAnsiTheme="minorHAnsi"/>
          <w:sz w:val="22"/>
          <w:szCs w:val="22"/>
        </w:rPr>
        <w:t xml:space="preserve"> následující</w:t>
      </w:r>
      <w:r w:rsidR="006B6C1F">
        <w:rPr>
          <w:rFonts w:asciiTheme="minorHAnsi" w:hAnsiTheme="minorHAnsi"/>
          <w:sz w:val="22"/>
          <w:szCs w:val="22"/>
        </w:rPr>
        <w:t>m zněním</w:t>
      </w:r>
      <w:r w:rsidRPr="006C15B9">
        <w:rPr>
          <w:rFonts w:asciiTheme="minorHAnsi" w:hAnsiTheme="minorHAnsi"/>
          <w:sz w:val="22"/>
          <w:szCs w:val="22"/>
        </w:rPr>
        <w:t>:</w:t>
      </w:r>
    </w:p>
    <w:p w14:paraId="3A8701D4" w14:textId="0B91D303" w:rsidR="0061464C" w:rsidRPr="00DC1452" w:rsidRDefault="006B6C1F" w:rsidP="00366614">
      <w:pPr>
        <w:overflowPunct/>
        <w:autoSpaceDE/>
        <w:autoSpaceDN/>
        <w:adjustRightInd/>
        <w:spacing w:after="120"/>
        <w:ind w:left="1440" w:hanging="731"/>
        <w:textAlignment w:val="auto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proofErr w:type="gramStart"/>
      <w:r w:rsidR="007821F9">
        <w:rPr>
          <w:rFonts w:ascii="Calibri" w:hAnsi="Calibri"/>
          <w:sz w:val="22"/>
          <w:szCs w:val="22"/>
        </w:rPr>
        <w:t>5.2</w:t>
      </w:r>
      <w:proofErr w:type="gramEnd"/>
      <w:r w:rsidR="007821F9">
        <w:rPr>
          <w:rFonts w:ascii="Calibri" w:hAnsi="Calibri"/>
          <w:sz w:val="22"/>
          <w:szCs w:val="22"/>
        </w:rPr>
        <w:t>.</w:t>
      </w:r>
      <w:r w:rsidR="0036661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Tato Smlouva se uzavírá na dobu určitou ode dne Začátku nájmu do 18. 8. 2024 (dále jen „</w:t>
      </w:r>
      <w:r>
        <w:rPr>
          <w:rFonts w:ascii="Calibri" w:hAnsi="Calibri"/>
          <w:b/>
          <w:sz w:val="22"/>
          <w:szCs w:val="22"/>
        </w:rPr>
        <w:t>Doba nájmu</w:t>
      </w:r>
      <w:r>
        <w:rPr>
          <w:rFonts w:ascii="Calibri" w:hAnsi="Calibri"/>
          <w:sz w:val="22"/>
          <w:szCs w:val="22"/>
        </w:rPr>
        <w:t xml:space="preserve">“). Doba nájmu se automaticky prodlužuje o pět (5) let, pokud Nájemce písemně neoznámí Pronajímateli nejméně dvanáct (12) měsíců před jejím uplynutím, že se rozhodl nájem neprodloužit. Na prodloužení jakékoli prodloužené </w:t>
      </w:r>
      <w:r>
        <w:rPr>
          <w:rFonts w:ascii="Calibri" w:hAnsi="Calibri"/>
          <w:sz w:val="22"/>
          <w:szCs w:val="22"/>
        </w:rPr>
        <w:lastRenderedPageBreak/>
        <w:t xml:space="preserve">Doby nájmu se použije pravidlo obsažené v předchozí větě analogicky. </w:t>
      </w:r>
      <w:r w:rsidR="0061464C">
        <w:rPr>
          <w:rFonts w:asciiTheme="minorHAnsi" w:hAnsiTheme="minorHAnsi"/>
          <w:sz w:val="22"/>
          <w:szCs w:val="22"/>
        </w:rPr>
        <w:t xml:space="preserve">Parkovací místa III si Nájemce </w:t>
      </w:r>
      <w:r>
        <w:rPr>
          <w:rFonts w:asciiTheme="minorHAnsi" w:hAnsiTheme="minorHAnsi"/>
          <w:sz w:val="22"/>
          <w:szCs w:val="22"/>
        </w:rPr>
        <w:t>najímá</w:t>
      </w:r>
      <w:r w:rsidR="0061464C">
        <w:rPr>
          <w:rFonts w:asciiTheme="minorHAnsi" w:hAnsiTheme="minorHAnsi"/>
          <w:sz w:val="22"/>
          <w:szCs w:val="22"/>
        </w:rPr>
        <w:t xml:space="preserve"> od Pronajímatele ode dne Začátku nájmu I</w:t>
      </w:r>
      <w:r w:rsidR="003B51CE">
        <w:rPr>
          <w:rFonts w:asciiTheme="minorHAnsi" w:hAnsiTheme="minorHAnsi"/>
          <w:sz w:val="22"/>
          <w:szCs w:val="22"/>
        </w:rPr>
        <w:t>V</w:t>
      </w:r>
      <w:r w:rsidR="0061464C">
        <w:rPr>
          <w:rFonts w:asciiTheme="minorHAnsi" w:hAnsiTheme="minorHAnsi"/>
          <w:sz w:val="22"/>
          <w:szCs w:val="22"/>
        </w:rPr>
        <w:t xml:space="preserve"> na dobu neurčitou s výpovědní dobou 1 měsíc počínaje dnem následujícím po dni doručení výpovědi druhé Straně</w:t>
      </w:r>
      <w:r w:rsidR="003B51CE">
        <w:rPr>
          <w:rFonts w:asciiTheme="minorHAnsi" w:hAnsiTheme="minorHAnsi"/>
          <w:sz w:val="22"/>
          <w:szCs w:val="22"/>
        </w:rPr>
        <w:t>.“</w:t>
      </w:r>
    </w:p>
    <w:p w14:paraId="6061D208" w14:textId="3C1EC1DB" w:rsidR="00675FCD" w:rsidRPr="00366614" w:rsidRDefault="00675FCD" w:rsidP="00366614">
      <w:pPr>
        <w:numPr>
          <w:ilvl w:val="1"/>
          <w:numId w:val="6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>
        <w:rPr>
          <w:rFonts w:asciiTheme="minorHAnsi" w:hAnsiTheme="minorHAnsi"/>
          <w:sz w:val="22"/>
          <w:szCs w:val="22"/>
        </w:rPr>
        <w:t>ode Dne účinnosti tohoto Dodatku se</w:t>
      </w:r>
      <w:r w:rsidRPr="006C15B9">
        <w:rPr>
          <w:rFonts w:asciiTheme="minorHAnsi" w:hAnsiTheme="minorHAnsi"/>
          <w:sz w:val="22"/>
          <w:szCs w:val="22"/>
        </w:rPr>
        <w:t xml:space="preserve"> čl</w:t>
      </w:r>
      <w:r>
        <w:rPr>
          <w:rFonts w:asciiTheme="minorHAnsi" w:hAnsiTheme="minorHAnsi"/>
          <w:sz w:val="22"/>
          <w:szCs w:val="22"/>
        </w:rPr>
        <w:t>.</w:t>
      </w:r>
      <w:r w:rsidRPr="006C15B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16.1</w:t>
      </w:r>
      <w:r w:rsidRPr="006C15B9">
        <w:rPr>
          <w:rFonts w:asciiTheme="minorHAnsi" w:hAnsiTheme="minorHAnsi"/>
          <w:sz w:val="22"/>
          <w:szCs w:val="22"/>
        </w:rPr>
        <w:t xml:space="preserve">. Nájemní smlouvy </w:t>
      </w:r>
      <w:r>
        <w:rPr>
          <w:rFonts w:asciiTheme="minorHAnsi" w:hAnsiTheme="minorHAnsi"/>
          <w:sz w:val="22"/>
          <w:szCs w:val="22"/>
        </w:rPr>
        <w:t>nahrazuje následujícím zněním</w:t>
      </w:r>
      <w:r w:rsidRPr="006C15B9">
        <w:rPr>
          <w:rFonts w:asciiTheme="minorHAnsi" w:hAnsiTheme="minorHAnsi"/>
          <w:sz w:val="22"/>
          <w:szCs w:val="22"/>
        </w:rPr>
        <w:t>:</w:t>
      </w:r>
    </w:p>
    <w:p w14:paraId="7E99ED79" w14:textId="77777777" w:rsidR="00675FCD" w:rsidRDefault="00675FCD" w:rsidP="00675FCD">
      <w:pPr>
        <w:overflowPunct/>
        <w:autoSpaceDE/>
        <w:autoSpaceDN/>
        <w:adjustRightInd/>
        <w:spacing w:after="120"/>
        <w:ind w:left="1429" w:hanging="715"/>
        <w:textAlignment w:val="auto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„16.1</w:t>
      </w:r>
      <w:r>
        <w:rPr>
          <w:rFonts w:ascii="Calibri" w:hAnsi="Calibri"/>
          <w:color w:val="000000" w:themeColor="text1"/>
          <w:sz w:val="22"/>
          <w:szCs w:val="22"/>
        </w:rPr>
        <w:tab/>
        <w:t xml:space="preserve">Nájem Parkovacích míst III může kterákoli Strana vypovědět i bez udání důvodu písemnou výpovědí </w:t>
      </w:r>
      <w:r>
        <w:rPr>
          <w:rFonts w:asciiTheme="minorHAnsi" w:hAnsiTheme="minorHAnsi"/>
          <w:sz w:val="22"/>
          <w:szCs w:val="22"/>
        </w:rPr>
        <w:t>s výpovědní dobou 1 měsíc počínaje dnem následujícím po dni doručení výpovědi druhé Straně. S výjimkou uvedenou v předchozí větě, pozbývá t</w:t>
      </w:r>
      <w:r>
        <w:rPr>
          <w:rFonts w:ascii="Calibri" w:hAnsi="Calibri"/>
          <w:color w:val="000000" w:themeColor="text1"/>
          <w:sz w:val="22"/>
          <w:szCs w:val="22"/>
        </w:rPr>
        <w:t>ato Smlouva účinnosti pouze jedním z následujících způsobů:</w:t>
      </w:r>
    </w:p>
    <w:p w14:paraId="126344C9" w14:textId="53F66B21" w:rsidR="00675FCD" w:rsidRDefault="00675FCD" w:rsidP="00675FCD">
      <w:pPr>
        <w:pStyle w:val="Definition2"/>
        <w:numPr>
          <w:ilvl w:val="0"/>
          <w:numId w:val="13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 w:rsidRPr="00675FCD">
        <w:rPr>
          <w:rFonts w:ascii="Calibri" w:hAnsi="Calibri"/>
          <w:color w:val="000000" w:themeColor="text1"/>
          <w:sz w:val="22"/>
          <w:szCs w:val="22"/>
        </w:rPr>
        <w:t>uplynutím doby, na kterou byla sjednána;</w:t>
      </w:r>
    </w:p>
    <w:p w14:paraId="2F78A668" w14:textId="13F7C2DC" w:rsidR="00675FCD" w:rsidRDefault="00675FCD" w:rsidP="00675FCD">
      <w:pPr>
        <w:pStyle w:val="Definition2"/>
        <w:numPr>
          <w:ilvl w:val="0"/>
          <w:numId w:val="13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výpovědí v souladu s čl. 16.2 a 16.3;</w:t>
      </w:r>
    </w:p>
    <w:p w14:paraId="22FB3788" w14:textId="3E9EA4B9" w:rsidR="00675FCD" w:rsidRDefault="00675FCD" w:rsidP="00675FCD">
      <w:pPr>
        <w:pStyle w:val="Definition2"/>
        <w:numPr>
          <w:ilvl w:val="0"/>
          <w:numId w:val="13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odstoupením v souladu s čl. 16.4 a 16.5; nebo</w:t>
      </w:r>
    </w:p>
    <w:p w14:paraId="672235E1" w14:textId="6900393A" w:rsidR="00675FCD" w:rsidRPr="00675FCD" w:rsidRDefault="00675FCD" w:rsidP="00675FCD">
      <w:pPr>
        <w:pStyle w:val="Definition2"/>
        <w:numPr>
          <w:ilvl w:val="0"/>
          <w:numId w:val="13"/>
        </w:numPr>
        <w:autoSpaceDE/>
        <w:autoSpaceDN/>
        <w:adjustRightInd/>
        <w:spacing w:after="1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dohodou Stran.</w:t>
      </w:r>
      <w:r w:rsidR="00B81A63">
        <w:rPr>
          <w:rFonts w:ascii="Calibri" w:hAnsi="Calibri"/>
          <w:color w:val="000000" w:themeColor="text1"/>
          <w:sz w:val="22"/>
          <w:szCs w:val="22"/>
        </w:rPr>
        <w:t>“</w:t>
      </w:r>
    </w:p>
    <w:p w14:paraId="76B2BB1D" w14:textId="289E0F67" w:rsidR="00644162" w:rsidRPr="007E669B" w:rsidRDefault="00644162" w:rsidP="007E669B">
      <w:pPr>
        <w:numPr>
          <w:ilvl w:val="1"/>
          <w:numId w:val="6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A72925">
        <w:rPr>
          <w:rFonts w:asciiTheme="minorHAnsi" w:hAnsiTheme="minorHAnsi"/>
          <w:sz w:val="22"/>
          <w:szCs w:val="22"/>
        </w:rPr>
        <w:t xml:space="preserve">účinností </w:t>
      </w:r>
      <w:r w:rsidRPr="007E669B">
        <w:rPr>
          <w:rFonts w:asciiTheme="minorHAnsi" w:hAnsiTheme="minorHAnsi"/>
          <w:sz w:val="22"/>
          <w:szCs w:val="22"/>
        </w:rPr>
        <w:t>ode Dne účinnosti tohoto Dodatku</w:t>
      </w:r>
      <w:r w:rsidRPr="00A72925">
        <w:rPr>
          <w:rFonts w:asciiTheme="minorHAnsi" w:hAnsiTheme="minorHAnsi"/>
          <w:sz w:val="22"/>
          <w:szCs w:val="22"/>
        </w:rPr>
        <w:t xml:space="preserve"> se Příloh</w:t>
      </w:r>
      <w:r>
        <w:rPr>
          <w:rFonts w:asciiTheme="minorHAnsi" w:hAnsiTheme="minorHAnsi"/>
          <w:sz w:val="22"/>
          <w:szCs w:val="22"/>
        </w:rPr>
        <w:t>a</w:t>
      </w:r>
      <w:r w:rsidRPr="00A729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3A doplňuje o následující řád</w:t>
      </w:r>
      <w:r w:rsidR="003B51C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k a částka souhrnného měsíčního a ročního Nájemného </w:t>
      </w:r>
      <w:r w:rsidR="00AD4A03">
        <w:rPr>
          <w:rFonts w:asciiTheme="minorHAnsi" w:hAnsiTheme="minorHAnsi"/>
          <w:sz w:val="22"/>
          <w:szCs w:val="22"/>
        </w:rPr>
        <w:t xml:space="preserve">v aktuální výši odrážející provedenou indexaci </w:t>
      </w:r>
      <w:r>
        <w:rPr>
          <w:rFonts w:asciiTheme="minorHAnsi" w:hAnsiTheme="minorHAnsi"/>
          <w:sz w:val="22"/>
          <w:szCs w:val="22"/>
        </w:rPr>
        <w:t>se adekvátně tomu upraví: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2420"/>
        <w:gridCol w:w="1496"/>
        <w:gridCol w:w="1375"/>
        <w:gridCol w:w="2243"/>
        <w:gridCol w:w="829"/>
      </w:tblGrid>
      <w:tr w:rsidR="00644162" w14:paraId="7BE1DC8F" w14:textId="77777777" w:rsidTr="003B51CE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4976" w14:textId="5CD6FDFA" w:rsidR="00644162" w:rsidRDefault="00644162" w:rsidP="004F35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Parkovací místa II</w:t>
            </w:r>
            <w:r w:rsidR="003B51CE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C82" w14:textId="72701AFB" w:rsidR="00644162" w:rsidRDefault="003B51CE" w:rsidP="004F35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oranžově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C7F" w14:textId="51C7FC47" w:rsidR="00644162" w:rsidRDefault="00644162" w:rsidP="004F35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míst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2BD" w14:textId="77777777" w:rsidR="00644162" w:rsidRDefault="00644162" w:rsidP="004F35C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 EUR/1 místo/měsíc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4E4" w14:textId="50FE3E7C" w:rsidR="00644162" w:rsidRDefault="003B51CE" w:rsidP="004F35C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644162">
              <w:rPr>
                <w:rFonts w:ascii="Calibri" w:hAnsi="Calibri"/>
                <w:sz w:val="22"/>
                <w:szCs w:val="22"/>
              </w:rPr>
              <w:t>00,00</w:t>
            </w:r>
          </w:p>
        </w:tc>
      </w:tr>
    </w:tbl>
    <w:p w14:paraId="0C09621D" w14:textId="5666D227" w:rsidR="00644162" w:rsidRPr="007E669B" w:rsidRDefault="00644162" w:rsidP="007E669B">
      <w:pPr>
        <w:numPr>
          <w:ilvl w:val="1"/>
          <w:numId w:val="6"/>
        </w:numPr>
        <w:overflowPunct/>
        <w:autoSpaceDE/>
        <w:autoSpaceDN/>
        <w:adjustRightInd/>
        <w:spacing w:before="120" w:after="120"/>
        <w:ind w:left="714" w:hanging="714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Strany se dohodly, že s </w:t>
      </w:r>
      <w:r w:rsidRPr="007E669B">
        <w:rPr>
          <w:rFonts w:asciiTheme="minorHAnsi" w:hAnsiTheme="minorHAnsi"/>
          <w:sz w:val="22"/>
          <w:szCs w:val="22"/>
        </w:rPr>
        <w:t>účinností ode Dne účinnosti tohoto Dodatku</w:t>
      </w:r>
      <w:r w:rsidRPr="00A72925">
        <w:rPr>
          <w:rFonts w:asciiTheme="minorHAnsi" w:hAnsiTheme="minorHAnsi"/>
          <w:sz w:val="22"/>
          <w:szCs w:val="22"/>
        </w:rPr>
        <w:t xml:space="preserve"> se </w:t>
      </w:r>
      <w:r>
        <w:rPr>
          <w:rFonts w:asciiTheme="minorHAnsi" w:hAnsiTheme="minorHAnsi"/>
          <w:sz w:val="22"/>
          <w:szCs w:val="22"/>
        </w:rPr>
        <w:t xml:space="preserve">do </w:t>
      </w:r>
      <w:r w:rsidRPr="00A72925">
        <w:rPr>
          <w:rFonts w:asciiTheme="minorHAnsi" w:hAnsiTheme="minorHAnsi"/>
          <w:sz w:val="22"/>
          <w:szCs w:val="22"/>
        </w:rPr>
        <w:t>Příloh</w:t>
      </w:r>
      <w:r>
        <w:rPr>
          <w:rFonts w:asciiTheme="minorHAnsi" w:hAnsiTheme="minorHAnsi"/>
          <w:sz w:val="22"/>
          <w:szCs w:val="22"/>
        </w:rPr>
        <w:t>y</w:t>
      </w:r>
      <w:r w:rsidRPr="00A7292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3B doplňuje nová část s vyznačením Parkovacích míst I</w:t>
      </w:r>
      <w:r w:rsidR="00964D08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</w:t>
      </w:r>
      <w:r w:rsidRPr="00A72925">
        <w:rPr>
          <w:rFonts w:asciiTheme="minorHAnsi" w:hAnsiTheme="minorHAnsi"/>
          <w:sz w:val="22"/>
          <w:szCs w:val="22"/>
        </w:rPr>
        <w:t>, která je připojena k tomuto Dodatku</w:t>
      </w:r>
      <w:r>
        <w:rPr>
          <w:rFonts w:asciiTheme="minorHAnsi" w:hAnsiTheme="minorHAnsi"/>
          <w:sz w:val="22"/>
          <w:szCs w:val="22"/>
        </w:rPr>
        <w:t xml:space="preserve"> jako příloha č. 1</w:t>
      </w:r>
      <w:r w:rsidRPr="00A72925">
        <w:rPr>
          <w:rFonts w:asciiTheme="minorHAnsi" w:hAnsiTheme="minorHAnsi"/>
          <w:sz w:val="22"/>
          <w:szCs w:val="22"/>
        </w:rPr>
        <w:t>.</w:t>
      </w:r>
    </w:p>
    <w:p w14:paraId="5F059CCB" w14:textId="77777777" w:rsidR="00644162" w:rsidRPr="00B609B7" w:rsidRDefault="00644162" w:rsidP="00644162">
      <w:pPr>
        <w:ind w:left="705" w:hanging="705"/>
        <w:rPr>
          <w:rFonts w:ascii="Calibri" w:hAnsi="Calibri"/>
          <w:color w:val="000000" w:themeColor="text1"/>
          <w:sz w:val="22"/>
          <w:szCs w:val="22"/>
        </w:rPr>
      </w:pPr>
    </w:p>
    <w:p w14:paraId="755D02AA" w14:textId="77777777" w:rsidR="00644162" w:rsidRPr="003C5FF2" w:rsidRDefault="00644162" w:rsidP="00644162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 xml:space="preserve">Článek </w:t>
      </w:r>
      <w:r>
        <w:rPr>
          <w:rFonts w:asciiTheme="minorHAnsi" w:hAnsiTheme="minorHAnsi"/>
          <w:b/>
          <w:sz w:val="22"/>
          <w:szCs w:val="22"/>
        </w:rPr>
        <w:t>4</w:t>
      </w:r>
      <w:r w:rsidRPr="00E93E3A">
        <w:rPr>
          <w:rFonts w:asciiTheme="minorHAnsi" w:hAnsiTheme="minorHAnsi"/>
          <w:b/>
          <w:sz w:val="22"/>
          <w:szCs w:val="22"/>
        </w:rPr>
        <w:t>.</w:t>
      </w:r>
    </w:p>
    <w:p w14:paraId="0C3C3BAE" w14:textId="77777777" w:rsidR="00644162" w:rsidRDefault="00644162" w:rsidP="00644162">
      <w:pPr>
        <w:jc w:val="center"/>
        <w:rPr>
          <w:rFonts w:asciiTheme="minorHAnsi" w:hAnsiTheme="minorHAnsi"/>
          <w:b/>
          <w:sz w:val="22"/>
          <w:szCs w:val="22"/>
        </w:rPr>
      </w:pPr>
      <w:r w:rsidRPr="00E93E3A">
        <w:rPr>
          <w:rFonts w:asciiTheme="minorHAnsi" w:hAnsiTheme="minorHAnsi"/>
          <w:b/>
          <w:sz w:val="22"/>
          <w:szCs w:val="22"/>
        </w:rPr>
        <w:t>Závěrečná ustanovení</w:t>
      </w:r>
    </w:p>
    <w:p w14:paraId="7DCA48DD" w14:textId="77777777" w:rsidR="00644162" w:rsidRPr="0030251F" w:rsidRDefault="00644162" w:rsidP="00644162">
      <w:pPr>
        <w:rPr>
          <w:rFonts w:asciiTheme="minorHAnsi" w:hAnsiTheme="minorHAnsi"/>
          <w:sz w:val="22"/>
          <w:szCs w:val="22"/>
        </w:rPr>
      </w:pPr>
    </w:p>
    <w:p w14:paraId="545A5180" w14:textId="77777777" w:rsidR="00644162" w:rsidRPr="00E93E3A" w:rsidRDefault="00644162" w:rsidP="00644162">
      <w:pPr>
        <w:rPr>
          <w:vanish/>
          <w:szCs w:val="22"/>
        </w:rPr>
      </w:pPr>
      <w:r>
        <w:rPr>
          <w:rFonts w:asciiTheme="minorHAnsi" w:hAnsiTheme="minorHAnsi"/>
          <w:sz w:val="22"/>
        </w:rPr>
        <w:t>4.1.</w:t>
      </w:r>
    </w:p>
    <w:p w14:paraId="27F58839" w14:textId="2FD43B57" w:rsidR="00644162" w:rsidRPr="001A3115" w:rsidRDefault="00644162" w:rsidP="00644162">
      <w:pPr>
        <w:pStyle w:val="Odstavecseseznamem"/>
        <w:numPr>
          <w:ilvl w:val="1"/>
          <w:numId w:val="8"/>
        </w:numPr>
        <w:autoSpaceDE/>
        <w:autoSpaceDN/>
        <w:adjustRightInd/>
        <w:spacing w:after="120"/>
        <w:jc w:val="both"/>
        <w:rPr>
          <w:rFonts w:asciiTheme="minorHAnsi" w:hAnsiTheme="minorHAnsi"/>
          <w:sz w:val="22"/>
          <w:szCs w:val="22"/>
        </w:rPr>
      </w:pPr>
      <w:bookmarkStart w:id="2" w:name="_Hlk43477341"/>
      <w:r>
        <w:rPr>
          <w:rFonts w:asciiTheme="minorHAnsi" w:hAnsiTheme="minorHAnsi"/>
          <w:sz w:val="22"/>
          <w:szCs w:val="22"/>
        </w:rPr>
        <w:tab/>
      </w:r>
      <w:r w:rsidRPr="001A3115">
        <w:rPr>
          <w:rFonts w:asciiTheme="minorHAnsi" w:hAnsiTheme="minorHAnsi"/>
          <w:sz w:val="22"/>
          <w:szCs w:val="22"/>
        </w:rPr>
        <w:t xml:space="preserve">Tento Dodatek nabývá platnosti dnem jeho podpisu </w:t>
      </w:r>
      <w:r w:rsidR="000300B4">
        <w:rPr>
          <w:rFonts w:asciiTheme="minorHAnsi" w:hAnsiTheme="minorHAnsi"/>
          <w:sz w:val="22"/>
          <w:szCs w:val="22"/>
        </w:rPr>
        <w:t xml:space="preserve">oběma </w:t>
      </w:r>
      <w:r w:rsidRPr="001A3115">
        <w:rPr>
          <w:rFonts w:asciiTheme="minorHAnsi" w:hAnsiTheme="minorHAnsi"/>
          <w:sz w:val="22"/>
          <w:szCs w:val="22"/>
        </w:rPr>
        <w:t xml:space="preserve">Stranami, a účinnosti dnem jeho </w:t>
      </w:r>
      <w:r>
        <w:rPr>
          <w:rFonts w:asciiTheme="minorHAnsi" w:hAnsiTheme="minorHAnsi"/>
          <w:sz w:val="22"/>
          <w:szCs w:val="22"/>
        </w:rPr>
        <w:tab/>
      </w:r>
      <w:r w:rsidRPr="001A3115">
        <w:rPr>
          <w:rFonts w:asciiTheme="minorHAnsi" w:hAnsiTheme="minorHAnsi"/>
          <w:sz w:val="22"/>
          <w:szCs w:val="22"/>
        </w:rPr>
        <w:t>zveřejnění v registru smluv dle zákona č. 340/2015 Sb., o registru smluv, v platném znění („</w:t>
      </w:r>
      <w:r w:rsidRPr="001A3115">
        <w:rPr>
          <w:rFonts w:asciiTheme="minorHAnsi" w:hAnsiTheme="minorHAnsi"/>
          <w:b/>
          <w:bCs/>
          <w:sz w:val="22"/>
          <w:szCs w:val="22"/>
        </w:rPr>
        <w:t xml:space="preserve">Den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1A3115">
        <w:rPr>
          <w:rFonts w:asciiTheme="minorHAnsi" w:hAnsiTheme="minorHAnsi"/>
          <w:b/>
          <w:bCs/>
          <w:sz w:val="22"/>
          <w:szCs w:val="22"/>
        </w:rPr>
        <w:t>účinnosti</w:t>
      </w:r>
      <w:r w:rsidRPr="001A3115">
        <w:rPr>
          <w:rFonts w:asciiTheme="minorHAnsi" w:hAnsiTheme="minorHAnsi"/>
          <w:sz w:val="22"/>
          <w:szCs w:val="22"/>
        </w:rPr>
        <w:t>“), pokud není v tomto Dodatku výslovně uvedeno jinak.</w:t>
      </w:r>
      <w:bookmarkEnd w:id="2"/>
      <w:r w:rsidR="007E669B">
        <w:rPr>
          <w:rFonts w:asciiTheme="minorHAnsi" w:hAnsiTheme="minorHAnsi"/>
          <w:sz w:val="22"/>
          <w:szCs w:val="22"/>
        </w:rPr>
        <w:t xml:space="preserve"> </w:t>
      </w:r>
    </w:p>
    <w:p w14:paraId="1177BBB1" w14:textId="77777777" w:rsidR="00644162" w:rsidRPr="00E93E3A" w:rsidRDefault="00644162" w:rsidP="00644162">
      <w:pPr>
        <w:numPr>
          <w:ilvl w:val="1"/>
          <w:numId w:val="8"/>
        </w:num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E93E3A">
        <w:rPr>
          <w:rFonts w:asciiTheme="minorHAnsi" w:hAnsiTheme="minorHAnsi"/>
          <w:sz w:val="22"/>
          <w:szCs w:val="22"/>
        </w:rPr>
        <w:t xml:space="preserve">Tento Dodatek byl vyhotoven ve 2 vyhotoveních v českém jazyce, z nichž každá ze Stran obdrží </w:t>
      </w:r>
      <w:r>
        <w:rPr>
          <w:rFonts w:asciiTheme="minorHAnsi" w:hAnsiTheme="minorHAnsi"/>
          <w:sz w:val="22"/>
          <w:szCs w:val="22"/>
        </w:rPr>
        <w:tab/>
      </w:r>
      <w:r w:rsidRPr="00E93E3A">
        <w:rPr>
          <w:rFonts w:asciiTheme="minorHAnsi" w:hAnsiTheme="minorHAnsi"/>
          <w:sz w:val="22"/>
          <w:szCs w:val="22"/>
        </w:rPr>
        <w:t xml:space="preserve">po jednom. </w:t>
      </w:r>
    </w:p>
    <w:p w14:paraId="396825A1" w14:textId="77777777" w:rsidR="00644162" w:rsidRPr="00E93E3A" w:rsidRDefault="00644162" w:rsidP="00644162">
      <w:pPr>
        <w:numPr>
          <w:ilvl w:val="1"/>
          <w:numId w:val="8"/>
        </w:num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  <w:bookmarkStart w:id="3" w:name="OLE_LINK5"/>
      <w:r>
        <w:rPr>
          <w:rFonts w:asciiTheme="minorHAnsi" w:hAnsiTheme="minorHAnsi"/>
          <w:sz w:val="22"/>
          <w:szCs w:val="22"/>
        </w:rPr>
        <w:tab/>
      </w:r>
      <w:r w:rsidRPr="00E93E3A">
        <w:rPr>
          <w:rFonts w:asciiTheme="minorHAnsi" w:hAnsiTheme="minorHAnsi"/>
          <w:sz w:val="22"/>
          <w:szCs w:val="22"/>
        </w:rPr>
        <w:t>Tento Dodatek se řídí českým právem.</w:t>
      </w:r>
    </w:p>
    <w:p w14:paraId="6B787165" w14:textId="77777777" w:rsidR="00644162" w:rsidRPr="0030251F" w:rsidRDefault="00644162" w:rsidP="00644162">
      <w:pPr>
        <w:numPr>
          <w:ilvl w:val="1"/>
          <w:numId w:val="8"/>
        </w:numPr>
        <w:overflowPunct/>
        <w:autoSpaceDE/>
        <w:autoSpaceDN/>
        <w:adjustRightInd/>
        <w:spacing w:after="120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Strany prohlašují, že Dodatek uzavírají svobodně, určitě, bez nátlaku a dle své svobodné vůle</w:t>
      </w:r>
      <w:r w:rsidRPr="0030251F">
        <w:rPr>
          <w:rFonts w:asciiTheme="minorHAnsi" w:hAnsiTheme="minorHAnsi"/>
          <w:sz w:val="22"/>
          <w:szCs w:val="22"/>
        </w:rPr>
        <w:t>.</w:t>
      </w:r>
    </w:p>
    <w:p w14:paraId="06A31CB7" w14:textId="77777777" w:rsidR="00644162" w:rsidRPr="0030251F" w:rsidRDefault="00644162" w:rsidP="00644162">
      <w:pPr>
        <w:pStyle w:val="Odstavecseseznamem"/>
        <w:rPr>
          <w:rFonts w:asciiTheme="minorHAnsi" w:hAnsiTheme="minorHAnsi"/>
          <w:sz w:val="22"/>
          <w:szCs w:val="22"/>
        </w:rPr>
      </w:pPr>
    </w:p>
    <w:p w14:paraId="3A91570C" w14:textId="77777777" w:rsidR="00644162" w:rsidRDefault="00644162" w:rsidP="006441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DŮKAZ ČEHOŽ Strany připojují k tomuto Dodatku výše uvedeného dne podpisy svých oprávněných zástupců. </w:t>
      </w:r>
    </w:p>
    <w:p w14:paraId="74C53488" w14:textId="77777777" w:rsidR="00644162" w:rsidRDefault="00644162" w:rsidP="00644162">
      <w:pPr>
        <w:rPr>
          <w:rFonts w:asciiTheme="minorHAnsi" w:hAnsiTheme="minorHAnsi"/>
          <w:sz w:val="22"/>
          <w:szCs w:val="22"/>
        </w:rPr>
      </w:pPr>
    </w:p>
    <w:p w14:paraId="4C7D490E" w14:textId="77777777" w:rsidR="00644162" w:rsidRPr="00225016" w:rsidRDefault="00644162" w:rsidP="00A12379">
      <w:pPr>
        <w:keepNext/>
        <w:rPr>
          <w:rFonts w:asciiTheme="minorHAnsi" w:hAnsiTheme="minorHAnsi"/>
          <w:b/>
          <w:sz w:val="22"/>
          <w:szCs w:val="22"/>
        </w:rPr>
      </w:pPr>
      <w:r w:rsidRPr="00225016">
        <w:rPr>
          <w:rFonts w:asciiTheme="minorHAnsi" w:hAnsiTheme="minorHAnsi"/>
          <w:b/>
          <w:sz w:val="22"/>
          <w:szCs w:val="22"/>
        </w:rPr>
        <w:t>Přílohy</w:t>
      </w:r>
      <w:r>
        <w:rPr>
          <w:rFonts w:asciiTheme="minorHAnsi" w:hAnsiTheme="minorHAnsi"/>
          <w:b/>
          <w:sz w:val="22"/>
          <w:szCs w:val="22"/>
        </w:rPr>
        <w:t xml:space="preserve"> Dodatku</w:t>
      </w:r>
      <w:r w:rsidRPr="00225016">
        <w:rPr>
          <w:rFonts w:asciiTheme="minorHAnsi" w:hAnsiTheme="minorHAnsi"/>
          <w:b/>
          <w:sz w:val="22"/>
          <w:szCs w:val="22"/>
        </w:rPr>
        <w:t>:</w:t>
      </w:r>
    </w:p>
    <w:p w14:paraId="68924ADD" w14:textId="0B893882" w:rsidR="00644162" w:rsidRDefault="00644162" w:rsidP="00964D08">
      <w:pPr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1: </w:t>
      </w:r>
      <w:r>
        <w:rPr>
          <w:rFonts w:asciiTheme="minorHAnsi" w:hAnsiTheme="minorHAnsi"/>
          <w:sz w:val="22"/>
          <w:szCs w:val="22"/>
        </w:rPr>
        <w:tab/>
        <w:t xml:space="preserve">Doplnění PŘÍLOHY Č. 3B Nájemní smlouvy – </w:t>
      </w:r>
      <w:r w:rsidRPr="00964D08">
        <w:rPr>
          <w:rFonts w:asciiTheme="minorHAnsi" w:hAnsiTheme="minorHAnsi"/>
          <w:caps/>
          <w:sz w:val="22"/>
          <w:szCs w:val="22"/>
        </w:rPr>
        <w:t>Vymezení úprav Nebytových prostor a orientační plánek Nebytových prostor</w:t>
      </w:r>
      <w:r>
        <w:rPr>
          <w:rFonts w:asciiTheme="minorHAnsi" w:hAnsiTheme="minorHAnsi"/>
          <w:sz w:val="22"/>
          <w:szCs w:val="22"/>
        </w:rPr>
        <w:t xml:space="preserve"> o plánek s vyznačením Parkovacích míst I</w:t>
      </w:r>
      <w:r w:rsidR="00964D08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</w:t>
      </w:r>
    </w:p>
    <w:bookmarkEnd w:id="3"/>
    <w:p w14:paraId="6E034209" w14:textId="77777777" w:rsidR="00964D08" w:rsidRDefault="00964D08" w:rsidP="00644162">
      <w:pPr>
        <w:jc w:val="center"/>
        <w:rPr>
          <w:rFonts w:asciiTheme="minorHAnsi" w:hAnsiTheme="minorHAnsi"/>
          <w:i/>
          <w:sz w:val="22"/>
          <w:szCs w:val="22"/>
          <w:lang w:val="en-US"/>
        </w:rPr>
      </w:pPr>
    </w:p>
    <w:p w14:paraId="4F4EEA3C" w14:textId="441829AA" w:rsidR="00644162" w:rsidRPr="00DB721C" w:rsidRDefault="00644162" w:rsidP="00644162">
      <w:pPr>
        <w:jc w:val="center"/>
        <w:rPr>
          <w:rFonts w:asciiTheme="minorHAnsi" w:hAnsiTheme="minorHAnsi"/>
          <w:i/>
          <w:sz w:val="22"/>
          <w:szCs w:val="22"/>
        </w:rPr>
      </w:pPr>
      <w:r w:rsidRPr="00DB721C">
        <w:rPr>
          <w:rFonts w:asciiTheme="minorHAnsi" w:hAnsiTheme="minorHAnsi"/>
          <w:i/>
          <w:sz w:val="22"/>
          <w:szCs w:val="22"/>
          <w:lang w:val="en-US"/>
        </w:rPr>
        <w:t>[PODPISY JSOU UVEDENY NA NÁSLEDUJÍCÍ STRANĚ]</w:t>
      </w:r>
    </w:p>
    <w:p w14:paraId="217CD37E" w14:textId="77777777" w:rsidR="00644162" w:rsidRDefault="00644162" w:rsidP="00644162">
      <w:pPr>
        <w:rPr>
          <w:rFonts w:asciiTheme="minorHAnsi" w:hAnsiTheme="minorHAnsi"/>
          <w:sz w:val="22"/>
          <w:szCs w:val="22"/>
        </w:rPr>
      </w:pPr>
    </w:p>
    <w:p w14:paraId="4CCA5E7E" w14:textId="77777777" w:rsidR="00644162" w:rsidRDefault="00644162" w:rsidP="00644162">
      <w:pPr>
        <w:rPr>
          <w:rFonts w:asciiTheme="minorHAnsi" w:hAnsiTheme="minorHAnsi"/>
          <w:sz w:val="22"/>
          <w:szCs w:val="22"/>
        </w:rPr>
      </w:pPr>
    </w:p>
    <w:p w14:paraId="0A97D9D3" w14:textId="77777777" w:rsidR="00644162" w:rsidRDefault="00644162" w:rsidP="006441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E8C2327" w14:textId="77777777" w:rsidR="00644162" w:rsidRPr="00AB7EFB" w:rsidRDefault="00644162" w:rsidP="006441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b/>
          <w:sz w:val="22"/>
          <w:szCs w:val="22"/>
        </w:rPr>
      </w:pPr>
      <w:r w:rsidRPr="00AB7EFB">
        <w:rPr>
          <w:rFonts w:asciiTheme="minorHAnsi" w:hAnsiTheme="minorHAnsi"/>
          <w:b/>
          <w:sz w:val="22"/>
          <w:szCs w:val="22"/>
        </w:rPr>
        <w:lastRenderedPageBreak/>
        <w:t>PODPISOVÁ STRANA</w:t>
      </w:r>
    </w:p>
    <w:p w14:paraId="612D9583" w14:textId="77777777" w:rsidR="00644162" w:rsidRDefault="00644162" w:rsidP="006441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sz w:val="22"/>
          <w:szCs w:val="22"/>
        </w:rPr>
      </w:pPr>
    </w:p>
    <w:p w14:paraId="2CCDB6A8" w14:textId="77777777" w:rsidR="00644162" w:rsidRPr="00203D5D" w:rsidRDefault="00644162" w:rsidP="006441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Pronajímatel</w:t>
      </w:r>
      <w:r w:rsidRPr="0030251F">
        <w:rPr>
          <w:rFonts w:asciiTheme="minorHAnsi" w:hAnsiTheme="minorHAnsi"/>
          <w:sz w:val="22"/>
          <w:szCs w:val="22"/>
        </w:rPr>
        <w:t>:</w:t>
      </w:r>
      <w:r w:rsidRPr="0030251F">
        <w:rPr>
          <w:rFonts w:asciiTheme="minorHAnsi" w:hAnsiTheme="minorHAnsi"/>
          <w:sz w:val="22"/>
          <w:szCs w:val="22"/>
        </w:rPr>
        <w:tab/>
      </w:r>
    </w:p>
    <w:p w14:paraId="6AE50C5E" w14:textId="77777777" w:rsidR="00644162" w:rsidRPr="00203D5D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Theme="minorHAnsi" w:hAnsiTheme="minorHAnsi"/>
          <w:b/>
          <w:bCs/>
          <w:sz w:val="22"/>
          <w:szCs w:val="22"/>
        </w:rPr>
        <w:t>P3 Prague Horní Počernice 1 s.r.o.</w:t>
      </w:r>
      <w:r w:rsidRPr="00203D5D">
        <w:rPr>
          <w:rFonts w:asciiTheme="minorHAnsi" w:hAnsiTheme="minorHAnsi"/>
          <w:b/>
          <w:bCs/>
          <w:sz w:val="22"/>
          <w:szCs w:val="22"/>
        </w:rPr>
        <w:tab/>
      </w:r>
    </w:p>
    <w:p w14:paraId="70185AF8" w14:textId="77777777" w:rsidR="00644162" w:rsidRPr="0030251F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7166E0CA" w14:textId="77777777" w:rsidR="00644162" w:rsidRPr="0030251F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12CA999A" w14:textId="77777777" w:rsidR="00644162" w:rsidRDefault="00644162" w:rsidP="00644162">
      <w:pPr>
        <w:tabs>
          <w:tab w:val="left" w:pos="538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…………………………. dne ……………………</w:t>
      </w:r>
      <w:r>
        <w:rPr>
          <w:rFonts w:ascii="Calibri" w:hAnsi="Calibri"/>
          <w:sz w:val="22"/>
          <w:szCs w:val="22"/>
        </w:rPr>
        <w:tab/>
        <w:t>V …………………………. dne ……………………</w:t>
      </w:r>
    </w:p>
    <w:p w14:paraId="017351EF" w14:textId="77777777" w:rsidR="00644162" w:rsidRDefault="00644162" w:rsidP="00644162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401AFF03" w14:textId="77777777" w:rsidR="00644162" w:rsidRDefault="00644162" w:rsidP="00644162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66B5F0FA" w14:textId="77777777" w:rsidR="00644162" w:rsidRDefault="00644162" w:rsidP="00644162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6CEA98C9" w14:textId="77777777" w:rsidR="00644162" w:rsidRDefault="00644162" w:rsidP="00644162">
      <w:pPr>
        <w:tabs>
          <w:tab w:val="left" w:pos="5387"/>
        </w:tabs>
        <w:rPr>
          <w:rFonts w:ascii="Calibri" w:hAnsi="Calibri"/>
          <w:sz w:val="22"/>
          <w:szCs w:val="22"/>
        </w:rPr>
      </w:pPr>
    </w:p>
    <w:p w14:paraId="7EF43B6C" w14:textId="77777777" w:rsidR="00644162" w:rsidRDefault="00644162" w:rsidP="00644162">
      <w:pPr>
        <w:tabs>
          <w:tab w:val="left" w:pos="5387"/>
        </w:tabs>
        <w:rPr>
          <w:rFonts w:ascii="Calibri" w:hAnsi="Calibri"/>
          <w:sz w:val="22"/>
          <w:szCs w:val="22"/>
        </w:rPr>
      </w:pPr>
      <w:r w:rsidRPr="00203D5D">
        <w:rPr>
          <w:rFonts w:ascii="Calibri" w:hAnsi="Calibri"/>
          <w:sz w:val="22"/>
          <w:szCs w:val="22"/>
        </w:rPr>
        <w:t>Podpis: ________________________</w:t>
      </w:r>
      <w:r>
        <w:rPr>
          <w:rFonts w:asciiTheme="minorHAnsi" w:hAnsiTheme="minorHAnsi"/>
          <w:sz w:val="22"/>
          <w:szCs w:val="22"/>
        </w:rPr>
        <w:tab/>
      </w:r>
      <w:r w:rsidRPr="00203D5D">
        <w:rPr>
          <w:rFonts w:ascii="Calibri" w:hAnsi="Calibri"/>
          <w:sz w:val="22"/>
          <w:szCs w:val="22"/>
        </w:rPr>
        <w:t>Podpis: __________</w:t>
      </w:r>
      <w:r>
        <w:rPr>
          <w:rFonts w:ascii="Calibri" w:hAnsi="Calibri"/>
          <w:sz w:val="22"/>
          <w:szCs w:val="22"/>
        </w:rPr>
        <w:t>__</w:t>
      </w:r>
      <w:r w:rsidRPr="00203D5D">
        <w:rPr>
          <w:rFonts w:ascii="Calibri" w:hAnsi="Calibri"/>
          <w:sz w:val="22"/>
          <w:szCs w:val="22"/>
        </w:rPr>
        <w:t>_________</w:t>
      </w:r>
    </w:p>
    <w:p w14:paraId="7A98875B" w14:textId="77777777" w:rsidR="00644162" w:rsidRPr="0030251F" w:rsidRDefault="00644162" w:rsidP="00644162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Pr="00203D5D">
        <w:rPr>
          <w:rFonts w:ascii="Calibri" w:hAnsi="Calibri"/>
          <w:sz w:val="22"/>
          <w:szCs w:val="22"/>
        </w:rPr>
        <w:t>méno:</w:t>
      </w:r>
      <w:r>
        <w:rPr>
          <w:rFonts w:ascii="Calibri" w:hAnsi="Calibri"/>
          <w:sz w:val="22"/>
          <w:szCs w:val="22"/>
        </w:rPr>
        <w:t xml:space="preserve"> </w:t>
      </w:r>
      <w:r w:rsidRPr="0030251F">
        <w:rPr>
          <w:rFonts w:asciiTheme="minorHAnsi" w:hAnsiTheme="minorHAnsi"/>
          <w:sz w:val="22"/>
          <w:szCs w:val="22"/>
        </w:rPr>
        <w:t>Tomáš Míček</w:t>
      </w:r>
      <w:r w:rsidRPr="0030251F">
        <w:rPr>
          <w:rFonts w:asciiTheme="minorHAnsi" w:hAnsiTheme="minorHAnsi"/>
          <w:sz w:val="22"/>
          <w:szCs w:val="22"/>
        </w:rPr>
        <w:tab/>
      </w:r>
      <w:r w:rsidRPr="00203D5D">
        <w:rPr>
          <w:rFonts w:ascii="Calibri" w:hAnsi="Calibri"/>
          <w:sz w:val="22"/>
          <w:szCs w:val="22"/>
        </w:rPr>
        <w:t>Jméno: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Katie Jane Schoultz</w:t>
      </w:r>
    </w:p>
    <w:p w14:paraId="488DA844" w14:textId="77777777" w:rsidR="00644162" w:rsidRDefault="00644162" w:rsidP="00644162">
      <w:pPr>
        <w:tabs>
          <w:tab w:val="left" w:pos="5387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="Calibri" w:hAnsi="Calibri"/>
          <w:sz w:val="22"/>
          <w:szCs w:val="22"/>
        </w:rPr>
        <w:t>Funkce: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jednatel</w:t>
      </w:r>
      <w:r w:rsidRPr="0030251F">
        <w:rPr>
          <w:rFonts w:asciiTheme="minorHAnsi" w:hAnsiTheme="minorHAnsi"/>
          <w:sz w:val="22"/>
          <w:szCs w:val="22"/>
        </w:rPr>
        <w:tab/>
      </w:r>
      <w:r w:rsidRPr="00203D5D">
        <w:rPr>
          <w:rFonts w:ascii="Calibri" w:hAnsi="Calibri"/>
          <w:sz w:val="22"/>
          <w:szCs w:val="22"/>
        </w:rPr>
        <w:t>Funkce: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jednatel</w:t>
      </w:r>
    </w:p>
    <w:p w14:paraId="7D7D1C6E" w14:textId="77777777" w:rsidR="00644162" w:rsidRPr="0030251F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43B89F19" w14:textId="77777777" w:rsidR="00644162" w:rsidRPr="0030251F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1CBC54BB" w14:textId="77777777" w:rsidR="00644162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</w:p>
    <w:p w14:paraId="000B4AD3" w14:textId="77777777" w:rsidR="00644162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Theme="minorHAnsi" w:hAnsiTheme="minorHAnsi"/>
          <w:sz w:val="22"/>
          <w:szCs w:val="22"/>
        </w:rPr>
        <w:t>Nájemce:</w:t>
      </w:r>
    </w:p>
    <w:p w14:paraId="4C423FAB" w14:textId="77777777" w:rsidR="00644162" w:rsidRPr="00203D5D" w:rsidRDefault="00644162" w:rsidP="00644162">
      <w:pPr>
        <w:tabs>
          <w:tab w:val="left" w:pos="5670"/>
        </w:tabs>
        <w:rPr>
          <w:rFonts w:asciiTheme="minorHAnsi" w:hAnsiTheme="minorHAnsi"/>
          <w:sz w:val="22"/>
          <w:szCs w:val="22"/>
        </w:rPr>
      </w:pPr>
      <w:r w:rsidRPr="00203D5D">
        <w:rPr>
          <w:rFonts w:ascii="Calibri" w:hAnsi="Calibri"/>
          <w:b/>
          <w:sz w:val="22"/>
          <w:szCs w:val="22"/>
        </w:rPr>
        <w:t>Česká pošta, s.p.</w:t>
      </w:r>
    </w:p>
    <w:p w14:paraId="249153BF" w14:textId="77777777" w:rsidR="00644162" w:rsidRDefault="00644162" w:rsidP="00644162">
      <w:pPr>
        <w:rPr>
          <w:rFonts w:ascii="Calibri" w:hAnsi="Calibri"/>
          <w:sz w:val="22"/>
          <w:szCs w:val="22"/>
        </w:rPr>
      </w:pPr>
    </w:p>
    <w:p w14:paraId="76469894" w14:textId="77777777" w:rsidR="00644162" w:rsidRDefault="00644162" w:rsidP="00644162">
      <w:pPr>
        <w:rPr>
          <w:rFonts w:ascii="Calibri" w:hAnsi="Calibri"/>
          <w:sz w:val="22"/>
          <w:szCs w:val="22"/>
        </w:rPr>
      </w:pPr>
    </w:p>
    <w:p w14:paraId="0D586FF0" w14:textId="77777777" w:rsidR="00644162" w:rsidRDefault="00644162" w:rsidP="00644162">
      <w:pPr>
        <w:tabs>
          <w:tab w:val="left" w:pos="538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…………………………. dne ……………………</w:t>
      </w:r>
      <w:r>
        <w:rPr>
          <w:rFonts w:ascii="Calibri" w:hAnsi="Calibri"/>
          <w:sz w:val="22"/>
          <w:szCs w:val="22"/>
        </w:rPr>
        <w:tab/>
      </w:r>
    </w:p>
    <w:p w14:paraId="14CAFB91" w14:textId="77777777" w:rsidR="00644162" w:rsidRDefault="00644162" w:rsidP="00644162">
      <w:pPr>
        <w:rPr>
          <w:rFonts w:ascii="Calibri" w:hAnsi="Calibri"/>
          <w:sz w:val="22"/>
          <w:szCs w:val="22"/>
        </w:rPr>
      </w:pPr>
    </w:p>
    <w:p w14:paraId="4A21B80D" w14:textId="77777777" w:rsidR="00644162" w:rsidRDefault="00644162" w:rsidP="00644162">
      <w:pPr>
        <w:rPr>
          <w:rFonts w:ascii="Calibri" w:hAnsi="Calibri"/>
          <w:sz w:val="22"/>
          <w:szCs w:val="22"/>
        </w:rPr>
      </w:pPr>
    </w:p>
    <w:p w14:paraId="0A9EA46A" w14:textId="77777777" w:rsidR="00644162" w:rsidRDefault="00644162" w:rsidP="00644162">
      <w:pPr>
        <w:rPr>
          <w:rFonts w:ascii="Calibri" w:hAnsi="Calibri"/>
          <w:sz w:val="22"/>
          <w:szCs w:val="22"/>
        </w:rPr>
      </w:pPr>
    </w:p>
    <w:p w14:paraId="03163A3F" w14:textId="77777777" w:rsidR="00644162" w:rsidRDefault="00644162" w:rsidP="00644162">
      <w:pPr>
        <w:rPr>
          <w:rFonts w:ascii="Calibri" w:hAnsi="Calibri"/>
          <w:sz w:val="22"/>
          <w:szCs w:val="22"/>
        </w:rPr>
      </w:pPr>
    </w:p>
    <w:p w14:paraId="06C53E29" w14:textId="77777777" w:rsidR="00644162" w:rsidRPr="009748B8" w:rsidRDefault="00644162" w:rsidP="00644162">
      <w:pPr>
        <w:rPr>
          <w:rFonts w:ascii="Calibri" w:hAnsi="Calibri"/>
          <w:sz w:val="22"/>
          <w:szCs w:val="22"/>
        </w:rPr>
      </w:pPr>
      <w:r w:rsidRPr="009748B8">
        <w:rPr>
          <w:rFonts w:ascii="Calibri" w:hAnsi="Calibri"/>
          <w:sz w:val="22"/>
          <w:szCs w:val="22"/>
        </w:rPr>
        <w:t>Podpis: __________________________</w:t>
      </w:r>
      <w:r w:rsidRPr="009748B8">
        <w:rPr>
          <w:rFonts w:ascii="Calibri" w:hAnsi="Calibri"/>
          <w:sz w:val="22"/>
          <w:szCs w:val="22"/>
        </w:rPr>
        <w:tab/>
      </w:r>
      <w:r w:rsidRPr="009748B8">
        <w:rPr>
          <w:rFonts w:ascii="Calibri" w:hAnsi="Calibri"/>
          <w:sz w:val="22"/>
          <w:szCs w:val="22"/>
        </w:rPr>
        <w:tab/>
        <w:t xml:space="preserve">         Podpis: __________________________</w:t>
      </w:r>
    </w:p>
    <w:p w14:paraId="57EE5202" w14:textId="3FA55043" w:rsidR="00644162" w:rsidRPr="009748B8" w:rsidRDefault="00644162" w:rsidP="00644162">
      <w:pPr>
        <w:rPr>
          <w:rFonts w:ascii="Calibri" w:hAnsi="Calibri"/>
          <w:sz w:val="22"/>
          <w:szCs w:val="22"/>
        </w:rPr>
      </w:pPr>
      <w:r w:rsidRPr="009748B8">
        <w:rPr>
          <w:rFonts w:ascii="Calibri" w:hAnsi="Calibri"/>
          <w:sz w:val="22"/>
          <w:szCs w:val="22"/>
        </w:rPr>
        <w:t xml:space="preserve">Jméno: </w:t>
      </w:r>
      <w:r w:rsidRPr="009748B8">
        <w:rPr>
          <w:rFonts w:ascii="Calibri" w:hAnsi="Calibri"/>
          <w:sz w:val="22"/>
          <w:szCs w:val="22"/>
        </w:rPr>
        <w:tab/>
        <w:t>Ing. Oldřich Vytiska MBA, MPA</w:t>
      </w:r>
      <w:r w:rsidRPr="009748B8">
        <w:rPr>
          <w:rFonts w:ascii="Calibri" w:hAnsi="Calibri"/>
          <w:sz w:val="22"/>
          <w:szCs w:val="22"/>
        </w:rPr>
        <w:tab/>
      </w:r>
      <w:r w:rsidRPr="009748B8">
        <w:rPr>
          <w:rFonts w:ascii="Calibri" w:hAnsi="Calibri"/>
          <w:sz w:val="22"/>
          <w:szCs w:val="22"/>
        </w:rPr>
        <w:tab/>
        <w:t xml:space="preserve">         Jméno: Bc. Jiří Staněk</w:t>
      </w:r>
    </w:p>
    <w:p w14:paraId="6CCD0083" w14:textId="77777777" w:rsidR="00644162" w:rsidRPr="009748B8" w:rsidRDefault="00644162" w:rsidP="00644162">
      <w:pPr>
        <w:rPr>
          <w:rFonts w:ascii="Calibri" w:hAnsi="Calibri"/>
          <w:sz w:val="22"/>
          <w:szCs w:val="22"/>
        </w:rPr>
      </w:pPr>
      <w:r w:rsidRPr="009748B8">
        <w:rPr>
          <w:rFonts w:ascii="Calibri" w:hAnsi="Calibri"/>
          <w:sz w:val="22"/>
          <w:szCs w:val="22"/>
        </w:rPr>
        <w:t xml:space="preserve">Funkce: ředitel úseku správa majetku a </w:t>
      </w:r>
      <w:r w:rsidRPr="009748B8">
        <w:rPr>
          <w:rFonts w:ascii="Calibri" w:hAnsi="Calibri"/>
          <w:sz w:val="22"/>
          <w:szCs w:val="22"/>
        </w:rPr>
        <w:tab/>
      </w:r>
      <w:r w:rsidRPr="009748B8">
        <w:rPr>
          <w:rFonts w:ascii="Calibri" w:hAnsi="Calibri"/>
          <w:sz w:val="22"/>
          <w:szCs w:val="22"/>
        </w:rPr>
        <w:tab/>
        <w:t xml:space="preserve">         Funkce: manažer útvaru správa majetku</w:t>
      </w:r>
    </w:p>
    <w:p w14:paraId="0F99A4CB" w14:textId="77777777" w:rsidR="00644162" w:rsidRPr="00225016" w:rsidRDefault="00644162" w:rsidP="00644162">
      <w:pPr>
        <w:rPr>
          <w:rFonts w:ascii="Calibri" w:hAnsi="Calibri"/>
          <w:sz w:val="22"/>
          <w:szCs w:val="22"/>
        </w:rPr>
      </w:pPr>
      <w:r w:rsidRPr="009748B8">
        <w:rPr>
          <w:rFonts w:ascii="Calibri" w:hAnsi="Calibri"/>
          <w:sz w:val="22"/>
          <w:szCs w:val="22"/>
        </w:rPr>
        <w:t>strategické investice</w:t>
      </w:r>
    </w:p>
    <w:p w14:paraId="1453B553" w14:textId="77777777" w:rsidR="00644162" w:rsidRDefault="00644162" w:rsidP="00644162">
      <w:pPr>
        <w:rPr>
          <w:rFonts w:ascii="Calibri" w:hAnsi="Calibri"/>
          <w:sz w:val="22"/>
          <w:szCs w:val="22"/>
        </w:rPr>
      </w:pPr>
    </w:p>
    <w:p w14:paraId="6A5FDFC1" w14:textId="77777777" w:rsidR="00644162" w:rsidRDefault="00644162" w:rsidP="006441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B17EE90" w14:textId="77777777" w:rsidR="00644162" w:rsidRPr="003227C4" w:rsidRDefault="00644162" w:rsidP="00644162">
      <w:pPr>
        <w:spacing w:before="60" w:after="120"/>
        <w:jc w:val="center"/>
        <w:rPr>
          <w:rFonts w:ascii="Calibri" w:hAnsi="Calibri"/>
          <w:b/>
          <w:sz w:val="22"/>
          <w:szCs w:val="22"/>
        </w:rPr>
      </w:pPr>
      <w:r w:rsidRPr="003227C4">
        <w:rPr>
          <w:rFonts w:ascii="Calibri" w:hAnsi="Calibri"/>
          <w:b/>
          <w:sz w:val="22"/>
          <w:szCs w:val="22"/>
        </w:rPr>
        <w:lastRenderedPageBreak/>
        <w:t>Příloha č. 1 Dodatku</w:t>
      </w:r>
    </w:p>
    <w:p w14:paraId="60280964" w14:textId="77777777" w:rsidR="00644162" w:rsidRDefault="00644162" w:rsidP="00644162">
      <w:pPr>
        <w:spacing w:before="60" w:after="120"/>
        <w:jc w:val="center"/>
        <w:rPr>
          <w:rFonts w:asciiTheme="minorHAnsi" w:hAnsiTheme="minorHAnsi"/>
          <w:sz w:val="22"/>
          <w:szCs w:val="22"/>
        </w:rPr>
      </w:pPr>
    </w:p>
    <w:p w14:paraId="7AFD1D90" w14:textId="77777777" w:rsidR="00644162" w:rsidRDefault="00644162" w:rsidP="00644162">
      <w:pPr>
        <w:spacing w:before="60"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Doplnění PŘÍLOHY Č. 3B Nájemní smlouvy – </w:t>
      </w:r>
      <w:r w:rsidRPr="00964D08">
        <w:rPr>
          <w:rFonts w:asciiTheme="minorHAnsi" w:hAnsiTheme="minorHAnsi"/>
          <w:caps/>
          <w:sz w:val="22"/>
          <w:szCs w:val="22"/>
        </w:rPr>
        <w:t>Vymezení úprav Nebytových prostor a orientační plánek Nebytových prostor</w:t>
      </w:r>
    </w:p>
    <w:p w14:paraId="5B640E27" w14:textId="11228161" w:rsidR="00644162" w:rsidRDefault="00644162" w:rsidP="00644162">
      <w:pPr>
        <w:spacing w:before="60" w:after="120"/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 plánek s vyznačením Parkovacích míst I</w:t>
      </w:r>
      <w:r w:rsidR="00964D08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I</w:t>
      </w:r>
      <w:r w:rsidR="00F143D5">
        <w:rPr>
          <w:rFonts w:asciiTheme="minorHAnsi" w:hAnsiTheme="minorHAnsi"/>
          <w:sz w:val="22"/>
          <w:szCs w:val="22"/>
        </w:rPr>
        <w:t xml:space="preserve"> - </w:t>
      </w:r>
      <w:r w:rsidR="00F143D5" w:rsidRPr="00F143D5">
        <w:rPr>
          <w:rFonts w:ascii="Calibri" w:hAnsi="Calibri"/>
          <w:b/>
          <w:sz w:val="22"/>
          <w:szCs w:val="22"/>
        </w:rPr>
        <w:t>vyznačeno oranžově</w:t>
      </w:r>
    </w:p>
    <w:p w14:paraId="287FDD4A" w14:textId="77777777" w:rsidR="00644162" w:rsidRDefault="00644162" w:rsidP="00644162">
      <w:pPr>
        <w:spacing w:before="60" w:after="120"/>
        <w:jc w:val="center"/>
        <w:rPr>
          <w:rFonts w:ascii="Calibri" w:hAnsi="Calibri"/>
          <w:sz w:val="22"/>
          <w:szCs w:val="22"/>
        </w:rPr>
      </w:pPr>
    </w:p>
    <w:p w14:paraId="4C5921AB" w14:textId="14FD62D8" w:rsidR="00644162" w:rsidRDefault="00644162" w:rsidP="00644162">
      <w:pPr>
        <w:spacing w:before="60" w:after="120"/>
        <w:jc w:val="center"/>
        <w:rPr>
          <w:rFonts w:ascii="Calibri" w:hAnsi="Calibri"/>
          <w:sz w:val="22"/>
          <w:szCs w:val="22"/>
        </w:rPr>
      </w:pPr>
    </w:p>
    <w:p w14:paraId="4F9AAB51" w14:textId="0F2BC811" w:rsidR="00F143D5" w:rsidRDefault="00F143D5" w:rsidP="00F143D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b/>
          <w:sz w:val="22"/>
          <w:szCs w:val="22"/>
        </w:rPr>
      </w:pPr>
    </w:p>
    <w:p w14:paraId="1DA6DC44" w14:textId="255CD700" w:rsidR="00F143D5" w:rsidRDefault="00F143D5" w:rsidP="00F143D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b/>
          <w:sz w:val="22"/>
          <w:szCs w:val="22"/>
        </w:rPr>
      </w:pPr>
      <w:bookmarkStart w:id="4" w:name="_GoBack"/>
      <w:bookmarkEnd w:id="4"/>
    </w:p>
    <w:p w14:paraId="75B0DA9C" w14:textId="1CBF9B0B" w:rsidR="00F143D5" w:rsidRPr="00F143D5" w:rsidRDefault="00F143D5" w:rsidP="00F143D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b/>
          <w:sz w:val="22"/>
          <w:szCs w:val="22"/>
        </w:rPr>
      </w:pPr>
      <w:r>
        <w:rPr>
          <w:noProof/>
        </w:rPr>
        <w:drawing>
          <wp:inline distT="0" distB="0" distL="0" distR="0" wp14:anchorId="7DABBEF2" wp14:editId="40C954D5">
            <wp:extent cx="4448175" cy="3963549"/>
            <wp:effectExtent l="0" t="0" r="0" b="0"/>
            <wp:docPr id="1" name="Picture 1" descr="cid:image023.png@01D74331.F20A9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23.png@01D74331.F20A9F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718" cy="398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7D048" w14:textId="74FFD0E2" w:rsidR="00F44A9D" w:rsidRPr="00964D08" w:rsidRDefault="00F44A9D" w:rsidP="00964D0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ascii="Calibri" w:hAnsi="Calibri"/>
          <w:b/>
          <w:sz w:val="22"/>
          <w:szCs w:val="22"/>
        </w:rPr>
      </w:pPr>
    </w:p>
    <w:sectPr w:rsidR="00F44A9D" w:rsidRPr="00964D08" w:rsidSect="00363F0D">
      <w:footerReference w:type="default" r:id="rId9"/>
      <w:pgSz w:w="11907" w:h="16840" w:code="9"/>
      <w:pgMar w:top="993" w:right="1418" w:bottom="993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C211" w14:textId="77777777" w:rsidR="00E846AC" w:rsidRDefault="00E846AC">
      <w:r>
        <w:separator/>
      </w:r>
    </w:p>
  </w:endnote>
  <w:endnote w:type="continuationSeparator" w:id="0">
    <w:p w14:paraId="7E84478C" w14:textId="77777777" w:rsidR="00E846AC" w:rsidRDefault="00E8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C009" w14:textId="77777777" w:rsidR="00363F0D" w:rsidRPr="00CB2D66" w:rsidRDefault="00E846AC" w:rsidP="00363F0D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D9C2F" w14:textId="77777777" w:rsidR="00E846AC" w:rsidRDefault="00E846AC">
      <w:r>
        <w:separator/>
      </w:r>
    </w:p>
  </w:footnote>
  <w:footnote w:type="continuationSeparator" w:id="0">
    <w:p w14:paraId="00B458E8" w14:textId="77777777" w:rsidR="00E846AC" w:rsidRDefault="00E8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B8F"/>
    <w:multiLevelType w:val="hybridMultilevel"/>
    <w:tmpl w:val="A7E0E6C4"/>
    <w:lvl w:ilvl="0" w:tplc="04090017">
      <w:start w:val="1"/>
      <w:numFmt w:val="lowerLetter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09315A7"/>
    <w:multiLevelType w:val="hybridMultilevel"/>
    <w:tmpl w:val="FA2605C8"/>
    <w:lvl w:ilvl="0" w:tplc="3BE04B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3489E"/>
    <w:multiLevelType w:val="multilevel"/>
    <w:tmpl w:val="2D129B72"/>
    <w:lvl w:ilvl="0">
      <w:start w:val="1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EF1461E"/>
    <w:multiLevelType w:val="multilevel"/>
    <w:tmpl w:val="891EAB36"/>
    <w:lvl w:ilvl="0">
      <w:start w:val="1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tabs>
          <w:tab w:val="num" w:pos="997"/>
        </w:tabs>
        <w:ind w:left="997" w:hanging="7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7FC18F6"/>
    <w:multiLevelType w:val="hybridMultilevel"/>
    <w:tmpl w:val="3C9213C2"/>
    <w:lvl w:ilvl="0" w:tplc="3790E71C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002A28"/>
    <w:multiLevelType w:val="multilevel"/>
    <w:tmpl w:val="A90EFE1C"/>
    <w:lvl w:ilvl="0">
      <w:start w:val="1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997"/>
        </w:tabs>
        <w:ind w:left="997" w:hanging="7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406A73A3"/>
    <w:multiLevelType w:val="hybridMultilevel"/>
    <w:tmpl w:val="F6280C6A"/>
    <w:lvl w:ilvl="0" w:tplc="785E503C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E40F4"/>
    <w:multiLevelType w:val="multilevel"/>
    <w:tmpl w:val="43A2EE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9F111A"/>
    <w:multiLevelType w:val="multilevel"/>
    <w:tmpl w:val="E87A2A76"/>
    <w:lvl w:ilvl="0">
      <w:start w:val="1"/>
      <w:numFmt w:val="none"/>
      <w:pStyle w:val="Definition"/>
      <w:suff w:val="nothing"/>
      <w:lvlText w:val=""/>
      <w:lvlJc w:val="left"/>
      <w:pPr>
        <w:ind w:left="709"/>
      </w:pPr>
      <w:rPr>
        <w:rFonts w:cs="Times New Roman"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Definition3"/>
      <w:lvlText w:val="%1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2836"/>
        </w:tabs>
        <w:ind w:left="2836" w:hanging="709"/>
      </w:pPr>
      <w:rPr>
        <w:rFonts w:cs="Times New Roman" w:hint="default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916"/>
        </w:tabs>
        <w:ind w:left="3544" w:hanging="708"/>
      </w:pPr>
      <w:rPr>
        <w:rFonts w:cs="Times New Roman" w:hint="default"/>
        <w:vertAlign w:val="baseline"/>
      </w:rPr>
    </w:lvl>
    <w:lvl w:ilvl="5">
      <w:start w:val="1"/>
      <w:numFmt w:val="upperRoman"/>
      <w:lvlText w:val="(%6)"/>
      <w:lvlJc w:val="left"/>
      <w:pPr>
        <w:tabs>
          <w:tab w:val="num" w:pos="4624"/>
        </w:tabs>
        <w:ind w:left="4253" w:hanging="709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4962"/>
        </w:tabs>
        <w:ind w:left="4962" w:hanging="709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671"/>
        </w:tabs>
        <w:ind w:left="5671" w:hanging="709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6031"/>
        </w:tabs>
        <w:ind w:left="5954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6BAD0F77"/>
    <w:multiLevelType w:val="hybridMultilevel"/>
    <w:tmpl w:val="142C313A"/>
    <w:lvl w:ilvl="0" w:tplc="3790E71C">
      <w:start w:val="1"/>
      <w:numFmt w:val="upperLetter"/>
      <w:lvlText w:val="(%1)"/>
      <w:lvlJc w:val="left"/>
      <w:pPr>
        <w:ind w:left="1481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71521A31"/>
    <w:multiLevelType w:val="hybridMultilevel"/>
    <w:tmpl w:val="E272AA86"/>
    <w:lvl w:ilvl="0" w:tplc="0BE6CBFA">
      <w:start w:val="1"/>
      <w:numFmt w:val="upperLetter"/>
      <w:lvlText w:val="(%1)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B39E2"/>
    <w:multiLevelType w:val="multilevel"/>
    <w:tmpl w:val="A8FC418C"/>
    <w:lvl w:ilvl="0">
      <w:start w:val="1"/>
      <w:numFmt w:val="decimal"/>
      <w:lvlText w:val="%1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713"/>
        </w:tabs>
        <w:ind w:left="713" w:hanging="71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7B210153"/>
    <w:multiLevelType w:val="hybridMultilevel"/>
    <w:tmpl w:val="5AE80C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790E71C">
      <w:start w:val="1"/>
      <w:numFmt w:val="upperLetter"/>
      <w:lvlText w:val="(%2)"/>
      <w:lvlJc w:val="left"/>
      <w:pPr>
        <w:ind w:left="2160" w:hanging="360"/>
      </w:pPr>
      <w:rPr>
        <w:rFonts w:asciiTheme="minorHAnsi" w:hAnsiTheme="minorHAns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7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62"/>
    <w:rsid w:val="000300B4"/>
    <w:rsid w:val="001268A9"/>
    <w:rsid w:val="002A20AE"/>
    <w:rsid w:val="00352FC0"/>
    <w:rsid w:val="00366614"/>
    <w:rsid w:val="00373DC9"/>
    <w:rsid w:val="003B51CE"/>
    <w:rsid w:val="003E0A82"/>
    <w:rsid w:val="00465D32"/>
    <w:rsid w:val="004D03DA"/>
    <w:rsid w:val="0058649D"/>
    <w:rsid w:val="005B0355"/>
    <w:rsid w:val="0061464C"/>
    <w:rsid w:val="00644162"/>
    <w:rsid w:val="00675FCD"/>
    <w:rsid w:val="006B6C1F"/>
    <w:rsid w:val="00712768"/>
    <w:rsid w:val="007561A7"/>
    <w:rsid w:val="00762745"/>
    <w:rsid w:val="007821F9"/>
    <w:rsid w:val="007C29AF"/>
    <w:rsid w:val="007E669B"/>
    <w:rsid w:val="008619C7"/>
    <w:rsid w:val="00880539"/>
    <w:rsid w:val="00964D08"/>
    <w:rsid w:val="009748B8"/>
    <w:rsid w:val="00A018B3"/>
    <w:rsid w:val="00A12379"/>
    <w:rsid w:val="00AD4A03"/>
    <w:rsid w:val="00B13D17"/>
    <w:rsid w:val="00B530D2"/>
    <w:rsid w:val="00B81A63"/>
    <w:rsid w:val="00CB08CF"/>
    <w:rsid w:val="00D20E51"/>
    <w:rsid w:val="00D73E17"/>
    <w:rsid w:val="00D8348D"/>
    <w:rsid w:val="00DC1452"/>
    <w:rsid w:val="00DF5057"/>
    <w:rsid w:val="00E07D44"/>
    <w:rsid w:val="00E35B6B"/>
    <w:rsid w:val="00E846AC"/>
    <w:rsid w:val="00EC3DE9"/>
    <w:rsid w:val="00F01CED"/>
    <w:rsid w:val="00F143D5"/>
    <w:rsid w:val="00F2584E"/>
    <w:rsid w:val="00F44A9D"/>
    <w:rsid w:val="00FC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00AD6"/>
  <w15:chartTrackingRefBased/>
  <w15:docId w15:val="{FCE975F1-789C-44A3-BE8D-180DBB8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1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44162"/>
    <w:pPr>
      <w:tabs>
        <w:tab w:val="center" w:pos="4153"/>
        <w:tab w:val="right" w:pos="8306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644162"/>
    <w:rPr>
      <w:rFonts w:ascii="Times New Roman" w:eastAsia="MS Mincho" w:hAnsi="Times New Roman" w:cs="Times New Roman"/>
      <w:sz w:val="14"/>
      <w:szCs w:val="1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644162"/>
    <w:pPr>
      <w:widowControl w:val="0"/>
      <w:overflowPunct/>
      <w:autoSpaceDE/>
      <w:autoSpaceDN/>
      <w:adjustRightInd/>
      <w:spacing w:after="120"/>
      <w:jc w:val="left"/>
      <w:textAlignment w:val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44162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644162"/>
    <w:pPr>
      <w:overflowPunct/>
      <w:ind w:left="720"/>
      <w:contextualSpacing/>
      <w:jc w:val="left"/>
      <w:textAlignment w:val="auto"/>
    </w:pPr>
    <w:rPr>
      <w:lang w:eastAsia="en-US"/>
    </w:rPr>
  </w:style>
  <w:style w:type="paragraph" w:styleId="Nzev">
    <w:name w:val="Title"/>
    <w:basedOn w:val="Normln"/>
    <w:link w:val="NzevChar"/>
    <w:uiPriority w:val="99"/>
    <w:qFormat/>
    <w:rsid w:val="00644162"/>
    <w:pPr>
      <w:overflowPunct/>
      <w:autoSpaceDE/>
      <w:autoSpaceDN/>
      <w:adjustRightInd/>
      <w:spacing w:line="312" w:lineRule="auto"/>
      <w:jc w:val="center"/>
      <w:textAlignment w:val="auto"/>
    </w:pPr>
    <w:rPr>
      <w:rFonts w:ascii="Arial" w:eastAsia="Times New Roman" w:hAnsi="Arial" w:cs="Arial"/>
      <w:b/>
      <w:bCs/>
      <w:kern w:val="20"/>
      <w:sz w:val="28"/>
      <w:szCs w:val="28"/>
      <w:lang w:val="en-GB" w:eastAsia="de-DE"/>
    </w:rPr>
  </w:style>
  <w:style w:type="character" w:customStyle="1" w:styleId="NzevChar">
    <w:name w:val="Název Char"/>
    <w:basedOn w:val="Standardnpsmoodstavce"/>
    <w:link w:val="Nzev"/>
    <w:uiPriority w:val="99"/>
    <w:rsid w:val="00644162"/>
    <w:rPr>
      <w:rFonts w:ascii="Arial" w:eastAsia="Times New Roman" w:hAnsi="Arial" w:cs="Arial"/>
      <w:b/>
      <w:bCs/>
      <w:kern w:val="20"/>
      <w:sz w:val="28"/>
      <w:szCs w:val="28"/>
      <w:lang w:val="en-GB" w:eastAsia="de-DE"/>
    </w:rPr>
  </w:style>
  <w:style w:type="paragraph" w:customStyle="1" w:styleId="Co-names">
    <w:name w:val="Co-names"/>
    <w:basedOn w:val="Normln"/>
    <w:next w:val="Normln"/>
    <w:uiPriority w:val="99"/>
    <w:rsid w:val="00644162"/>
    <w:pPr>
      <w:overflowPunct/>
      <w:autoSpaceDE/>
      <w:autoSpaceDN/>
      <w:adjustRightInd/>
      <w:spacing w:before="137" w:after="137" w:line="280" w:lineRule="atLeast"/>
      <w:jc w:val="center"/>
      <w:textAlignment w:val="auto"/>
    </w:pPr>
    <w:rPr>
      <w:rFonts w:ascii="Arial" w:eastAsia="SimSun" w:hAnsi="Arial"/>
      <w:b/>
      <w:kern w:val="24"/>
      <w:szCs w:val="20"/>
      <w:lang w:val="en-GB" w:eastAsia="en-US"/>
    </w:rPr>
  </w:style>
  <w:style w:type="paragraph" w:customStyle="1" w:styleId="Centered">
    <w:name w:val="Centered"/>
    <w:basedOn w:val="Normln"/>
    <w:uiPriority w:val="99"/>
    <w:rsid w:val="00644162"/>
    <w:pPr>
      <w:widowControl w:val="0"/>
      <w:spacing w:after="240"/>
      <w:jc w:val="center"/>
    </w:pPr>
    <w:rPr>
      <w:rFonts w:ascii="Arial" w:eastAsia="Times New Roman" w:hAnsi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4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1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162"/>
    <w:rPr>
      <w:rFonts w:ascii="Times New Roman" w:eastAsia="MS Mincho" w:hAnsi="Times New Roman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39"/>
    <w:rsid w:val="0064416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">
    <w:name w:val="Definition"/>
    <w:basedOn w:val="Normln"/>
    <w:uiPriority w:val="99"/>
    <w:rsid w:val="00644162"/>
    <w:pPr>
      <w:widowControl w:val="0"/>
      <w:numPr>
        <w:numId w:val="7"/>
      </w:numPr>
      <w:spacing w:after="240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Definition2">
    <w:name w:val="Definition 2"/>
    <w:basedOn w:val="Normln"/>
    <w:uiPriority w:val="99"/>
    <w:rsid w:val="00644162"/>
    <w:pPr>
      <w:widowControl w:val="0"/>
      <w:numPr>
        <w:ilvl w:val="1"/>
        <w:numId w:val="7"/>
      </w:numPr>
      <w:spacing w:after="240"/>
    </w:pPr>
    <w:rPr>
      <w:rFonts w:ascii="Arial" w:eastAsia="Times New Roman" w:hAnsi="Arial"/>
      <w:sz w:val="20"/>
      <w:szCs w:val="20"/>
      <w:lang w:eastAsia="en-US"/>
    </w:rPr>
  </w:style>
  <w:style w:type="paragraph" w:customStyle="1" w:styleId="Definition3">
    <w:name w:val="Definition 3"/>
    <w:basedOn w:val="Normln"/>
    <w:uiPriority w:val="99"/>
    <w:rsid w:val="00644162"/>
    <w:pPr>
      <w:widowControl w:val="0"/>
      <w:numPr>
        <w:ilvl w:val="2"/>
        <w:numId w:val="7"/>
      </w:numPr>
      <w:spacing w:after="240"/>
    </w:pPr>
    <w:rPr>
      <w:rFonts w:ascii="Arial" w:eastAsia="Times New Roman" w:hAnsi="Arial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1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162"/>
    <w:rPr>
      <w:rFonts w:ascii="Segoe UI" w:eastAsia="MS Mincho" w:hAnsi="Segoe UI" w:cs="Segoe UI"/>
      <w:sz w:val="18"/>
      <w:szCs w:val="1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355"/>
    <w:rPr>
      <w:rFonts w:ascii="Times New Roman" w:eastAsia="MS Mincho" w:hAnsi="Times New Roman" w:cs="Times New Roman"/>
      <w:b/>
      <w:bCs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2584E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84E"/>
    <w:rPr>
      <w:rFonts w:ascii="Times New Roman" w:eastAsia="MS Mincho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23.png@01D74331.F20A9F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1404</Words>
  <Characters>8286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</dc:creator>
  <cp:keywords/>
  <dc:description/>
  <cp:lastModifiedBy>Štěpánka Kefurtová</cp:lastModifiedBy>
  <cp:revision>5</cp:revision>
  <dcterms:created xsi:type="dcterms:W3CDTF">2021-06-21T09:45:00Z</dcterms:created>
  <dcterms:modified xsi:type="dcterms:W3CDTF">2021-06-28T09:49:00Z</dcterms:modified>
</cp:coreProperties>
</file>