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  <w:b/>
        </w:rPr>
        <w:t>Nakladatelství C. H. Beck, s.r.o.,</w:t>
      </w:r>
    </w:p>
    <w:p w:rsidR="008109B4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se sídlem Jungmannova 750/34, Praha 1, PSČ 110 00,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IČ: 24146978, DIČ: CZ24146978,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zastoupena </w:t>
      </w:r>
      <w:r w:rsidR="009261E3" w:rsidRPr="009261E3">
        <w:rPr>
          <w:rFonts w:cs="Arial"/>
          <w:highlight w:val="black"/>
        </w:rPr>
        <w:t>………………………………………………….</w:t>
      </w:r>
      <w:r w:rsidR="008109B4" w:rsidRPr="00EF3CDF">
        <w:rPr>
          <w:rFonts w:cs="Arial"/>
        </w:rPr>
        <w:t xml:space="preserve"> </w:t>
      </w:r>
    </w:p>
    <w:p w:rsidR="00960A36" w:rsidRPr="00EF3CDF" w:rsidRDefault="00960A3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bankovní spojení: </w:t>
      </w:r>
      <w:r w:rsidR="009261E3" w:rsidRPr="009261E3">
        <w:rPr>
          <w:rStyle w:val="platne1"/>
          <w:rFonts w:cs="Arial"/>
          <w:highlight w:val="black"/>
        </w:rPr>
        <w:t>………………………………….</w:t>
      </w:r>
      <w:r w:rsidRPr="009261E3">
        <w:rPr>
          <w:rStyle w:val="platne1"/>
          <w:rFonts w:cs="Arial"/>
          <w:highlight w:val="black"/>
        </w:rPr>
        <w:t>,</w:t>
      </w:r>
      <w:r w:rsidRPr="00EF3CDF">
        <w:rPr>
          <w:rStyle w:val="platne1"/>
          <w:rFonts w:cs="Arial"/>
        </w:rPr>
        <w:t xml:space="preserve"> </w:t>
      </w:r>
      <w:proofErr w:type="spellStart"/>
      <w:r w:rsidRPr="00EF3CDF">
        <w:rPr>
          <w:rStyle w:val="platne1"/>
          <w:rFonts w:cs="Arial"/>
        </w:rPr>
        <w:t>UniCredit</w:t>
      </w:r>
      <w:proofErr w:type="spellEnd"/>
      <w:r w:rsidRPr="00EF3CDF">
        <w:rPr>
          <w:rStyle w:val="platne1"/>
          <w:rFonts w:cs="Arial"/>
        </w:rPr>
        <w:t xml:space="preserve"> Bank Czech Republic, a.s., 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zapsané v obchodním rejstříku vedeném Městským soudem v Praze, odd. C, </w:t>
      </w:r>
      <w:proofErr w:type="spellStart"/>
      <w:r w:rsidRPr="00EF3CDF">
        <w:rPr>
          <w:rFonts w:cs="Arial"/>
        </w:rPr>
        <w:t>vl</w:t>
      </w:r>
      <w:proofErr w:type="spellEnd"/>
      <w:r w:rsidRPr="00EF3CDF">
        <w:rPr>
          <w:rFonts w:cs="Arial"/>
        </w:rPr>
        <w:t>. 182960,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„poskytovatel“</w:t>
      </w:r>
    </w:p>
    <w:p w:rsidR="003A045F" w:rsidRPr="00EF3CDF" w:rsidRDefault="003A045F" w:rsidP="008B63D9">
      <w:pPr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a</w:t>
      </w:r>
    </w:p>
    <w:p w:rsidR="00E52DBC" w:rsidRDefault="00E52DBC" w:rsidP="00E52DBC">
      <w:pPr>
        <w:spacing w:before="240" w:after="0"/>
        <w:ind w:left="284" w:right="260"/>
        <w:jc w:val="both"/>
        <w:rPr>
          <w:b/>
        </w:rPr>
      </w:pPr>
      <w:bookmarkStart w:id="0" w:name="jmeno_firmy"/>
      <w:bookmarkEnd w:id="0"/>
      <w:r>
        <w:rPr>
          <w:b/>
        </w:rPr>
        <w:t>Centrální nákup, příspěvková organizace,</w:t>
      </w:r>
    </w:p>
    <w:p w:rsidR="00E52DBC" w:rsidRDefault="00E52DBC" w:rsidP="00E52DBC">
      <w:pPr>
        <w:spacing w:after="0"/>
        <w:ind w:left="284" w:right="260"/>
        <w:jc w:val="both"/>
      </w:pPr>
      <w:r>
        <w:rPr>
          <w:rFonts w:cs="Arial"/>
        </w:rPr>
        <w:t xml:space="preserve">se sídlem </w:t>
      </w:r>
      <w:bookmarkStart w:id="1" w:name="ulice"/>
      <w:bookmarkEnd w:id="1"/>
      <w:r>
        <w:rPr>
          <w:rFonts w:cs="Arial"/>
        </w:rPr>
        <w:t>Vejprnická 663/56,</w:t>
      </w:r>
      <w:bookmarkStart w:id="2" w:name="mesto"/>
      <w:bookmarkEnd w:id="2"/>
      <w:r>
        <w:rPr>
          <w:rFonts w:cs="Arial"/>
        </w:rPr>
        <w:t xml:space="preserve"> Plzeň 3, PSČ </w:t>
      </w:r>
      <w:bookmarkStart w:id="3" w:name="psc"/>
      <w:bookmarkEnd w:id="3"/>
      <w:r>
        <w:rPr>
          <w:rFonts w:cs="Arial"/>
        </w:rPr>
        <w:t>318 00,</w:t>
      </w:r>
    </w:p>
    <w:p w:rsidR="00E52DBC" w:rsidRDefault="00E52DBC" w:rsidP="00E52DBC">
      <w:pPr>
        <w:spacing w:after="0"/>
        <w:ind w:left="284" w:right="260"/>
        <w:jc w:val="both"/>
      </w:pPr>
      <w:r>
        <w:rPr>
          <w:rFonts w:cs="Arial"/>
        </w:rPr>
        <w:t xml:space="preserve">IČ: </w:t>
      </w:r>
      <w:bookmarkStart w:id="4" w:name="ico"/>
      <w:bookmarkEnd w:id="4"/>
      <w:r>
        <w:rPr>
          <w:rFonts w:cs="Arial"/>
        </w:rPr>
        <w:t xml:space="preserve">72046635, </w:t>
      </w:r>
    </w:p>
    <w:p w:rsidR="00E52DBC" w:rsidRDefault="00E52DBC" w:rsidP="00E52DBC">
      <w:pPr>
        <w:spacing w:after="0" w:line="240" w:lineRule="auto"/>
        <w:ind w:left="284" w:right="260"/>
        <w:jc w:val="both"/>
        <w:rPr>
          <w:rFonts w:cs="Arial"/>
        </w:rPr>
      </w:pPr>
      <w:r>
        <w:rPr>
          <w:rFonts w:cs="Arial"/>
        </w:rPr>
        <w:t>zastoupena</w:t>
      </w:r>
      <w:bookmarkStart w:id="5" w:name="osoba"/>
      <w:bookmarkEnd w:id="5"/>
      <w:r>
        <w:rPr>
          <w:rFonts w:cs="Arial"/>
        </w:rPr>
        <w:t xml:space="preserve"> </w:t>
      </w:r>
      <w:r w:rsidR="009261E3" w:rsidRPr="009261E3">
        <w:rPr>
          <w:rFonts w:cs="Arial"/>
          <w:highlight w:val="black"/>
        </w:rPr>
        <w:t>……………………………………</w:t>
      </w:r>
      <w:r w:rsidRPr="009261E3">
        <w:rPr>
          <w:rFonts w:cs="Arial"/>
          <w:highlight w:val="black"/>
        </w:rPr>
        <w:t>,</w:t>
      </w:r>
      <w:r>
        <w:rPr>
          <w:rFonts w:cs="Arial"/>
        </w:rPr>
        <w:t xml:space="preserve"> ředitelkou,</w:t>
      </w:r>
    </w:p>
    <w:p w:rsidR="00E52DBC" w:rsidRDefault="00E52DBC" w:rsidP="00E52DBC">
      <w:pPr>
        <w:spacing w:after="0" w:line="240" w:lineRule="auto"/>
        <w:ind w:left="284" w:right="260"/>
        <w:jc w:val="both"/>
        <w:rPr>
          <w:rFonts w:cs="Arial"/>
        </w:rPr>
      </w:pPr>
      <w:r>
        <w:rPr>
          <w:rFonts w:cs="Arial"/>
        </w:rPr>
        <w:t xml:space="preserve">zapsaná v obchodním rejstříku vedeném </w:t>
      </w:r>
      <w:bookmarkStart w:id="6" w:name="soud"/>
      <w:bookmarkEnd w:id="6"/>
      <w:r>
        <w:rPr>
          <w:rFonts w:cs="Arial"/>
        </w:rPr>
        <w:t xml:space="preserve">Krajským soudem v Plzni v odd. </w:t>
      </w:r>
      <w:bookmarkStart w:id="7" w:name="spis"/>
      <w:bookmarkEnd w:id="7"/>
      <w:proofErr w:type="spellStart"/>
      <w:r>
        <w:rPr>
          <w:rFonts w:cs="Arial"/>
        </w:rPr>
        <w:t>Pr</w:t>
      </w:r>
      <w:proofErr w:type="spellEnd"/>
      <w:r>
        <w:rPr>
          <w:rFonts w:cs="Arial"/>
        </w:rPr>
        <w:t xml:space="preserve">., </w:t>
      </w:r>
      <w:proofErr w:type="spellStart"/>
      <w:r>
        <w:rPr>
          <w:rFonts w:cs="Arial"/>
        </w:rPr>
        <w:t>vl</w:t>
      </w:r>
      <w:proofErr w:type="spellEnd"/>
      <w:r>
        <w:rPr>
          <w:rFonts w:cs="Arial"/>
        </w:rPr>
        <w:t>. 723,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„uživatel“</w:t>
      </w: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64650A" w:rsidRDefault="0064650A" w:rsidP="0064650A">
      <w:pPr>
        <w:spacing w:after="0" w:line="240" w:lineRule="auto"/>
        <w:ind w:left="284" w:right="260"/>
        <w:jc w:val="both"/>
        <w:rPr>
          <w:rFonts w:cs="Arial"/>
        </w:rPr>
      </w:pPr>
      <w:r w:rsidRPr="00893F43">
        <w:rPr>
          <w:rFonts w:cs="Arial"/>
        </w:rPr>
        <w:t>se dohodl</w:t>
      </w:r>
      <w:r>
        <w:rPr>
          <w:rFonts w:cs="Arial"/>
        </w:rPr>
        <w:t>i</w:t>
      </w:r>
      <w:r w:rsidRPr="00893F43">
        <w:rPr>
          <w:rFonts w:cs="Arial"/>
        </w:rPr>
        <w:t xml:space="preserve"> na </w:t>
      </w:r>
      <w:r>
        <w:rPr>
          <w:rFonts w:cs="Arial"/>
        </w:rPr>
        <w:t xml:space="preserve">změně přílohy výše uvedené smlouvy uzavřené dne </w:t>
      </w:r>
      <w:r w:rsidR="00E52DBC">
        <w:rPr>
          <w:rFonts w:cs="Arial"/>
        </w:rPr>
        <w:t xml:space="preserve">7. 6. 2019 </w:t>
      </w:r>
    </w:p>
    <w:p w:rsidR="00CA66FD" w:rsidRPr="00EF3CDF" w:rsidRDefault="00CA66FD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E52DBC" w:rsidRDefault="0064650A" w:rsidP="0075488A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E52DBC">
        <w:rPr>
          <w:rFonts w:cs="Arial"/>
        </w:rPr>
        <w:t xml:space="preserve">Tento dodatek je vyhotoven ve dvou </w:t>
      </w:r>
      <w:r w:rsidR="00E52DBC" w:rsidRPr="00E52DBC">
        <w:rPr>
          <w:rFonts w:cs="Arial"/>
        </w:rPr>
        <w:t>vyhotoveních</w:t>
      </w:r>
      <w:r w:rsidRPr="00E52DBC">
        <w:rPr>
          <w:rFonts w:cs="Arial"/>
        </w:rPr>
        <w:t xml:space="preserve">, </w:t>
      </w:r>
      <w:r w:rsidR="00E52DBC" w:rsidRPr="00893F43">
        <w:rPr>
          <w:rFonts w:cs="Arial"/>
        </w:rPr>
        <w:t>z nichž poskytovatel a uživatel obdrží každý po jednom vyhotovení.</w:t>
      </w:r>
      <w:r w:rsidR="00E52DBC">
        <w:rPr>
          <w:rFonts w:cs="Arial"/>
        </w:rPr>
        <w:t xml:space="preserve"> Smluvní strany prohlašují a svými podpisy stvrzují, že si dodatek ke smlouvě před jeho podpisem přečetly, že byl uzavřen po vzájemném projednání, určitě, vážně a srozumitelně, nikoli v tísni ani za jinak nevýhodných podmínek.</w:t>
      </w:r>
    </w:p>
    <w:p w:rsidR="004E63B1" w:rsidRPr="00E52DBC" w:rsidRDefault="0064650A" w:rsidP="0075488A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E52DBC">
        <w:rPr>
          <w:rFonts w:cs="Arial"/>
        </w:rPr>
        <w:t>Ostatní ustanovení smlouvy zůstávají beze změn.</w:t>
      </w:r>
    </w:p>
    <w:p w:rsidR="0064650A" w:rsidRPr="004E63B1" w:rsidRDefault="0064650A" w:rsidP="004E63B1">
      <w:pPr>
        <w:pStyle w:val="Odstavecseseznamem"/>
        <w:numPr>
          <w:ilvl w:val="0"/>
          <w:numId w:val="9"/>
        </w:numPr>
        <w:spacing w:before="240" w:after="0" w:line="240" w:lineRule="auto"/>
        <w:ind w:left="709" w:right="261"/>
        <w:contextualSpacing w:val="0"/>
        <w:jc w:val="both"/>
        <w:rPr>
          <w:rFonts w:cs="Arial"/>
        </w:rPr>
      </w:pPr>
      <w:r w:rsidRPr="004E63B1">
        <w:rPr>
          <w:rFonts w:cs="Arial"/>
        </w:rPr>
        <w:t xml:space="preserve">Tento dodatek nabývá platnosti </w:t>
      </w:r>
      <w:r w:rsidR="00E52DBC" w:rsidRPr="00324A6B">
        <w:rPr>
          <w:rFonts w:cs="Arial"/>
        </w:rPr>
        <w:t>dnem jeho uzavření a účinnosti</w:t>
      </w:r>
      <w:r w:rsidR="00E52DBC">
        <w:rPr>
          <w:rFonts w:cs="Arial"/>
        </w:rPr>
        <w:t xml:space="preserve"> okamžikem uveřejnění v Registru smluv.</w:t>
      </w:r>
    </w:p>
    <w:p w:rsidR="0064650A" w:rsidRDefault="0064650A" w:rsidP="0064650A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:rsidR="00BC3520" w:rsidRDefault="00BC3520" w:rsidP="0064650A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:rsidR="0064650A" w:rsidRPr="00EF3CDF" w:rsidRDefault="0064650A" w:rsidP="0064650A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V Praze dne </w:t>
      </w:r>
      <w:proofErr w:type="gramStart"/>
      <w:r w:rsidR="009261E3">
        <w:rPr>
          <w:rFonts w:cs="Arial"/>
        </w:rPr>
        <w:t>22.6.2021</w:t>
      </w:r>
      <w:proofErr w:type="gramEnd"/>
      <w:r>
        <w:rPr>
          <w:rFonts w:cs="Arial"/>
        </w:rPr>
        <w:tab/>
      </w:r>
      <w:r w:rsidRPr="00EF3CDF">
        <w:rPr>
          <w:rFonts w:cs="Arial"/>
        </w:rPr>
        <w:t>V</w:t>
      </w:r>
      <w:r w:rsidR="00E52DBC">
        <w:rPr>
          <w:rFonts w:cs="Arial"/>
        </w:rPr>
        <w:t> </w:t>
      </w:r>
      <w:bookmarkStart w:id="8" w:name="mesto_firmy1"/>
      <w:bookmarkEnd w:id="8"/>
      <w:r w:rsidR="006A35EA">
        <w:rPr>
          <w:rFonts w:cs="Arial"/>
        </w:rPr>
        <w:t>Plz</w:t>
      </w:r>
      <w:r w:rsidR="00E52DBC">
        <w:rPr>
          <w:rFonts w:cs="Arial"/>
        </w:rPr>
        <w:t xml:space="preserve">ni </w:t>
      </w:r>
      <w:r w:rsidRPr="00EF3CDF">
        <w:rPr>
          <w:rFonts w:cs="Arial"/>
        </w:rPr>
        <w:t xml:space="preserve">dne </w:t>
      </w:r>
      <w:r w:rsidR="009261E3">
        <w:rPr>
          <w:rFonts w:cs="Arial"/>
        </w:rPr>
        <w:t>28.6.2021</w:t>
      </w:r>
    </w:p>
    <w:p w:rsidR="0064650A" w:rsidRDefault="0064650A" w:rsidP="0064650A">
      <w:pPr>
        <w:spacing w:after="0" w:line="240" w:lineRule="auto"/>
        <w:ind w:left="284" w:right="118"/>
        <w:jc w:val="both"/>
        <w:rPr>
          <w:rFonts w:cs="Arial"/>
        </w:rPr>
      </w:pPr>
    </w:p>
    <w:p w:rsidR="00BC3520" w:rsidRPr="00EF3CDF" w:rsidRDefault="00BC3520" w:rsidP="0064650A">
      <w:pPr>
        <w:spacing w:after="0" w:line="240" w:lineRule="auto"/>
        <w:ind w:left="284" w:right="118"/>
        <w:jc w:val="both"/>
        <w:rPr>
          <w:rFonts w:cs="Arial"/>
        </w:rPr>
      </w:pPr>
    </w:p>
    <w:p w:rsidR="0064650A" w:rsidRPr="00EF3CDF" w:rsidRDefault="0064650A" w:rsidP="0064650A">
      <w:pPr>
        <w:tabs>
          <w:tab w:val="left" w:pos="6096"/>
        </w:tabs>
        <w:spacing w:after="0" w:line="240" w:lineRule="auto"/>
        <w:ind w:left="284" w:right="118"/>
        <w:jc w:val="both"/>
        <w:rPr>
          <w:rFonts w:cs="Arial"/>
        </w:rPr>
      </w:pPr>
      <w:r w:rsidRPr="00EF3CDF">
        <w:rPr>
          <w:rFonts w:cs="Arial"/>
        </w:rPr>
        <w:t>_____________________________</w:t>
      </w:r>
      <w:r w:rsidRPr="00EF3CDF">
        <w:rPr>
          <w:rFonts w:cs="Arial"/>
        </w:rPr>
        <w:tab/>
        <w:t>_____________________________</w:t>
      </w:r>
    </w:p>
    <w:p w:rsidR="0064650A" w:rsidRPr="00EF3CDF" w:rsidRDefault="0064650A" w:rsidP="0064650A">
      <w:pPr>
        <w:tabs>
          <w:tab w:val="left" w:pos="6096"/>
        </w:tabs>
        <w:spacing w:after="0" w:line="240" w:lineRule="auto"/>
        <w:ind w:right="118"/>
        <w:jc w:val="both"/>
        <w:rPr>
          <w:rFonts w:cs="Arial"/>
          <w:b/>
        </w:rPr>
      </w:pPr>
      <w:r>
        <w:rPr>
          <w:rFonts w:cs="Arial"/>
          <w:b/>
        </w:rPr>
        <w:t xml:space="preserve">      </w:t>
      </w:r>
      <w:r w:rsidRPr="00EF3CDF">
        <w:rPr>
          <w:rFonts w:cs="Arial"/>
          <w:b/>
        </w:rPr>
        <w:t xml:space="preserve">Nakladatelství </w:t>
      </w:r>
      <w:proofErr w:type="spellStart"/>
      <w:proofErr w:type="gramStart"/>
      <w:r w:rsidRPr="00EF3CDF">
        <w:rPr>
          <w:rFonts w:cs="Arial"/>
          <w:b/>
        </w:rPr>
        <w:t>C.H.</w:t>
      </w:r>
      <w:proofErr w:type="gramEnd"/>
      <w:r w:rsidRPr="00EF3CDF">
        <w:rPr>
          <w:rFonts w:cs="Arial"/>
          <w:b/>
        </w:rPr>
        <w:t>Beck</w:t>
      </w:r>
      <w:proofErr w:type="spellEnd"/>
      <w:r w:rsidRPr="00EF3CDF">
        <w:rPr>
          <w:rFonts w:cs="Arial"/>
          <w:b/>
        </w:rPr>
        <w:t>, s.r.o.</w:t>
      </w:r>
      <w:r w:rsidRPr="00EF3CDF">
        <w:rPr>
          <w:rFonts w:cs="Arial"/>
          <w:b/>
        </w:rPr>
        <w:tab/>
      </w:r>
      <w:bookmarkStart w:id="9" w:name="jmeno_firmy2"/>
      <w:bookmarkEnd w:id="9"/>
      <w:r w:rsidR="006A35EA">
        <w:rPr>
          <w:rFonts w:cs="Arial"/>
          <w:b/>
        </w:rPr>
        <w:t>Centrální nákup, příspěvková organizace</w:t>
      </w:r>
    </w:p>
    <w:p w:rsidR="0064650A" w:rsidRDefault="0064650A" w:rsidP="0064650A">
      <w:pPr>
        <w:tabs>
          <w:tab w:val="left" w:pos="6096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  </w:t>
      </w:r>
      <w:r w:rsidR="009261E3" w:rsidRPr="009261E3">
        <w:rPr>
          <w:rFonts w:cs="Arial"/>
          <w:highlight w:val="black"/>
        </w:rPr>
        <w:t>…………………………………………</w:t>
      </w:r>
      <w:r w:rsidRPr="00EF3CDF">
        <w:rPr>
          <w:rFonts w:cs="Arial"/>
        </w:rPr>
        <w:tab/>
      </w:r>
      <w:bookmarkStart w:id="10" w:name="_GoBack"/>
      <w:bookmarkEnd w:id="10"/>
      <w:r w:rsidR="009261E3" w:rsidRPr="009261E3">
        <w:rPr>
          <w:rFonts w:cs="Arial"/>
          <w:highlight w:val="black"/>
        </w:rPr>
        <w:t>……………………………………………….</w:t>
      </w:r>
    </w:p>
    <w:p w:rsidR="0064650A" w:rsidRPr="00EF3CDF" w:rsidRDefault="0064650A" w:rsidP="0064650A">
      <w:pPr>
        <w:ind w:right="260"/>
        <w:jc w:val="both"/>
        <w:rPr>
          <w:rFonts w:cs="Arial"/>
        </w:rPr>
      </w:pPr>
    </w:p>
    <w:p w:rsidR="0064650A" w:rsidRPr="00EF3CDF" w:rsidRDefault="0064650A" w:rsidP="0064650A">
      <w:pPr>
        <w:pStyle w:val="Odstavecseseznamem"/>
        <w:spacing w:before="120" w:after="0" w:line="240" w:lineRule="auto"/>
        <w:ind w:left="0" w:right="260"/>
        <w:contextualSpacing w:val="0"/>
        <w:jc w:val="both"/>
        <w:rPr>
          <w:rFonts w:cs="Arial"/>
        </w:rPr>
      </w:pPr>
    </w:p>
    <w:p w:rsidR="00CA66FD" w:rsidRPr="00714B39" w:rsidRDefault="0000145D" w:rsidP="00C16EA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="004D7ED7">
        <w:rPr>
          <w:rFonts w:cs="Arial"/>
          <w:b/>
        </w:rPr>
        <w:lastRenderedPageBreak/>
        <w:t xml:space="preserve">      </w:t>
      </w:r>
      <w:r w:rsidR="00FE3D64">
        <w:rPr>
          <w:rFonts w:cs="Arial"/>
          <w:b/>
        </w:rPr>
        <w:t>PŘÍLOHA</w:t>
      </w:r>
      <w:r w:rsidR="00CA66FD" w:rsidRPr="00714B39">
        <w:rPr>
          <w:rFonts w:cs="Arial"/>
          <w:b/>
        </w:rPr>
        <w:t>:</w:t>
      </w:r>
      <w:r w:rsidR="00714B39">
        <w:rPr>
          <w:rFonts w:cs="Arial"/>
          <w:b/>
        </w:rPr>
        <w:t xml:space="preserve"> Rozsah </w:t>
      </w:r>
      <w:r w:rsidR="00A928C1">
        <w:rPr>
          <w:rFonts w:cs="Arial"/>
          <w:b/>
        </w:rPr>
        <w:t>licence</w:t>
      </w:r>
      <w:r w:rsidR="008B63D9">
        <w:rPr>
          <w:rFonts w:cs="Arial"/>
          <w:b/>
        </w:rPr>
        <w:tab/>
      </w:r>
    </w:p>
    <w:p w:rsidR="00CA66FD" w:rsidRPr="00CA66FD" w:rsidRDefault="00FE3D64" w:rsidP="00FE3D64">
      <w:pPr>
        <w:pStyle w:val="Odstavecseseznamem"/>
        <w:tabs>
          <w:tab w:val="left" w:pos="6360"/>
        </w:tabs>
        <w:spacing w:after="0" w:line="240" w:lineRule="auto"/>
        <w:ind w:left="567" w:right="260"/>
        <w:contextualSpacing w:val="0"/>
        <w:jc w:val="both"/>
        <w:rPr>
          <w:rFonts w:cs="Arial"/>
        </w:rPr>
      </w:pPr>
      <w:r>
        <w:rPr>
          <w:rFonts w:cs="Arial"/>
        </w:rPr>
        <w:tab/>
      </w:r>
    </w:p>
    <w:p w:rsidR="00DF3D27" w:rsidRPr="00DF3D27" w:rsidRDefault="00DF3D27" w:rsidP="00434511">
      <w:pPr>
        <w:pStyle w:val="Odstavecseseznamem"/>
        <w:numPr>
          <w:ilvl w:val="0"/>
          <w:numId w:val="7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Specifikace obsahu a počtu licencí</w:t>
      </w:r>
    </w:p>
    <w:p w:rsidR="008D2A9F" w:rsidRDefault="00CA66FD" w:rsidP="008D2A9F">
      <w:pPr>
        <w:spacing w:after="0" w:line="240" w:lineRule="auto"/>
        <w:ind w:left="284" w:right="260" w:firstLine="425"/>
        <w:jc w:val="both"/>
        <w:rPr>
          <w:rFonts w:cs="Arial"/>
        </w:rPr>
      </w:pPr>
      <w:r w:rsidRPr="00CA66FD">
        <w:rPr>
          <w:rFonts w:cs="Arial"/>
        </w:rPr>
        <w:t xml:space="preserve">Prostřednictvím uživatelského účtu bude uživatel oprávněn přistupovat a užívat výlučně následující </w:t>
      </w:r>
    </w:p>
    <w:p w:rsidR="00CA66FD" w:rsidRPr="00966FC9" w:rsidRDefault="00CA66FD" w:rsidP="008D2A9F">
      <w:pPr>
        <w:spacing w:after="0" w:line="240" w:lineRule="auto"/>
        <w:ind w:left="284" w:right="260" w:firstLine="425"/>
        <w:jc w:val="both"/>
        <w:rPr>
          <w:rFonts w:cs="Arial"/>
        </w:rPr>
      </w:pPr>
      <w:r w:rsidRPr="00966FC9">
        <w:rPr>
          <w:rFonts w:cs="Arial"/>
        </w:rPr>
        <w:t xml:space="preserve">databáze (moduly) </w:t>
      </w:r>
      <w:r w:rsidR="00E45699" w:rsidRPr="00966FC9">
        <w:rPr>
          <w:rFonts w:cs="Arial"/>
        </w:rPr>
        <w:t>Beck-online</w:t>
      </w:r>
      <w:r w:rsidR="00DF3D27" w:rsidRPr="00966FC9">
        <w:rPr>
          <w:rFonts w:cs="Arial"/>
        </w:rPr>
        <w:t xml:space="preserve"> v uvedeném počtu paralelních licencí</w:t>
      </w:r>
      <w:r w:rsidRPr="00966FC9">
        <w:rPr>
          <w:rFonts w:cs="Arial"/>
        </w:rPr>
        <w:t>:</w:t>
      </w:r>
    </w:p>
    <w:p w:rsidR="00AA05A6" w:rsidRPr="00966FC9" w:rsidRDefault="00AA05A6" w:rsidP="00AA05A6">
      <w:pPr>
        <w:rPr>
          <w:color w:val="76923C"/>
        </w:rPr>
      </w:pPr>
    </w:p>
    <w:tbl>
      <w:tblPr>
        <w:tblW w:w="9436" w:type="dxa"/>
        <w:tblInd w:w="8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3945"/>
      </w:tblGrid>
      <w:tr w:rsidR="002323F5" w:rsidRPr="00966FC9" w:rsidTr="00E52DBC">
        <w:trPr>
          <w:trHeight w:val="254"/>
        </w:trPr>
        <w:tc>
          <w:tcPr>
            <w:tcW w:w="5491" w:type="dxa"/>
            <w:tcBorders>
              <w:bottom w:val="single" w:sz="4" w:space="0" w:color="auto"/>
            </w:tcBorders>
          </w:tcPr>
          <w:p w:rsidR="002323F5" w:rsidRPr="00966FC9" w:rsidRDefault="002323F5" w:rsidP="00BD6724">
            <w:pPr>
              <w:spacing w:after="0" w:line="240" w:lineRule="auto"/>
              <w:rPr>
                <w:b/>
                <w:bCs/>
              </w:rPr>
            </w:pPr>
            <w:bookmarkStart w:id="11" w:name="sl1"/>
            <w:bookmarkEnd w:id="11"/>
            <w:r w:rsidRPr="00966FC9">
              <w:rPr>
                <w:b/>
                <w:bCs/>
              </w:rPr>
              <w:t>Modul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2323F5" w:rsidRPr="00966FC9" w:rsidRDefault="002323F5" w:rsidP="002323F5">
            <w:pPr>
              <w:spacing w:after="0" w:line="240" w:lineRule="auto"/>
              <w:rPr>
                <w:b/>
                <w:bCs/>
                <w:color w:val="365F91"/>
              </w:rPr>
            </w:pPr>
            <w:bookmarkStart w:id="12" w:name="sl2"/>
            <w:bookmarkEnd w:id="12"/>
            <w:r w:rsidRPr="00966FC9">
              <w:rPr>
                <w:rFonts w:eastAsia="Times New Roman" w:cs="Arial"/>
                <w:b/>
                <w:bCs/>
              </w:rPr>
              <w:t>Počet paralelních licencí</w:t>
            </w:r>
          </w:p>
        </w:tc>
        <w:bookmarkStart w:id="13" w:name="sl3"/>
        <w:bookmarkEnd w:id="13"/>
      </w:tr>
      <w:tr w:rsidR="00E52DBC" w:rsidRPr="00E52DBC" w:rsidTr="00E52DBC">
        <w:trPr>
          <w:trHeight w:val="254"/>
        </w:trPr>
        <w:tc>
          <w:tcPr>
            <w:tcW w:w="5491" w:type="dxa"/>
            <w:tcBorders>
              <w:top w:val="single" w:sz="4" w:space="0" w:color="auto"/>
              <w:bottom w:val="nil"/>
            </w:tcBorders>
          </w:tcPr>
          <w:p w:rsidR="00E52DBC" w:rsidRPr="00E52DBC" w:rsidRDefault="00E52DBC" w:rsidP="00BD6724">
            <w:pPr>
              <w:spacing w:after="0" w:line="240" w:lineRule="auto"/>
              <w:rPr>
                <w:bCs/>
              </w:rPr>
            </w:pPr>
            <w:r w:rsidRPr="00E52DBC">
              <w:rPr>
                <w:bCs/>
              </w:rPr>
              <w:t>Beck-online PRO</w:t>
            </w:r>
          </w:p>
        </w:tc>
        <w:tc>
          <w:tcPr>
            <w:tcW w:w="3945" w:type="dxa"/>
            <w:tcBorders>
              <w:top w:val="single" w:sz="4" w:space="0" w:color="auto"/>
              <w:bottom w:val="nil"/>
            </w:tcBorders>
          </w:tcPr>
          <w:p w:rsidR="00E52DBC" w:rsidRPr="00E52DBC" w:rsidRDefault="00E52DBC" w:rsidP="002323F5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52DBC">
              <w:rPr>
                <w:rFonts w:eastAsia="Times New Roman" w:cs="Arial"/>
                <w:bCs/>
              </w:rPr>
              <w:t>2</w:t>
            </w:r>
          </w:p>
        </w:tc>
      </w:tr>
      <w:tr w:rsidR="00E52DBC" w:rsidRPr="00E52DBC" w:rsidTr="00E52DBC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:rsidR="00E52DBC" w:rsidRPr="00E52DBC" w:rsidRDefault="00E52DBC" w:rsidP="00BD6724">
            <w:pPr>
              <w:spacing w:after="0" w:line="240" w:lineRule="auto"/>
              <w:rPr>
                <w:bCs/>
              </w:rPr>
            </w:pPr>
            <w:r w:rsidRPr="00E52DBC">
              <w:rPr>
                <w:bCs/>
              </w:rPr>
              <w:t>Občanské právo PLUS</w:t>
            </w:r>
          </w:p>
        </w:tc>
        <w:tc>
          <w:tcPr>
            <w:tcW w:w="3945" w:type="dxa"/>
            <w:tcBorders>
              <w:bottom w:val="nil"/>
            </w:tcBorders>
          </w:tcPr>
          <w:p w:rsidR="00E52DBC" w:rsidRPr="00E52DBC" w:rsidRDefault="00E52DBC" w:rsidP="002323F5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52DBC">
              <w:rPr>
                <w:rFonts w:eastAsia="Times New Roman" w:cs="Arial"/>
                <w:bCs/>
              </w:rPr>
              <w:t>2</w:t>
            </w:r>
          </w:p>
        </w:tc>
      </w:tr>
      <w:tr w:rsidR="00E52DBC" w:rsidRPr="00E52DBC" w:rsidTr="00E52DBC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:rsidR="00E52DBC" w:rsidRPr="00E52DBC" w:rsidRDefault="00E52DBC" w:rsidP="00BD6724">
            <w:pPr>
              <w:spacing w:after="0" w:line="240" w:lineRule="auto"/>
              <w:rPr>
                <w:bCs/>
              </w:rPr>
            </w:pPr>
            <w:r w:rsidRPr="00E52DBC">
              <w:rPr>
                <w:bCs/>
              </w:rPr>
              <w:t>Pracovní a sociální právo PLUS</w:t>
            </w:r>
          </w:p>
        </w:tc>
        <w:tc>
          <w:tcPr>
            <w:tcW w:w="3945" w:type="dxa"/>
            <w:tcBorders>
              <w:bottom w:val="nil"/>
            </w:tcBorders>
          </w:tcPr>
          <w:p w:rsidR="00E52DBC" w:rsidRPr="00E52DBC" w:rsidRDefault="00E52DBC" w:rsidP="002323F5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52DBC">
              <w:rPr>
                <w:rFonts w:eastAsia="Times New Roman" w:cs="Arial"/>
                <w:bCs/>
              </w:rPr>
              <w:t>2</w:t>
            </w:r>
          </w:p>
        </w:tc>
      </w:tr>
      <w:tr w:rsidR="00E52DBC" w:rsidRPr="00E52DBC" w:rsidTr="00E52DBC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:rsidR="00E52DBC" w:rsidRPr="00E52DBC" w:rsidRDefault="00E52DBC" w:rsidP="00BD6724">
            <w:pPr>
              <w:spacing w:after="0" w:line="240" w:lineRule="auto"/>
              <w:rPr>
                <w:bCs/>
              </w:rPr>
            </w:pPr>
            <w:r w:rsidRPr="00E52DBC">
              <w:rPr>
                <w:bCs/>
              </w:rPr>
              <w:t>Soutěžní právo</w:t>
            </w:r>
          </w:p>
        </w:tc>
        <w:tc>
          <w:tcPr>
            <w:tcW w:w="3945" w:type="dxa"/>
            <w:tcBorders>
              <w:bottom w:val="nil"/>
            </w:tcBorders>
          </w:tcPr>
          <w:p w:rsidR="00E52DBC" w:rsidRPr="00E52DBC" w:rsidRDefault="00E52DBC" w:rsidP="002323F5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52DBC">
              <w:rPr>
                <w:rFonts w:eastAsia="Times New Roman" w:cs="Arial"/>
                <w:bCs/>
              </w:rPr>
              <w:t>2</w:t>
            </w:r>
          </w:p>
        </w:tc>
      </w:tr>
      <w:tr w:rsidR="00E52DBC" w:rsidRPr="00E52DBC" w:rsidTr="00E52DBC">
        <w:trPr>
          <w:trHeight w:val="254"/>
        </w:trPr>
        <w:tc>
          <w:tcPr>
            <w:tcW w:w="5491" w:type="dxa"/>
            <w:tcBorders>
              <w:bottom w:val="nil"/>
            </w:tcBorders>
          </w:tcPr>
          <w:p w:rsidR="00E52DBC" w:rsidRPr="00E52DBC" w:rsidRDefault="00E52DBC" w:rsidP="00BD6724">
            <w:pPr>
              <w:spacing w:after="0" w:line="240" w:lineRule="auto"/>
              <w:rPr>
                <w:bCs/>
              </w:rPr>
            </w:pPr>
            <w:r w:rsidRPr="00E52DBC">
              <w:rPr>
                <w:bCs/>
              </w:rPr>
              <w:t>Správní právo - stavební právo</w:t>
            </w:r>
          </w:p>
        </w:tc>
        <w:tc>
          <w:tcPr>
            <w:tcW w:w="3945" w:type="dxa"/>
            <w:tcBorders>
              <w:bottom w:val="nil"/>
            </w:tcBorders>
          </w:tcPr>
          <w:p w:rsidR="00E52DBC" w:rsidRPr="00E52DBC" w:rsidRDefault="00E52DBC" w:rsidP="002323F5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E52DBC">
              <w:rPr>
                <w:rFonts w:eastAsia="Times New Roman" w:cs="Arial"/>
                <w:bCs/>
              </w:rPr>
              <w:t>2</w:t>
            </w:r>
          </w:p>
        </w:tc>
      </w:tr>
    </w:tbl>
    <w:p w:rsidR="00AA05A6" w:rsidRPr="00966FC9" w:rsidRDefault="00AA05A6" w:rsidP="00434511">
      <w:pPr>
        <w:ind w:left="709"/>
        <w:rPr>
          <w:color w:val="E36C0A"/>
        </w:rPr>
      </w:pPr>
    </w:p>
    <w:p w:rsidR="00DF3D27" w:rsidRDefault="00DF3D27" w:rsidP="00434511">
      <w:pPr>
        <w:ind w:left="709" w:right="260"/>
        <w:jc w:val="both"/>
        <w:rPr>
          <w:rFonts w:cs="Arial"/>
        </w:rPr>
      </w:pPr>
      <w:r w:rsidRPr="00966FC9">
        <w:rPr>
          <w:rFonts w:cs="Arial"/>
        </w:rPr>
        <w:t>Počet paralelních</w:t>
      </w:r>
      <w:r w:rsidRPr="00DF3D27">
        <w:rPr>
          <w:rFonts w:cs="Arial"/>
        </w:rPr>
        <w:t xml:space="preserve"> licencí udává maximální počet osob, které mohou modul využívat současně.</w:t>
      </w:r>
    </w:p>
    <w:p w:rsidR="00CA66FD" w:rsidRPr="00CA66FD" w:rsidRDefault="00CA66FD" w:rsidP="00434511">
      <w:pPr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Užívající osoby jsou součástí společnosti uživatele viz </w:t>
      </w:r>
      <w:r w:rsidR="00714B39">
        <w:rPr>
          <w:rFonts w:cs="Arial"/>
        </w:rPr>
        <w:t>bod</w:t>
      </w:r>
      <w:r w:rsidRPr="00CA66FD">
        <w:rPr>
          <w:rFonts w:cs="Arial"/>
        </w:rPr>
        <w:t xml:space="preserve"> </w:t>
      </w:r>
      <w:proofErr w:type="gramStart"/>
      <w:r w:rsidRPr="00CA66FD">
        <w:rPr>
          <w:rFonts w:cs="Arial"/>
        </w:rPr>
        <w:t>3.2. VOP</w:t>
      </w:r>
      <w:proofErr w:type="gramEnd"/>
      <w:r w:rsidRPr="00CA66FD">
        <w:rPr>
          <w:rFonts w:cs="Arial"/>
        </w:rPr>
        <w:t>.</w:t>
      </w:r>
    </w:p>
    <w:p w:rsidR="00DF3D27" w:rsidRPr="00DF3D27" w:rsidRDefault="00DF3D27" w:rsidP="00434511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Předplatné období a odměna</w:t>
      </w:r>
    </w:p>
    <w:p w:rsidR="008D2A9F" w:rsidRDefault="00DF3D27" w:rsidP="008D2A9F">
      <w:pPr>
        <w:pStyle w:val="Odstavecseseznamem"/>
        <w:spacing w:after="0" w:line="240" w:lineRule="auto"/>
        <w:ind w:left="284" w:right="260" w:firstLine="425"/>
        <w:contextualSpacing w:val="0"/>
        <w:jc w:val="both"/>
        <w:rPr>
          <w:rFonts w:cs="Arial"/>
        </w:rPr>
      </w:pPr>
      <w:r w:rsidRPr="00EF3CDF">
        <w:rPr>
          <w:rFonts w:cs="Arial"/>
        </w:rPr>
        <w:t>Odměna je sjednán</w:t>
      </w:r>
      <w:r>
        <w:rPr>
          <w:rFonts w:cs="Arial"/>
        </w:rPr>
        <w:t xml:space="preserve">a vždy pro období dvanácti </w:t>
      </w:r>
      <w:r w:rsidRPr="00EF3CDF">
        <w:rPr>
          <w:rFonts w:cs="Arial"/>
        </w:rPr>
        <w:t xml:space="preserve">po sobě jdoucích kalendářních měsíců (dále jen </w:t>
      </w:r>
      <w:r w:rsidRPr="00EF3CDF">
        <w:rPr>
          <w:rFonts w:cs="Arial"/>
          <w:b/>
        </w:rPr>
        <w:t>„období“</w:t>
      </w:r>
      <w:r w:rsidRPr="00EF3CDF">
        <w:rPr>
          <w:rFonts w:cs="Arial"/>
        </w:rPr>
        <w:t xml:space="preserve">). </w:t>
      </w:r>
    </w:p>
    <w:p w:rsidR="00DF3D27" w:rsidRPr="00EF3CDF" w:rsidRDefault="00DF3D27" w:rsidP="008D2A9F">
      <w:pPr>
        <w:pStyle w:val="Odstavecseseznamem"/>
        <w:spacing w:after="0" w:line="240" w:lineRule="auto"/>
        <w:ind w:left="284" w:right="260" w:firstLine="425"/>
        <w:contextualSpacing w:val="0"/>
        <w:jc w:val="both"/>
        <w:rPr>
          <w:rFonts w:cs="Arial"/>
        </w:rPr>
      </w:pPr>
      <w:r w:rsidRPr="00EF3CDF">
        <w:rPr>
          <w:rFonts w:cs="Arial"/>
        </w:rPr>
        <w:t>První období se sjednává od</w:t>
      </w:r>
      <w:r w:rsidRPr="00EF3CDF">
        <w:rPr>
          <w:rFonts w:cs="Arial"/>
          <w:b/>
        </w:rPr>
        <w:t xml:space="preserve"> </w:t>
      </w:r>
      <w:bookmarkStart w:id="14" w:name="datum_od"/>
      <w:bookmarkEnd w:id="14"/>
      <w:r w:rsidR="006A35EA">
        <w:rPr>
          <w:rFonts w:cs="Arial"/>
          <w:b/>
        </w:rPr>
        <w:t xml:space="preserve">1. 6. </w:t>
      </w:r>
      <w:proofErr w:type="gramStart"/>
      <w:r w:rsidR="006A35EA">
        <w:rPr>
          <w:rFonts w:cs="Arial"/>
          <w:b/>
        </w:rPr>
        <w:t>202</w:t>
      </w:r>
      <w:r w:rsidR="00496DB6">
        <w:rPr>
          <w:rFonts w:cs="Arial"/>
          <w:b/>
        </w:rPr>
        <w:t>1</w:t>
      </w:r>
      <w:r w:rsidR="00BB4028">
        <w:rPr>
          <w:rFonts w:cs="Arial"/>
          <w:b/>
        </w:rPr>
        <w:t xml:space="preserve"> </w:t>
      </w:r>
      <w:r w:rsidR="00BB4028">
        <w:rPr>
          <w:rFonts w:cs="Arial"/>
        </w:rPr>
        <w:t xml:space="preserve"> do</w:t>
      </w:r>
      <w:proofErr w:type="gramEnd"/>
      <w:r w:rsidR="00BB4028">
        <w:rPr>
          <w:rFonts w:cs="Arial"/>
        </w:rPr>
        <w:t xml:space="preserve"> </w:t>
      </w:r>
      <w:r w:rsidR="00BB4028" w:rsidRPr="0068609C">
        <w:rPr>
          <w:rFonts w:cs="Arial"/>
          <w:b/>
        </w:rPr>
        <w:t xml:space="preserve"> </w:t>
      </w:r>
      <w:bookmarkStart w:id="15" w:name="datum_do"/>
      <w:bookmarkEnd w:id="15"/>
      <w:r w:rsidR="006A35EA">
        <w:rPr>
          <w:rFonts w:cs="Arial"/>
          <w:b/>
        </w:rPr>
        <w:t>31. 5. 202</w:t>
      </w:r>
      <w:r w:rsidR="00496DB6">
        <w:rPr>
          <w:rFonts w:cs="Arial"/>
          <w:b/>
        </w:rPr>
        <w:t>2</w:t>
      </w:r>
      <w:r w:rsidR="0068609C" w:rsidRPr="0068609C">
        <w:rPr>
          <w:rFonts w:cs="Arial"/>
          <w:b/>
        </w:rPr>
        <w:t>.</w:t>
      </w:r>
    </w:p>
    <w:p w:rsidR="00DF3D27" w:rsidRPr="00EF3CDF" w:rsidRDefault="00DF3D27" w:rsidP="008D2A9F">
      <w:pPr>
        <w:pStyle w:val="Odstavecseseznamem"/>
        <w:spacing w:before="120" w:after="0" w:line="240" w:lineRule="auto"/>
        <w:ind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za jedno období činí</w:t>
      </w:r>
      <w:r w:rsidRPr="00EF3CDF">
        <w:rPr>
          <w:rFonts w:cs="Arial"/>
          <w:b/>
        </w:rPr>
        <w:t xml:space="preserve"> </w:t>
      </w:r>
      <w:bookmarkStart w:id="16" w:name="cena"/>
      <w:bookmarkEnd w:id="16"/>
      <w:r w:rsidR="006A35EA">
        <w:rPr>
          <w:rFonts w:cs="Arial"/>
          <w:b/>
        </w:rPr>
        <w:t>38 500</w:t>
      </w:r>
      <w:r w:rsidR="00A0495F">
        <w:rPr>
          <w:rFonts w:cs="Arial"/>
          <w:b/>
        </w:rPr>
        <w:t xml:space="preserve"> </w:t>
      </w:r>
      <w:r w:rsidR="004D7ED7">
        <w:rPr>
          <w:rFonts w:cs="Arial"/>
          <w:b/>
        </w:rPr>
        <w:t xml:space="preserve">Kč </w:t>
      </w:r>
      <w:r w:rsidRPr="00EF3CDF">
        <w:rPr>
          <w:rFonts w:cs="Arial"/>
          <w:b/>
        </w:rPr>
        <w:t>bez DPH</w:t>
      </w:r>
      <w:r w:rsidRPr="00EF3CDF">
        <w:rPr>
          <w:rFonts w:cs="Arial"/>
        </w:rPr>
        <w:t xml:space="preserve"> (dále jen </w:t>
      </w:r>
      <w:r w:rsidRPr="00EF3CDF">
        <w:rPr>
          <w:rFonts w:cs="Arial"/>
          <w:b/>
        </w:rPr>
        <w:t>„odměna“</w:t>
      </w:r>
      <w:r w:rsidRPr="00EF3CDF">
        <w:rPr>
          <w:rFonts w:cs="Arial"/>
        </w:rPr>
        <w:t xml:space="preserve">). Uživatel se zavazuje zároveň s odměnou uhradit DPH v zákonné výši. </w:t>
      </w:r>
    </w:p>
    <w:p w:rsidR="00DF3D27" w:rsidRPr="00EF3CDF" w:rsidRDefault="00DF3D27" w:rsidP="00911035">
      <w:pPr>
        <w:ind w:left="567" w:right="260"/>
        <w:jc w:val="both"/>
        <w:rPr>
          <w:rFonts w:cs="Arial"/>
        </w:rPr>
      </w:pPr>
    </w:p>
    <w:sectPr w:rsidR="00DF3D27" w:rsidRPr="00EF3CDF" w:rsidSect="00AE0052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48" w:rsidRDefault="00877348" w:rsidP="00547186">
      <w:pPr>
        <w:spacing w:after="0" w:line="240" w:lineRule="auto"/>
      </w:pPr>
      <w:r>
        <w:separator/>
      </w:r>
    </w:p>
  </w:endnote>
  <w:endnote w:type="continuationSeparator" w:id="0">
    <w:p w:rsidR="00877348" w:rsidRDefault="00877348" w:rsidP="00547186">
      <w:pPr>
        <w:spacing w:after="0" w:line="240" w:lineRule="auto"/>
      </w:pPr>
      <w:r>
        <w:continuationSeparator/>
      </w:r>
    </w:p>
  </w:endnote>
  <w:endnote w:type="continuationNotice" w:id="1">
    <w:p w:rsidR="00877348" w:rsidRDefault="00877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22" w:rsidRDefault="00690122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:rsidR="007433D6" w:rsidRPr="00D77D9B" w:rsidRDefault="008B63D9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 w:rsidRPr="00D77D9B">
      <w:rPr>
        <w:rFonts w:ascii="Arial" w:hAnsi="Arial" w:cs="Arial"/>
        <w:bCs/>
        <w:sz w:val="18"/>
        <w:szCs w:val="18"/>
      </w:rPr>
      <w:fldChar w:fldCharType="begin"/>
    </w:r>
    <w:r w:rsidRPr="00D77D9B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D77D9B">
      <w:rPr>
        <w:rFonts w:ascii="Arial" w:hAnsi="Arial" w:cs="Arial"/>
        <w:bCs/>
        <w:sz w:val="18"/>
        <w:szCs w:val="18"/>
      </w:rPr>
      <w:fldChar w:fldCharType="separate"/>
    </w:r>
    <w:r w:rsidR="009261E3">
      <w:rPr>
        <w:rFonts w:ascii="Arial" w:hAnsi="Arial" w:cs="Arial"/>
        <w:bCs/>
        <w:noProof/>
        <w:sz w:val="18"/>
        <w:szCs w:val="18"/>
      </w:rPr>
      <w:t>2</w:t>
    </w:r>
    <w:r w:rsidRPr="00D77D9B">
      <w:rPr>
        <w:rFonts w:ascii="Arial" w:hAnsi="Arial" w:cs="Arial"/>
        <w:bCs/>
        <w:sz w:val="18"/>
        <w:szCs w:val="18"/>
      </w:rPr>
      <w:fldChar w:fldCharType="end"/>
    </w:r>
    <w:r w:rsidRPr="00D77D9B">
      <w:rPr>
        <w:rFonts w:ascii="Arial" w:hAnsi="Arial" w:cs="Arial"/>
        <w:bCs/>
        <w:sz w:val="18"/>
        <w:szCs w:val="18"/>
      </w:rPr>
      <w:t xml:space="preserve"> / </w:t>
    </w:r>
    <w:r w:rsidRPr="00D77D9B">
      <w:rPr>
        <w:rFonts w:ascii="Arial" w:hAnsi="Arial" w:cs="Arial"/>
        <w:bCs/>
        <w:sz w:val="18"/>
        <w:szCs w:val="18"/>
      </w:rPr>
      <w:fldChar w:fldCharType="begin"/>
    </w:r>
    <w:r w:rsidRPr="00D77D9B">
      <w:rPr>
        <w:rFonts w:ascii="Arial" w:hAnsi="Arial" w:cs="Arial"/>
        <w:bCs/>
        <w:sz w:val="18"/>
        <w:szCs w:val="18"/>
      </w:rPr>
      <w:instrText xml:space="preserve"> NUMPAGES   \* MERGEFORMAT </w:instrText>
    </w:r>
    <w:r w:rsidRPr="00D77D9B">
      <w:rPr>
        <w:rFonts w:ascii="Arial" w:hAnsi="Arial" w:cs="Arial"/>
        <w:bCs/>
        <w:sz w:val="18"/>
        <w:szCs w:val="18"/>
      </w:rPr>
      <w:fldChar w:fldCharType="separate"/>
    </w:r>
    <w:r w:rsidR="009261E3">
      <w:rPr>
        <w:rFonts w:ascii="Arial" w:hAnsi="Arial" w:cs="Arial"/>
        <w:bCs/>
        <w:noProof/>
        <w:sz w:val="18"/>
        <w:szCs w:val="18"/>
      </w:rPr>
      <w:t>2</w:t>
    </w:r>
    <w:r w:rsidRPr="00D77D9B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48" w:rsidRDefault="00877348" w:rsidP="00547186">
      <w:pPr>
        <w:spacing w:after="0" w:line="240" w:lineRule="auto"/>
      </w:pPr>
      <w:r>
        <w:separator/>
      </w:r>
    </w:p>
  </w:footnote>
  <w:footnote w:type="continuationSeparator" w:id="0">
    <w:p w:rsidR="00877348" w:rsidRDefault="00877348" w:rsidP="00547186">
      <w:pPr>
        <w:spacing w:after="0" w:line="240" w:lineRule="auto"/>
      </w:pPr>
      <w:r>
        <w:continuationSeparator/>
      </w:r>
    </w:p>
  </w:footnote>
  <w:footnote w:type="continuationNotice" w:id="1">
    <w:p w:rsidR="00877348" w:rsidRDefault="00877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50A" w:rsidRDefault="000E1063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 w:rsidRPr="003127C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170815</wp:posOffset>
              </wp:positionH>
              <wp:positionV relativeFrom="paragraph">
                <wp:posOffset>407669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22EB662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32.1pt" to="510.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64650A">
      <w:rPr>
        <w:rFonts w:ascii="Calibri Light" w:hAnsi="Calibri Light" w:cs="Calibri Light"/>
      </w:rPr>
      <w:t xml:space="preserve">DODATEK </w:t>
    </w:r>
    <w:proofErr w:type="gramStart"/>
    <w:r w:rsidR="0064650A">
      <w:rPr>
        <w:rFonts w:ascii="Calibri Light" w:hAnsi="Calibri Light" w:cs="Calibri Light"/>
      </w:rPr>
      <w:t xml:space="preserve">Č. </w:t>
    </w:r>
    <w:r w:rsidR="000A0E01" w:rsidRPr="000A0E01">
      <w:rPr>
        <w:rFonts w:ascii="Calibri Light" w:hAnsi="Calibri Light" w:cs="Calibri Light"/>
      </w:rPr>
      <w:t xml:space="preserve"> </w:t>
    </w:r>
    <w:r w:rsidR="00E52DBC">
      <w:rPr>
        <w:rFonts w:ascii="Calibri Light" w:hAnsi="Calibri Light" w:cs="Calibri Light"/>
      </w:rPr>
      <w:t>1</w:t>
    </w:r>
    <w:proofErr w:type="gramEnd"/>
  </w:p>
  <w:p w:rsidR="00C961AB" w:rsidRPr="003127C7" w:rsidRDefault="0064650A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>
      <w:rPr>
        <w:rFonts w:ascii="Calibri Light" w:hAnsi="Calibri Light" w:cs="Calibri Light"/>
      </w:rPr>
      <w:t>KE SMLOUVĚ</w:t>
    </w:r>
    <w:r w:rsidR="000A0E01" w:rsidRPr="00B65F0E">
      <w:rPr>
        <w:rFonts w:ascii="Calibri Light" w:hAnsi="Calibri Light" w:cs="Calibri Light"/>
      </w:rPr>
      <w:t xml:space="preserve"> O UŽÍVÁNÍ PRÁVNÍHO INFORMAČNÍHO SYSTÉMU BECK-ONLINE</w:t>
    </w:r>
    <w:r>
      <w:rPr>
        <w:rFonts w:ascii="Calibri Light" w:hAnsi="Calibri Light" w:cs="Calibri Light"/>
      </w:rPr>
      <w:t xml:space="preserve"> Č.</w:t>
    </w:r>
    <w:r w:rsidR="000A0E01" w:rsidRPr="00B65F0E">
      <w:rPr>
        <w:rFonts w:ascii="Calibri Light" w:hAnsi="Calibri Light" w:cs="Calibri Light"/>
      </w:rPr>
      <w:tab/>
    </w:r>
    <w:r w:rsidR="00E52DBC">
      <w:rPr>
        <w:rFonts w:ascii="Calibri Light" w:hAnsi="Calibri Light" w:cs="Calibri Light"/>
      </w:rPr>
      <w:t>SML_116940_20190601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6B269E"/>
    <w:multiLevelType w:val="hybridMultilevel"/>
    <w:tmpl w:val="D77432A4"/>
    <w:lvl w:ilvl="0" w:tplc="0714E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F"/>
    <w:rsid w:val="0000145D"/>
    <w:rsid w:val="0000655B"/>
    <w:rsid w:val="00006844"/>
    <w:rsid w:val="00010C42"/>
    <w:rsid w:val="00013894"/>
    <w:rsid w:val="00013BD8"/>
    <w:rsid w:val="000261F0"/>
    <w:rsid w:val="00044E55"/>
    <w:rsid w:val="0005315B"/>
    <w:rsid w:val="00060CE1"/>
    <w:rsid w:val="000646EE"/>
    <w:rsid w:val="00073CC1"/>
    <w:rsid w:val="0008358C"/>
    <w:rsid w:val="00087C1D"/>
    <w:rsid w:val="000958FA"/>
    <w:rsid w:val="000A0E01"/>
    <w:rsid w:val="000A32D4"/>
    <w:rsid w:val="000E1063"/>
    <w:rsid w:val="000E1505"/>
    <w:rsid w:val="000F78FE"/>
    <w:rsid w:val="00123ED6"/>
    <w:rsid w:val="001248D5"/>
    <w:rsid w:val="0012718F"/>
    <w:rsid w:val="00136866"/>
    <w:rsid w:val="001644EF"/>
    <w:rsid w:val="00165A38"/>
    <w:rsid w:val="001824CF"/>
    <w:rsid w:val="00185244"/>
    <w:rsid w:val="001A5FC9"/>
    <w:rsid w:val="001A7517"/>
    <w:rsid w:val="001B6172"/>
    <w:rsid w:val="001D4173"/>
    <w:rsid w:val="001D75FC"/>
    <w:rsid w:val="002053DC"/>
    <w:rsid w:val="0020717A"/>
    <w:rsid w:val="00221537"/>
    <w:rsid w:val="00225323"/>
    <w:rsid w:val="002300D6"/>
    <w:rsid w:val="002323F5"/>
    <w:rsid w:val="00235D1C"/>
    <w:rsid w:val="002364D6"/>
    <w:rsid w:val="0024353C"/>
    <w:rsid w:val="00273172"/>
    <w:rsid w:val="00285F70"/>
    <w:rsid w:val="002A684C"/>
    <w:rsid w:val="002B3739"/>
    <w:rsid w:val="002B75C2"/>
    <w:rsid w:val="002D4D1C"/>
    <w:rsid w:val="002E4A34"/>
    <w:rsid w:val="002E5EF0"/>
    <w:rsid w:val="002F7BFF"/>
    <w:rsid w:val="003058D5"/>
    <w:rsid w:val="003127C7"/>
    <w:rsid w:val="00316444"/>
    <w:rsid w:val="00320A4F"/>
    <w:rsid w:val="00337809"/>
    <w:rsid w:val="003404A2"/>
    <w:rsid w:val="00346776"/>
    <w:rsid w:val="00361ACB"/>
    <w:rsid w:val="00385314"/>
    <w:rsid w:val="0039681B"/>
    <w:rsid w:val="003A045F"/>
    <w:rsid w:val="003A1B08"/>
    <w:rsid w:val="003A22B2"/>
    <w:rsid w:val="003B2487"/>
    <w:rsid w:val="003E174B"/>
    <w:rsid w:val="00403FD0"/>
    <w:rsid w:val="00416EDE"/>
    <w:rsid w:val="00430321"/>
    <w:rsid w:val="00434511"/>
    <w:rsid w:val="00441449"/>
    <w:rsid w:val="00446DE6"/>
    <w:rsid w:val="00447B09"/>
    <w:rsid w:val="0045695C"/>
    <w:rsid w:val="00457855"/>
    <w:rsid w:val="00463C39"/>
    <w:rsid w:val="00465212"/>
    <w:rsid w:val="004655B7"/>
    <w:rsid w:val="00465810"/>
    <w:rsid w:val="004731C5"/>
    <w:rsid w:val="0049160D"/>
    <w:rsid w:val="00496DB6"/>
    <w:rsid w:val="004A73FE"/>
    <w:rsid w:val="004B1AE6"/>
    <w:rsid w:val="004B26CD"/>
    <w:rsid w:val="004D7ED7"/>
    <w:rsid w:val="004E1CB3"/>
    <w:rsid w:val="004E5D03"/>
    <w:rsid w:val="004E6303"/>
    <w:rsid w:val="004E63B1"/>
    <w:rsid w:val="004E6A28"/>
    <w:rsid w:val="004F17D0"/>
    <w:rsid w:val="004F759B"/>
    <w:rsid w:val="00503456"/>
    <w:rsid w:val="00503A13"/>
    <w:rsid w:val="00511E65"/>
    <w:rsid w:val="005210EA"/>
    <w:rsid w:val="005233DA"/>
    <w:rsid w:val="00531CD5"/>
    <w:rsid w:val="00537A77"/>
    <w:rsid w:val="00543C55"/>
    <w:rsid w:val="00543C9C"/>
    <w:rsid w:val="00547186"/>
    <w:rsid w:val="00547F43"/>
    <w:rsid w:val="00561F00"/>
    <w:rsid w:val="0056217F"/>
    <w:rsid w:val="00565FD1"/>
    <w:rsid w:val="00567F36"/>
    <w:rsid w:val="005833B4"/>
    <w:rsid w:val="00591859"/>
    <w:rsid w:val="005A46FA"/>
    <w:rsid w:val="005A7E99"/>
    <w:rsid w:val="005B0FD1"/>
    <w:rsid w:val="005C1A9B"/>
    <w:rsid w:val="005C5FDE"/>
    <w:rsid w:val="005D4DF6"/>
    <w:rsid w:val="005E0650"/>
    <w:rsid w:val="005F75F1"/>
    <w:rsid w:val="0061590D"/>
    <w:rsid w:val="00620707"/>
    <w:rsid w:val="00636541"/>
    <w:rsid w:val="0064650A"/>
    <w:rsid w:val="00650429"/>
    <w:rsid w:val="006576F0"/>
    <w:rsid w:val="00665C84"/>
    <w:rsid w:val="00670E60"/>
    <w:rsid w:val="0067317B"/>
    <w:rsid w:val="0068609C"/>
    <w:rsid w:val="00690122"/>
    <w:rsid w:val="006952EE"/>
    <w:rsid w:val="006A183E"/>
    <w:rsid w:val="006A35EA"/>
    <w:rsid w:val="006B5C14"/>
    <w:rsid w:val="006C58B8"/>
    <w:rsid w:val="006D2859"/>
    <w:rsid w:val="006D7CFA"/>
    <w:rsid w:val="00706F78"/>
    <w:rsid w:val="00714B39"/>
    <w:rsid w:val="0072498A"/>
    <w:rsid w:val="00737684"/>
    <w:rsid w:val="00737ABB"/>
    <w:rsid w:val="007433D6"/>
    <w:rsid w:val="00745ED1"/>
    <w:rsid w:val="0074621D"/>
    <w:rsid w:val="00761CD7"/>
    <w:rsid w:val="007703A4"/>
    <w:rsid w:val="00770D15"/>
    <w:rsid w:val="00784A77"/>
    <w:rsid w:val="007C75B2"/>
    <w:rsid w:val="007D4A0D"/>
    <w:rsid w:val="007E6F3D"/>
    <w:rsid w:val="007F5863"/>
    <w:rsid w:val="008109B4"/>
    <w:rsid w:val="00822301"/>
    <w:rsid w:val="0082259C"/>
    <w:rsid w:val="00837742"/>
    <w:rsid w:val="00842E9B"/>
    <w:rsid w:val="00843332"/>
    <w:rsid w:val="008452EE"/>
    <w:rsid w:val="00847199"/>
    <w:rsid w:val="00850616"/>
    <w:rsid w:val="00850834"/>
    <w:rsid w:val="008607AE"/>
    <w:rsid w:val="00863293"/>
    <w:rsid w:val="00865718"/>
    <w:rsid w:val="00870341"/>
    <w:rsid w:val="00874288"/>
    <w:rsid w:val="00877348"/>
    <w:rsid w:val="00877B9C"/>
    <w:rsid w:val="00890700"/>
    <w:rsid w:val="00892E12"/>
    <w:rsid w:val="008A4DD4"/>
    <w:rsid w:val="008A77E9"/>
    <w:rsid w:val="008B63D9"/>
    <w:rsid w:val="008C436E"/>
    <w:rsid w:val="008D2A9F"/>
    <w:rsid w:val="008E6381"/>
    <w:rsid w:val="008F467C"/>
    <w:rsid w:val="008F6C81"/>
    <w:rsid w:val="008F7FA0"/>
    <w:rsid w:val="00900628"/>
    <w:rsid w:val="009062FF"/>
    <w:rsid w:val="00911035"/>
    <w:rsid w:val="00924B06"/>
    <w:rsid w:val="009261E3"/>
    <w:rsid w:val="009344E2"/>
    <w:rsid w:val="00934D79"/>
    <w:rsid w:val="00960A36"/>
    <w:rsid w:val="00966FC9"/>
    <w:rsid w:val="00967AF0"/>
    <w:rsid w:val="00970C0D"/>
    <w:rsid w:val="00972DB0"/>
    <w:rsid w:val="00974B34"/>
    <w:rsid w:val="0099383E"/>
    <w:rsid w:val="00996950"/>
    <w:rsid w:val="009B1ECD"/>
    <w:rsid w:val="009B7175"/>
    <w:rsid w:val="009B748E"/>
    <w:rsid w:val="009C276F"/>
    <w:rsid w:val="009F5AB5"/>
    <w:rsid w:val="009F7FF9"/>
    <w:rsid w:val="00A0487F"/>
    <w:rsid w:val="00A0495F"/>
    <w:rsid w:val="00A06019"/>
    <w:rsid w:val="00A14088"/>
    <w:rsid w:val="00A450EA"/>
    <w:rsid w:val="00A47FC6"/>
    <w:rsid w:val="00A50AE0"/>
    <w:rsid w:val="00A51E0C"/>
    <w:rsid w:val="00A53ED8"/>
    <w:rsid w:val="00A60587"/>
    <w:rsid w:val="00A65FB4"/>
    <w:rsid w:val="00A73906"/>
    <w:rsid w:val="00A8349D"/>
    <w:rsid w:val="00A90E77"/>
    <w:rsid w:val="00A928C1"/>
    <w:rsid w:val="00A94ACE"/>
    <w:rsid w:val="00AA05A6"/>
    <w:rsid w:val="00AA0EAF"/>
    <w:rsid w:val="00AA0FE3"/>
    <w:rsid w:val="00AA21C5"/>
    <w:rsid w:val="00AA5CD9"/>
    <w:rsid w:val="00AC233F"/>
    <w:rsid w:val="00AE0052"/>
    <w:rsid w:val="00AF255F"/>
    <w:rsid w:val="00B015EA"/>
    <w:rsid w:val="00B34556"/>
    <w:rsid w:val="00B34D4E"/>
    <w:rsid w:val="00B41495"/>
    <w:rsid w:val="00B61FB2"/>
    <w:rsid w:val="00B80A32"/>
    <w:rsid w:val="00B80D07"/>
    <w:rsid w:val="00B90234"/>
    <w:rsid w:val="00B93171"/>
    <w:rsid w:val="00BA6071"/>
    <w:rsid w:val="00BB4028"/>
    <w:rsid w:val="00BC3520"/>
    <w:rsid w:val="00BD6724"/>
    <w:rsid w:val="00BD6D90"/>
    <w:rsid w:val="00BD7DF5"/>
    <w:rsid w:val="00BE7B9C"/>
    <w:rsid w:val="00BF2030"/>
    <w:rsid w:val="00BF6B5E"/>
    <w:rsid w:val="00BF7513"/>
    <w:rsid w:val="00C13091"/>
    <w:rsid w:val="00C16EA1"/>
    <w:rsid w:val="00C221BC"/>
    <w:rsid w:val="00C23EA3"/>
    <w:rsid w:val="00C344C2"/>
    <w:rsid w:val="00C35D51"/>
    <w:rsid w:val="00C41894"/>
    <w:rsid w:val="00C602EA"/>
    <w:rsid w:val="00C72BC4"/>
    <w:rsid w:val="00C73B26"/>
    <w:rsid w:val="00C961AB"/>
    <w:rsid w:val="00C9638D"/>
    <w:rsid w:val="00CA0A47"/>
    <w:rsid w:val="00CA2C61"/>
    <w:rsid w:val="00CA66FD"/>
    <w:rsid w:val="00CD0709"/>
    <w:rsid w:val="00CF7ABB"/>
    <w:rsid w:val="00D101AA"/>
    <w:rsid w:val="00D107FB"/>
    <w:rsid w:val="00D142FD"/>
    <w:rsid w:val="00D21204"/>
    <w:rsid w:val="00D21AA3"/>
    <w:rsid w:val="00D25753"/>
    <w:rsid w:val="00D34D4F"/>
    <w:rsid w:val="00D4323F"/>
    <w:rsid w:val="00D55C0A"/>
    <w:rsid w:val="00D56561"/>
    <w:rsid w:val="00D62AE0"/>
    <w:rsid w:val="00D6440C"/>
    <w:rsid w:val="00D67A93"/>
    <w:rsid w:val="00D77D9B"/>
    <w:rsid w:val="00D8019B"/>
    <w:rsid w:val="00D80A93"/>
    <w:rsid w:val="00D82BA6"/>
    <w:rsid w:val="00D86ECC"/>
    <w:rsid w:val="00D91793"/>
    <w:rsid w:val="00DA7888"/>
    <w:rsid w:val="00DC0A5D"/>
    <w:rsid w:val="00DE3EAA"/>
    <w:rsid w:val="00DE7823"/>
    <w:rsid w:val="00DF1A06"/>
    <w:rsid w:val="00DF3D27"/>
    <w:rsid w:val="00E02BD2"/>
    <w:rsid w:val="00E048E4"/>
    <w:rsid w:val="00E1018C"/>
    <w:rsid w:val="00E206BE"/>
    <w:rsid w:val="00E268F1"/>
    <w:rsid w:val="00E37433"/>
    <w:rsid w:val="00E37C9E"/>
    <w:rsid w:val="00E40174"/>
    <w:rsid w:val="00E407FA"/>
    <w:rsid w:val="00E45699"/>
    <w:rsid w:val="00E46964"/>
    <w:rsid w:val="00E52DBC"/>
    <w:rsid w:val="00E535B4"/>
    <w:rsid w:val="00E57CB1"/>
    <w:rsid w:val="00E7211B"/>
    <w:rsid w:val="00E815FA"/>
    <w:rsid w:val="00E816CB"/>
    <w:rsid w:val="00EA6936"/>
    <w:rsid w:val="00EC1E86"/>
    <w:rsid w:val="00EE1A1A"/>
    <w:rsid w:val="00EE35FC"/>
    <w:rsid w:val="00EF3CDF"/>
    <w:rsid w:val="00F278EB"/>
    <w:rsid w:val="00F303E2"/>
    <w:rsid w:val="00F4478D"/>
    <w:rsid w:val="00F45F4D"/>
    <w:rsid w:val="00F46029"/>
    <w:rsid w:val="00F50E7B"/>
    <w:rsid w:val="00F637C2"/>
    <w:rsid w:val="00F66B10"/>
    <w:rsid w:val="00F70022"/>
    <w:rsid w:val="00F73B6A"/>
    <w:rsid w:val="00F75FDF"/>
    <w:rsid w:val="00F7629B"/>
    <w:rsid w:val="00F83ECA"/>
    <w:rsid w:val="00F9226B"/>
    <w:rsid w:val="00F92C3D"/>
    <w:rsid w:val="00FA1379"/>
    <w:rsid w:val="00FA6CE0"/>
    <w:rsid w:val="00FB52A7"/>
    <w:rsid w:val="00FC2971"/>
    <w:rsid w:val="00FC782E"/>
    <w:rsid w:val="00FD7A9B"/>
    <w:rsid w:val="00FE3D64"/>
    <w:rsid w:val="00FE413B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A54B1A0-D7B2-429C-AC6D-8A328C08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0F4D-E6A9-40AF-9612-C22502A3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Blanka Wohlmuthová</cp:lastModifiedBy>
  <cp:revision>3</cp:revision>
  <cp:lastPrinted>2019-07-04T11:29:00Z</cp:lastPrinted>
  <dcterms:created xsi:type="dcterms:W3CDTF">2021-06-28T08:11:00Z</dcterms:created>
  <dcterms:modified xsi:type="dcterms:W3CDTF">2021-06-28T08:12:00Z</dcterms:modified>
</cp:coreProperties>
</file>