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737DEC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36"/>
          <w:szCs w:val="36"/>
          <w:lang w:eastAsia="cs-CZ"/>
        </w:rPr>
      </w:pPr>
      <w:r w:rsidRPr="00737DEC">
        <w:rPr>
          <w:rFonts w:ascii="Book Antiqua" w:hAnsi="Book Antiqua" w:cs="Tahoma"/>
          <w:b/>
          <w:sz w:val="36"/>
          <w:szCs w:val="36"/>
          <w:lang w:eastAsia="cs-CZ"/>
        </w:rPr>
        <w:t>Prováděcí smlouva</w:t>
      </w:r>
    </w:p>
    <w:p w14:paraId="132F53FB" w14:textId="068E9278" w:rsidR="00737DEC" w:rsidRPr="00DA172E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8"/>
          <w:szCs w:val="28"/>
          <w:lang w:eastAsia="cs-CZ"/>
        </w:rPr>
      </w:pPr>
      <w:r w:rsidRPr="00440981">
        <w:rPr>
          <w:rFonts w:ascii="Book Antiqua" w:hAnsi="Book Antiqua" w:cs="Tahoma"/>
          <w:b/>
          <w:sz w:val="28"/>
          <w:szCs w:val="28"/>
          <w:lang w:eastAsia="cs-CZ"/>
        </w:rPr>
        <w:t>P</w:t>
      </w:r>
      <w:r w:rsidR="008E5B83" w:rsidRPr="00440981">
        <w:rPr>
          <w:rFonts w:ascii="Book Antiqua" w:hAnsi="Book Antiqua" w:cs="Tahoma"/>
          <w:b/>
          <w:sz w:val="28"/>
          <w:szCs w:val="28"/>
          <w:lang w:eastAsia="cs-CZ"/>
        </w:rPr>
        <w:t>SR</w:t>
      </w:r>
      <w:r w:rsidR="00467F1D">
        <w:rPr>
          <w:rFonts w:ascii="Book Antiqua" w:hAnsi="Book Antiqua" w:cs="Tahoma"/>
          <w:b/>
          <w:sz w:val="28"/>
          <w:szCs w:val="28"/>
          <w:lang w:eastAsia="cs-CZ"/>
        </w:rPr>
        <w:t xml:space="preserve"> 2017</w:t>
      </w:r>
      <w:r w:rsidR="008E5B83" w:rsidRPr="00440981">
        <w:rPr>
          <w:rFonts w:ascii="Book Antiqua" w:hAnsi="Book Antiqua" w:cs="Tahoma"/>
          <w:b/>
          <w:sz w:val="28"/>
          <w:szCs w:val="28"/>
          <w:lang w:eastAsia="cs-CZ"/>
        </w:rPr>
        <w:t>-0</w:t>
      </w:r>
      <w:r w:rsidR="00467F1D">
        <w:rPr>
          <w:rFonts w:ascii="Book Antiqua" w:hAnsi="Book Antiqua" w:cs="Tahoma"/>
          <w:b/>
          <w:sz w:val="28"/>
          <w:szCs w:val="28"/>
          <w:lang w:eastAsia="cs-CZ"/>
        </w:rPr>
        <w:t>2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10D20822" w14:textId="023690B0" w:rsidR="00611918" w:rsidRPr="008775EB" w:rsidRDefault="00737DEC" w:rsidP="00737DEC">
      <w:pPr>
        <w:jc w:val="center"/>
        <w:rPr>
          <w:rFonts w:ascii="Palatino Linotype" w:hAnsi="Palatino Linotype" w:cs="Arial"/>
          <w:szCs w:val="24"/>
        </w:rPr>
      </w:pPr>
      <w:r w:rsidRPr="00737DEC">
        <w:rPr>
          <w:rFonts w:ascii="Palatino Linotype" w:hAnsi="Palatino Linotype" w:cs="Arial"/>
          <w:szCs w:val="24"/>
        </w:rPr>
        <w:t>uzavíraná v souladu s § 92 odst. 1 písm. b) zákona č. 137/2006 Sb., o veřejných zakázkách, ve znění pozdějších předpisů 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="00611918"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</w:t>
      </w:r>
      <w:r w:rsidR="00DA172E" w:rsidRPr="008775EB">
        <w:rPr>
          <w:rFonts w:ascii="Palatino Linotype" w:hAnsi="Palatino Linotype" w:cs="Arial"/>
          <w:szCs w:val="24"/>
        </w:rPr>
        <w:t>MPSV ze dne 4. 7. 2016</w:t>
      </w:r>
    </w:p>
    <w:p w14:paraId="648EBE2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EC4BEE7" w14:textId="7F3B72F3" w:rsidR="00467F1D" w:rsidRPr="00467F1D" w:rsidRDefault="00467F1D" w:rsidP="00467F1D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 w:rsidRPr="00467F1D">
        <w:rPr>
          <w:rFonts w:ascii="Book Antiqua" w:hAnsi="Book Antiqua"/>
          <w:b/>
          <w:bCs/>
          <w:color w:val="000000"/>
          <w:sz w:val="28"/>
          <w:szCs w:val="28"/>
        </w:rPr>
        <w:t>Služby v oblasti rozvoje KSI a WAN MPSV zahrnující projekty z oblasti systémová infrastruktura –</w:t>
      </w:r>
      <w:r w:rsidR="005A24EE">
        <w:rPr>
          <w:rFonts w:ascii="Book Antiqua" w:hAnsi="Book Antiqua"/>
          <w:b/>
          <w:bCs/>
          <w:color w:val="000000"/>
          <w:sz w:val="28"/>
          <w:szCs w:val="28"/>
        </w:rPr>
        <w:t xml:space="preserve">Videokonference, </w:t>
      </w:r>
      <w:r w:rsidRPr="00467F1D">
        <w:rPr>
          <w:rFonts w:ascii="Book Antiqua" w:hAnsi="Book Antiqua"/>
          <w:b/>
          <w:bCs/>
          <w:color w:val="000000"/>
          <w:sz w:val="28"/>
          <w:szCs w:val="28"/>
        </w:rPr>
        <w:t xml:space="preserve"> Služby v oblasti poskytování specialistů odborných profesí, Služby aktualizace ePD a dohledových systémů MPSV</w:t>
      </w:r>
    </w:p>
    <w:p w14:paraId="670FFA27" w14:textId="545938A4" w:rsid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DDEC6EA" w14:textId="05E3279A" w:rsid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7BDB522F" w:rsidR="007C0C09" w:rsidRPr="00440981" w:rsidRDefault="007871A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lang w:eastAsia="cs-CZ"/>
        </w:rPr>
      </w:pPr>
      <w:r>
        <w:rPr>
          <w:rFonts w:ascii="Book Antiqua" w:hAnsi="Book Antiqua" w:cs="Tahoma"/>
          <w:b/>
          <w:sz w:val="22"/>
          <w:szCs w:val="28"/>
          <w:lang w:eastAsia="cs-CZ"/>
        </w:rPr>
        <w:t>Videokonference</w:t>
      </w:r>
      <w:r w:rsidR="00467F1D">
        <w:rPr>
          <w:rFonts w:ascii="Book Antiqua" w:hAnsi="Book Antiqua" w:cs="Tahoma"/>
          <w:b/>
          <w:sz w:val="22"/>
          <w:szCs w:val="28"/>
          <w:lang w:eastAsia="cs-CZ"/>
        </w:rPr>
        <w:t xml:space="preserve"> (ZLR 2017-02)</w:t>
      </w: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1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1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1333701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A5768">
        <w:rPr>
          <w:rFonts w:ascii="Palatino Linotype" w:hAnsi="Palatino Linotype" w:cs="Tahoma"/>
          <w:sz w:val="22"/>
          <w:szCs w:val="22"/>
          <w:lang w:eastAsia="cs-CZ"/>
        </w:rPr>
        <w:t>19-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2229001/0710</w:t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27-6667590237/0100</w:t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57446C7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8E5B83" w:rsidRPr="00440981">
        <w:rPr>
          <w:rFonts w:ascii="Palatino Linotype" w:hAnsi="Palatino Linotype" w:cs="Arial"/>
          <w:sz w:val="22"/>
          <w:szCs w:val="22"/>
        </w:rPr>
        <w:t>-0</w:t>
      </w:r>
      <w:r w:rsidR="008D52B8">
        <w:rPr>
          <w:rFonts w:ascii="Palatino Linotype" w:hAnsi="Palatino Linotype" w:cs="Arial"/>
          <w:sz w:val="22"/>
          <w:szCs w:val="22"/>
        </w:rPr>
        <w:t>2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6CE7BE64" w:rsidR="008A4DB3" w:rsidRPr="00440981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Plnění dle </w:t>
      </w:r>
      <w:r>
        <w:rPr>
          <w:rFonts w:ascii="Palatino Linotype" w:hAnsi="Palatino Linotype" w:cs="Arial"/>
          <w:sz w:val="22"/>
          <w:szCs w:val="22"/>
        </w:rPr>
        <w:t>této Prováděcí s</w:t>
      </w:r>
      <w:r w:rsidRPr="008A4DB3">
        <w:rPr>
          <w:rFonts w:ascii="Palatino Linotype" w:hAnsi="Palatino Linotype" w:cs="Arial"/>
          <w:sz w:val="22"/>
          <w:szCs w:val="22"/>
        </w:rPr>
        <w:t>mlouvy bud</w:t>
      </w:r>
      <w:r>
        <w:rPr>
          <w:rFonts w:ascii="Palatino Linotype" w:hAnsi="Palatino Linotype" w:cs="Arial"/>
          <w:sz w:val="22"/>
          <w:szCs w:val="22"/>
        </w:rPr>
        <w:t>e poskytováno</w:t>
      </w:r>
      <w:r w:rsidRPr="008A4DB3">
        <w:rPr>
          <w:rFonts w:ascii="Palatino Linotype" w:hAnsi="Palatino Linotype" w:cs="Arial"/>
          <w:sz w:val="22"/>
          <w:szCs w:val="22"/>
        </w:rPr>
        <w:t xml:space="preserve"> v sídle MPSV a v dalších lokalitách a pracovištích v rámci České republiky (zejména těch vymezených v příloze č. 5 Rámcové smlouvy), přičemž konkrétní</w:t>
      </w:r>
      <w:r>
        <w:rPr>
          <w:rFonts w:ascii="Palatino Linotype" w:hAnsi="Palatino Linotype" w:cs="Arial"/>
          <w:sz w:val="22"/>
          <w:szCs w:val="22"/>
        </w:rPr>
        <w:t>m místem</w:t>
      </w:r>
      <w:r w:rsidRPr="008A4DB3">
        <w:rPr>
          <w:rFonts w:ascii="Palatino Linotype" w:hAnsi="Palatino Linotype" w:cs="Arial"/>
          <w:sz w:val="22"/>
          <w:szCs w:val="22"/>
        </w:rPr>
        <w:t xml:space="preserve"> plnění </w:t>
      </w:r>
      <w:r w:rsidR="008E5B83">
        <w:rPr>
          <w:rFonts w:ascii="Palatino Linotype" w:hAnsi="Palatino Linotype" w:cs="Arial"/>
          <w:sz w:val="22"/>
          <w:szCs w:val="22"/>
        </w:rPr>
        <w:t xml:space="preserve">jsou lokality </w:t>
      </w:r>
      <w:r w:rsidR="008E5B83" w:rsidRPr="00440981">
        <w:rPr>
          <w:rFonts w:ascii="Palatino Linotype" w:hAnsi="Palatino Linotype" w:cs="Arial"/>
          <w:sz w:val="22"/>
          <w:szCs w:val="22"/>
        </w:rPr>
        <w:t xml:space="preserve">Na Poříčním právu 376/1 a </w:t>
      </w:r>
      <w:r w:rsidR="009E5990">
        <w:rPr>
          <w:rFonts w:ascii="Palatino Linotype" w:hAnsi="Palatino Linotype" w:cs="Arial"/>
          <w:sz w:val="22"/>
          <w:szCs w:val="22"/>
        </w:rPr>
        <w:t>Karlovo náměstí.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on-site.</w:t>
      </w:r>
    </w:p>
    <w:p w14:paraId="5530B930" w14:textId="77777777" w:rsidR="00A809DB" w:rsidRPr="00DA172E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A809DB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59A11302" w:rsid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>
        <w:rPr>
          <w:rFonts w:ascii="Palatino Linotype" w:hAnsi="Palatino Linotype" w:cs="Arial"/>
          <w:sz w:val="22"/>
          <w:szCs w:val="22"/>
        </w:rPr>
        <w:t>č. 1 této P</w:t>
      </w:r>
      <w:r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>
        <w:rPr>
          <w:rFonts w:ascii="Palatino Linotype" w:hAnsi="Palatino Linotype" w:cs="Arial"/>
          <w:sz w:val="22"/>
          <w:szCs w:val="22"/>
        </w:rPr>
        <w:t>3</w:t>
      </w:r>
      <w:r w:rsidR="00C923CC">
        <w:rPr>
          <w:rFonts w:ascii="Palatino Linotype" w:hAnsi="Palatino Linotype" w:cs="Arial"/>
          <w:sz w:val="22"/>
          <w:szCs w:val="22"/>
        </w:rPr>
        <w:t>0</w:t>
      </w:r>
      <w:r w:rsidR="0017343E">
        <w:rPr>
          <w:rFonts w:ascii="Palatino Linotype" w:hAnsi="Palatino Linotype" w:cs="Arial"/>
          <w:sz w:val="22"/>
          <w:szCs w:val="22"/>
        </w:rPr>
        <w:t>.0</w:t>
      </w:r>
      <w:r w:rsidR="00C923CC">
        <w:rPr>
          <w:rFonts w:ascii="Palatino Linotype" w:hAnsi="Palatino Linotype" w:cs="Arial"/>
          <w:sz w:val="22"/>
          <w:szCs w:val="22"/>
        </w:rPr>
        <w:t>6</w:t>
      </w:r>
      <w:r w:rsidR="0017343E">
        <w:rPr>
          <w:rFonts w:ascii="Palatino Linotype" w:hAnsi="Palatino Linotype" w:cs="Arial"/>
          <w:sz w:val="22"/>
          <w:szCs w:val="22"/>
        </w:rPr>
        <w:t>.2017</w:t>
      </w:r>
      <w:r w:rsidR="008E5B83" w:rsidRPr="0017343E">
        <w:rPr>
          <w:rFonts w:ascii="Palatino Linotype" w:hAnsi="Palatino Linotype" w:cs="Arial"/>
          <w:sz w:val="22"/>
          <w:szCs w:val="22"/>
        </w:rPr>
        <w:t>.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056E8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056E8">
        <w:rPr>
          <w:rFonts w:ascii="Palatino Linotype" w:hAnsi="Palatino Linotype" w:cs="Arial"/>
          <w:sz w:val="22"/>
          <w:szCs w:val="22"/>
        </w:rPr>
        <w:t> případě prokazatelného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prodlení </w:t>
      </w:r>
      <w:r w:rsidRPr="00C056E8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0AC9A97C" w:rsidR="0094333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výši </w:t>
      </w:r>
      <w:r w:rsidR="008D52B8">
        <w:rPr>
          <w:rFonts w:ascii="Palatino Linotype" w:hAnsi="Palatino Linotype" w:cs="Arial"/>
          <w:sz w:val="22"/>
          <w:szCs w:val="22"/>
        </w:rPr>
        <w:t>758.200</w:t>
      </w:r>
      <w:r w:rsidRPr="00440981">
        <w:rPr>
          <w:rFonts w:ascii="Palatino Linotype" w:hAnsi="Palatino Linotype" w:cs="Arial"/>
          <w:sz w:val="22"/>
          <w:szCs w:val="22"/>
        </w:rPr>
        <w:t>,-</w:t>
      </w:r>
      <w:r w:rsidR="00C056E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 xml:space="preserve">Kč (slovy: </w:t>
      </w:r>
      <w:r w:rsidR="008D52B8">
        <w:rPr>
          <w:rFonts w:ascii="Palatino Linotype" w:hAnsi="Palatino Linotype" w:cs="Arial"/>
          <w:sz w:val="22"/>
          <w:szCs w:val="22"/>
        </w:rPr>
        <w:t>sedmsetpadesátosmtisícdvěstě</w:t>
      </w:r>
      <w:r w:rsidR="00597DE9" w:rsidRPr="00440981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40981">
        <w:rPr>
          <w:rFonts w:ascii="Palatino Linotype" w:hAnsi="Palatino Linotype" w:cs="Arial"/>
          <w:sz w:val="22"/>
          <w:szCs w:val="22"/>
        </w:rPr>
        <w:t xml:space="preserve">) 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8D52B8">
        <w:rPr>
          <w:rFonts w:ascii="Palatino Linotype" w:hAnsi="Palatino Linotype" w:cs="Arial"/>
          <w:spacing w:val="-15"/>
          <w:sz w:val="22"/>
          <w:szCs w:val="22"/>
        </w:rPr>
        <w:t>917.422</w:t>
      </w:r>
      <w:r w:rsidR="009E7028" w:rsidRPr="00440981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r w:rsidR="008D52B8">
        <w:rPr>
          <w:rFonts w:ascii="Palatino Linotype" w:hAnsi="Palatino Linotype" w:cs="Arial"/>
          <w:spacing w:val="-15"/>
          <w:sz w:val="22"/>
          <w:szCs w:val="22"/>
        </w:rPr>
        <w:t>devětsetsedmnácttisícčtyřistadvacetdva</w:t>
      </w:r>
      <w:r w:rsidR="00597DE9" w:rsidRPr="00440981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5538DC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5538DC">
        <w:rPr>
          <w:rFonts w:ascii="Palatino Linotype" w:hAnsi="Palatino Linotype" w:cs="Arial"/>
          <w:spacing w:val="-1"/>
          <w:sz w:val="22"/>
          <w:szCs w:val="22"/>
        </w:rPr>
        <w:t>.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8775EB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 xml:space="preserve">Cenu plnění je možné měnit pouze v případě změny výše sazby </w:t>
      </w:r>
      <w:r w:rsidRPr="00943336">
        <w:rPr>
          <w:rFonts w:ascii="Palatino Linotype" w:hAnsi="Palatino Linotype" w:cs="Arial"/>
          <w:sz w:val="22"/>
          <w:szCs w:val="22"/>
        </w:rPr>
        <w:lastRenderedPageBreak/>
        <w:t>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8E5B83" w:rsidRPr="00440981">
        <w:rPr>
          <w:rFonts w:ascii="Palatino Linotype" w:hAnsi="Palatino Linotype" w:cs="Arial"/>
          <w:sz w:val="22"/>
          <w:szCs w:val="22"/>
        </w:rPr>
        <w:t>karel.svitil</w:t>
      </w:r>
      <w:r w:rsidR="008E5B83" w:rsidRPr="00440981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440981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lastRenderedPageBreak/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6424E1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1C87E3C" w14:textId="77777777" w:rsidR="00DF6379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6AE75E02" w14:textId="77777777" w:rsidR="00DF6379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966A94A" w14:textId="77777777" w:rsidR="009E5990" w:rsidRDefault="009E599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E91E5A8" w14:textId="4E94B167" w:rsidR="009E5990" w:rsidRPr="00881871" w:rsidRDefault="009E5990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2954AA5D" w14:textId="09D7760D" w:rsidR="009E5990" w:rsidRDefault="009E5990" w:rsidP="001D000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9E5990" w:rsidSect="005F74D4">
      <w:headerReference w:type="default" r:id="rId12"/>
      <w:footerReference w:type="default" r:id="rId13"/>
      <w:headerReference w:type="first" r:id="rId14"/>
      <w:footerReference w:type="first" r:id="rId15"/>
      <w:pgSz w:w="16834" w:h="11909" w:orient="landscape" w:code="9"/>
      <w:pgMar w:top="1134" w:right="1418" w:bottom="1134" w:left="1418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191F" w14:textId="77777777" w:rsidR="00DA6B16" w:rsidRDefault="00DA6B16" w:rsidP="00312D44">
      <w:pPr>
        <w:spacing w:line="240" w:lineRule="auto"/>
      </w:pPr>
      <w:r>
        <w:separator/>
      </w:r>
    </w:p>
  </w:endnote>
  <w:endnote w:type="continuationSeparator" w:id="0">
    <w:p w14:paraId="37C03498" w14:textId="77777777" w:rsidR="00DA6B16" w:rsidRDefault="00DA6B16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361F" w14:textId="1E4D420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27A3E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27A3E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5301" w14:textId="1614CDFC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27A3E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27A3E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DB30" w14:textId="77777777" w:rsidR="00DA6B16" w:rsidRDefault="00DA6B16" w:rsidP="00312D44">
      <w:pPr>
        <w:spacing w:line="240" w:lineRule="auto"/>
      </w:pPr>
      <w:r>
        <w:separator/>
      </w:r>
    </w:p>
  </w:footnote>
  <w:footnote w:type="continuationSeparator" w:id="0">
    <w:p w14:paraId="02358397" w14:textId="77777777" w:rsidR="00DA6B16" w:rsidRDefault="00DA6B16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3A65" w14:textId="61468C53" w:rsidR="00467F1D" w:rsidRPr="00611E2F" w:rsidRDefault="008D52B8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ANECT/MPSV/1702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 xml:space="preserve">interní ID: </w:t>
    </w:r>
    <w:r w:rsidR="009E5990">
      <w:rPr>
        <w:rFonts w:ascii="Arial" w:hAnsi="Arial" w:cs="Arial"/>
        <w:szCs w:val="16"/>
      </w:rPr>
      <w:t>2605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MPSV1.17.0077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97B"/>
    <w:multiLevelType w:val="hybridMultilevel"/>
    <w:tmpl w:val="FED2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>
    <w:nsid w:val="0E075665"/>
    <w:multiLevelType w:val="hybridMultilevel"/>
    <w:tmpl w:val="5B42514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D40A3"/>
    <w:multiLevelType w:val="hybridMultilevel"/>
    <w:tmpl w:val="C32AD6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662D7"/>
    <w:multiLevelType w:val="hybridMultilevel"/>
    <w:tmpl w:val="23DAADE2"/>
    <w:lvl w:ilvl="0" w:tplc="16ECA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014DE"/>
    <w:multiLevelType w:val="hybridMultilevel"/>
    <w:tmpl w:val="8826AD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1E5B4B8D"/>
    <w:multiLevelType w:val="hybridMultilevel"/>
    <w:tmpl w:val="373E91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2D1074DA"/>
    <w:multiLevelType w:val="hybridMultilevel"/>
    <w:tmpl w:val="2E34C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61E7B"/>
    <w:multiLevelType w:val="hybridMultilevel"/>
    <w:tmpl w:val="B0762D88"/>
    <w:lvl w:ilvl="0" w:tplc="7E60AF0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5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7945A66"/>
    <w:multiLevelType w:val="hybridMultilevel"/>
    <w:tmpl w:val="6BE49C16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EA4C60"/>
    <w:multiLevelType w:val="hybridMultilevel"/>
    <w:tmpl w:val="A7620C18"/>
    <w:lvl w:ilvl="0" w:tplc="C374B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E4E3C"/>
    <w:multiLevelType w:val="multilevel"/>
    <w:tmpl w:val="5538C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ind w:left="1114" w:hanging="39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1AC1680"/>
    <w:multiLevelType w:val="hybridMultilevel"/>
    <w:tmpl w:val="C45A2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B56DD"/>
    <w:multiLevelType w:val="hybridMultilevel"/>
    <w:tmpl w:val="496E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3">
    <w:nsid w:val="488B3098"/>
    <w:multiLevelType w:val="hybridMultilevel"/>
    <w:tmpl w:val="06CAD5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E77DE2"/>
    <w:multiLevelType w:val="hybridMultilevel"/>
    <w:tmpl w:val="1AF0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B1EBD"/>
    <w:multiLevelType w:val="hybridMultilevel"/>
    <w:tmpl w:val="CD0AA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91864"/>
    <w:multiLevelType w:val="hybridMultilevel"/>
    <w:tmpl w:val="EB8CF580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8">
    <w:nsid w:val="583821AB"/>
    <w:multiLevelType w:val="hybridMultilevel"/>
    <w:tmpl w:val="8D30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26353"/>
    <w:multiLevelType w:val="hybridMultilevel"/>
    <w:tmpl w:val="5B5E8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53D8B"/>
    <w:multiLevelType w:val="hybridMultilevel"/>
    <w:tmpl w:val="976CA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01D00"/>
    <w:multiLevelType w:val="hybridMultilevel"/>
    <w:tmpl w:val="757CA51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B10E1"/>
    <w:multiLevelType w:val="hybridMultilevel"/>
    <w:tmpl w:val="5BF89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4">
    <w:nsid w:val="693276C1"/>
    <w:multiLevelType w:val="hybridMultilevel"/>
    <w:tmpl w:val="5B4A85D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C39F2"/>
    <w:multiLevelType w:val="hybridMultilevel"/>
    <w:tmpl w:val="96E8D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0F1775"/>
    <w:multiLevelType w:val="hybridMultilevel"/>
    <w:tmpl w:val="29E223B0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57301E1"/>
    <w:multiLevelType w:val="hybridMultilevel"/>
    <w:tmpl w:val="AFB08332"/>
    <w:lvl w:ilvl="0" w:tplc="8D9617C8">
      <w:start w:val="3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44700"/>
    <w:multiLevelType w:val="hybridMultilevel"/>
    <w:tmpl w:val="FFA8646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1">
    <w:nsid w:val="7D5E470E"/>
    <w:multiLevelType w:val="hybridMultilevel"/>
    <w:tmpl w:val="6D9093CC"/>
    <w:lvl w:ilvl="0" w:tplc="4468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0B50B0"/>
    <w:multiLevelType w:val="multilevel"/>
    <w:tmpl w:val="57CA5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ind w:left="1114" w:hanging="39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14"/>
  </w:num>
  <w:num w:numId="8">
    <w:abstractNumId w:val="2"/>
  </w:num>
  <w:num w:numId="9">
    <w:abstractNumId w:val="22"/>
  </w:num>
  <w:num w:numId="10">
    <w:abstractNumId w:val="33"/>
  </w:num>
  <w:num w:numId="11">
    <w:abstractNumId w:val="27"/>
  </w:num>
  <w:num w:numId="12">
    <w:abstractNumId w:val="1"/>
  </w:num>
  <w:num w:numId="13">
    <w:abstractNumId w:val="20"/>
  </w:num>
  <w:num w:numId="14">
    <w:abstractNumId w:val="15"/>
  </w:num>
  <w:num w:numId="15">
    <w:abstractNumId w:val="39"/>
  </w:num>
  <w:num w:numId="16">
    <w:abstractNumId w:val="42"/>
  </w:num>
  <w:num w:numId="17">
    <w:abstractNumId w:val="18"/>
  </w:num>
  <w:num w:numId="18">
    <w:abstractNumId w:val="0"/>
  </w:num>
  <w:num w:numId="19">
    <w:abstractNumId w:val="34"/>
  </w:num>
  <w:num w:numId="20">
    <w:abstractNumId w:val="31"/>
  </w:num>
  <w:num w:numId="21">
    <w:abstractNumId w:val="3"/>
  </w:num>
  <w:num w:numId="22">
    <w:abstractNumId w:val="16"/>
  </w:num>
  <w:num w:numId="23">
    <w:abstractNumId w:val="28"/>
  </w:num>
  <w:num w:numId="24">
    <w:abstractNumId w:val="37"/>
  </w:num>
  <w:num w:numId="25">
    <w:abstractNumId w:val="26"/>
  </w:num>
  <w:num w:numId="26">
    <w:abstractNumId w:val="6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30"/>
  </w:num>
  <w:num w:numId="32">
    <w:abstractNumId w:val="21"/>
  </w:num>
  <w:num w:numId="33">
    <w:abstractNumId w:val="12"/>
  </w:num>
  <w:num w:numId="34">
    <w:abstractNumId w:val="25"/>
  </w:num>
  <w:num w:numId="35">
    <w:abstractNumId w:val="36"/>
  </w:num>
  <w:num w:numId="36">
    <w:abstractNumId w:val="4"/>
  </w:num>
  <w:num w:numId="37">
    <w:abstractNumId w:val="13"/>
  </w:num>
  <w:num w:numId="38">
    <w:abstractNumId w:val="9"/>
  </w:num>
  <w:num w:numId="39">
    <w:abstractNumId w:val="24"/>
  </w:num>
  <w:num w:numId="40">
    <w:abstractNumId w:val="17"/>
  </w:num>
  <w:num w:numId="41">
    <w:abstractNumId w:val="5"/>
  </w:num>
  <w:num w:numId="42">
    <w:abstractNumId w:val="41"/>
  </w:num>
  <w:num w:numId="43">
    <w:abstractNumId w:val="38"/>
  </w:num>
  <w:num w:numId="44">
    <w:abstractNumId w:val="20"/>
  </w:num>
  <w:num w:numId="45">
    <w:abstractNumId w:val="20"/>
  </w:num>
  <w:num w:numId="4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6820"/>
    <w:rsid w:val="000726A0"/>
    <w:rsid w:val="00087231"/>
    <w:rsid w:val="00092C2A"/>
    <w:rsid w:val="00094AD9"/>
    <w:rsid w:val="000B33E2"/>
    <w:rsid w:val="000B4B06"/>
    <w:rsid w:val="000D492C"/>
    <w:rsid w:val="000F7AB7"/>
    <w:rsid w:val="00107C8B"/>
    <w:rsid w:val="00116327"/>
    <w:rsid w:val="00127F22"/>
    <w:rsid w:val="00172227"/>
    <w:rsid w:val="0017343E"/>
    <w:rsid w:val="001A23A5"/>
    <w:rsid w:val="001B4871"/>
    <w:rsid w:val="001C0BB8"/>
    <w:rsid w:val="001C3B5C"/>
    <w:rsid w:val="001D000C"/>
    <w:rsid w:val="001E26BA"/>
    <w:rsid w:val="002021D7"/>
    <w:rsid w:val="00222D10"/>
    <w:rsid w:val="00245EEA"/>
    <w:rsid w:val="00283567"/>
    <w:rsid w:val="002840F1"/>
    <w:rsid w:val="00312D44"/>
    <w:rsid w:val="0031757B"/>
    <w:rsid w:val="003245F4"/>
    <w:rsid w:val="00327A3E"/>
    <w:rsid w:val="003323A8"/>
    <w:rsid w:val="003438D3"/>
    <w:rsid w:val="00347813"/>
    <w:rsid w:val="0035581B"/>
    <w:rsid w:val="00357F62"/>
    <w:rsid w:val="003723DD"/>
    <w:rsid w:val="003867D3"/>
    <w:rsid w:val="003E5408"/>
    <w:rsid w:val="00415CD3"/>
    <w:rsid w:val="00440981"/>
    <w:rsid w:val="00447DC1"/>
    <w:rsid w:val="0045568E"/>
    <w:rsid w:val="00467F1D"/>
    <w:rsid w:val="0047414B"/>
    <w:rsid w:val="004850C4"/>
    <w:rsid w:val="00486269"/>
    <w:rsid w:val="00504169"/>
    <w:rsid w:val="005121F9"/>
    <w:rsid w:val="00513D9F"/>
    <w:rsid w:val="00546E5C"/>
    <w:rsid w:val="005538DC"/>
    <w:rsid w:val="005562F1"/>
    <w:rsid w:val="00564456"/>
    <w:rsid w:val="00565587"/>
    <w:rsid w:val="00597DE9"/>
    <w:rsid w:val="005A24EE"/>
    <w:rsid w:val="005A31BB"/>
    <w:rsid w:val="005B1421"/>
    <w:rsid w:val="005E6816"/>
    <w:rsid w:val="005F74D4"/>
    <w:rsid w:val="00611918"/>
    <w:rsid w:val="006424E1"/>
    <w:rsid w:val="00671C04"/>
    <w:rsid w:val="00694143"/>
    <w:rsid w:val="006C75D3"/>
    <w:rsid w:val="006E57DC"/>
    <w:rsid w:val="00737DEC"/>
    <w:rsid w:val="0075396F"/>
    <w:rsid w:val="00757185"/>
    <w:rsid w:val="007620A5"/>
    <w:rsid w:val="00775471"/>
    <w:rsid w:val="007871AD"/>
    <w:rsid w:val="007A710A"/>
    <w:rsid w:val="007C0C09"/>
    <w:rsid w:val="007C137D"/>
    <w:rsid w:val="007E1D27"/>
    <w:rsid w:val="007E4EE5"/>
    <w:rsid w:val="007F04D5"/>
    <w:rsid w:val="007F155A"/>
    <w:rsid w:val="00804E22"/>
    <w:rsid w:val="0083224B"/>
    <w:rsid w:val="00836417"/>
    <w:rsid w:val="00842842"/>
    <w:rsid w:val="008775EB"/>
    <w:rsid w:val="00881871"/>
    <w:rsid w:val="00882E2E"/>
    <w:rsid w:val="008854DB"/>
    <w:rsid w:val="00893D69"/>
    <w:rsid w:val="008A4DB3"/>
    <w:rsid w:val="008D4C66"/>
    <w:rsid w:val="008D52B8"/>
    <w:rsid w:val="008E174C"/>
    <w:rsid w:val="008E328E"/>
    <w:rsid w:val="008E5B83"/>
    <w:rsid w:val="008E5FCB"/>
    <w:rsid w:val="009162A8"/>
    <w:rsid w:val="009261B1"/>
    <w:rsid w:val="00943336"/>
    <w:rsid w:val="009756C6"/>
    <w:rsid w:val="00986B58"/>
    <w:rsid w:val="009A6185"/>
    <w:rsid w:val="009E5990"/>
    <w:rsid w:val="009E7028"/>
    <w:rsid w:val="009F2AC4"/>
    <w:rsid w:val="00A04809"/>
    <w:rsid w:val="00A06E5D"/>
    <w:rsid w:val="00A167FC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84CA1"/>
    <w:rsid w:val="00BF2556"/>
    <w:rsid w:val="00C056E8"/>
    <w:rsid w:val="00C10D2C"/>
    <w:rsid w:val="00C36C6D"/>
    <w:rsid w:val="00C5609E"/>
    <w:rsid w:val="00C90020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097D"/>
    <w:rsid w:val="00DF6379"/>
    <w:rsid w:val="00E04D6A"/>
    <w:rsid w:val="00E535BC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B7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FB03-C81E-4CBA-8712-13DA486703A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C94739-CBAC-4618-B408-0E6FA5FCD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D98D-C377-46A0-95A2-7ACBFF4D1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F9A86-6C83-4CBA-975A-E054CBE4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Kalášková Hana (MPSV)</cp:lastModifiedBy>
  <cp:revision>2</cp:revision>
  <cp:lastPrinted>2017-02-22T11:38:00Z</cp:lastPrinted>
  <dcterms:created xsi:type="dcterms:W3CDTF">2017-03-16T12:32:00Z</dcterms:created>
  <dcterms:modified xsi:type="dcterms:W3CDTF">2017-03-16T12:32:00Z</dcterms:modified>
</cp:coreProperties>
</file>