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25400" distR="25400" simplePos="0" relativeHeight="125829378" behindDoc="0" locked="0" layoutInCell="1" allowOverlap="1">
                <wp:simplePos x="0" y="0"/>
                <wp:positionH relativeFrom="page">
                  <wp:posOffset>5234305</wp:posOffset>
                </wp:positionH>
                <wp:positionV relativeFrom="paragraph">
                  <wp:posOffset>12700</wp:posOffset>
                </wp:positionV>
                <wp:extent cx="2091690" cy="781050"/>
                <wp:wrapSquare wrapText="bothSides"/>
                <wp:docPr id="1" name="Shape 1"/>
                <a:graphic xmlns:a="http://schemas.openxmlformats.org/drawingml/2006/main">
                  <a:graphicData uri="http://schemas.microsoft.com/office/word/2010/wordprocessingShape">
                    <wps:wsp>
                      <wps:cNvSpPr txBox="1"/>
                      <wps:spPr>
                        <a:xfrm>
                          <a:ext cx="2091690" cy="781050"/>
                        </a:xfrm>
                        <a:prstGeom prst="rect"/>
                        <a:noFill/>
                      </wps:spPr>
                      <wps:txbx>
                        <w:txbxContent>
                          <w:tbl>
                            <w:tblPr>
                              <w:tblOverlap w:val="never"/>
                              <w:jc w:val="left"/>
                              <w:tblLayout w:type="fixed"/>
                            </w:tblPr>
                            <w:tblGrid>
                              <w:gridCol w:w="2514"/>
                              <w:gridCol w:w="780"/>
                            </w:tblGrid>
                            <w:tr>
                              <w:trPr>
                                <w:tblHeader/>
                                <w:trHeight w:val="76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57" w:lineRule="auto"/>
                                    <w:ind w:left="0" w:right="0" w:firstLine="0"/>
                                    <w:jc w:val="left"/>
                                    <w:rPr>
                                      <w:sz w:val="16"/>
                                      <w:szCs w:val="16"/>
                                    </w:rPr>
                                  </w:pPr>
                                  <w:r>
                                    <w:rPr>
                                      <w:color w:val="000000"/>
                                      <w:spacing w:val="0"/>
                                      <w:w w:val="100"/>
                                      <w:position w:val="0"/>
                                      <w:sz w:val="16"/>
                                      <w:szCs w:val="16"/>
                                      <w:shd w:val="clear" w:color="auto" w:fill="auto"/>
                                      <w:lang w:val="cs-CZ" w:eastAsia="cs-CZ" w:bidi="cs-CZ"/>
                                    </w:rPr>
                                    <w:t>KRAJSKÁ SPRÁVA A ÚDRŽBA SILNIC příspěvková organizace SMLOUVA REGISTROVÁNA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VYSOČINY</w:t>
                                  </w:r>
                                </w:p>
                              </w:tc>
                            </w:tr>
                            <w:tr>
                              <w:trPr>
                                <w:trHeight w:val="462" w:hRule="exact"/>
                              </w:trPr>
                              <w:tc>
                                <w:tcPr>
                                  <w:tcBorders>
                                    <w:left w:val="single" w:sz="4"/>
                                    <w:bottom w:val="single" w:sz="4"/>
                                  </w:tcBorders>
                                  <w:shd w:val="clear" w:color="auto" w:fill="FFFFFF"/>
                                  <w:vAlign w:val="center"/>
                                </w:tcPr>
                                <w:p>
                                  <w:pPr>
                                    <w:pStyle w:val="Style2"/>
                                    <w:keepNext w:val="0"/>
                                    <w:keepLines w:val="0"/>
                                    <w:widowControl w:val="0"/>
                                    <w:shd w:val="clear" w:color="auto" w:fill="auto"/>
                                    <w:tabs>
                                      <w:tab w:pos="1434"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pod číslem:</w:t>
                                    <w:tab/>
                                  </w:r>
                                  <w:r>
                                    <w:rPr>
                                      <w:color w:val="2D3A71"/>
                                      <w:spacing w:val="0"/>
                                      <w:w w:val="100"/>
                                      <w:position w:val="0"/>
                                      <w:sz w:val="16"/>
                                      <w:szCs w:val="16"/>
                                      <w:shd w:val="clear" w:color="auto" w:fill="auto"/>
                                      <w:lang w:val="cs-CZ" w:eastAsia="cs-CZ" w:bidi="cs-CZ"/>
                                    </w:rPr>
                                    <w:t>2.014*</w:t>
                                  </w:r>
                                </w:p>
                              </w:tc>
                              <w:tc>
                                <w:tcPr>
                                  <w:tcBorders>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2D3A71"/>
                                      <w:spacing w:val="0"/>
                                      <w:w w:val="100"/>
                                      <w:position w:val="0"/>
                                      <w:sz w:val="17"/>
                                      <w:szCs w:val="17"/>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2D3A71"/>
                                      <w:spacing w:val="0"/>
                                      <w:w w:val="100"/>
                                      <w:position w:val="0"/>
                                      <w:sz w:val="17"/>
                                      <w:szCs w:val="17"/>
                                      <w:shd w:val="clear" w:color="auto" w:fill="auto"/>
                                      <w:lang w:val="cs-CZ" w:eastAsia="cs-CZ" w:bidi="cs-CZ"/>
                                    </w:rPr>
                                    <w:t>V\€&gt;|/</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2.14999999999998pt;margin-top:1.pt;width:164.69999999999999pt;height:61.5pt;z-index:-125829375;mso-wrap-distance-left:2.pt;mso-wrap-distance-right:2.pt;mso-position-horizontal-relative:page" filled="f" stroked="f">
                <v:textbox inset="0,0,0,0">
                  <w:txbxContent>
                    <w:tbl>
                      <w:tblPr>
                        <w:tblOverlap w:val="never"/>
                        <w:jc w:val="left"/>
                        <w:tblLayout w:type="fixed"/>
                      </w:tblPr>
                      <w:tblGrid>
                        <w:gridCol w:w="2514"/>
                        <w:gridCol w:w="780"/>
                      </w:tblGrid>
                      <w:tr>
                        <w:trPr>
                          <w:tblHeader/>
                          <w:trHeight w:val="76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57" w:lineRule="auto"/>
                              <w:ind w:left="0" w:right="0" w:firstLine="0"/>
                              <w:jc w:val="left"/>
                              <w:rPr>
                                <w:sz w:val="16"/>
                                <w:szCs w:val="16"/>
                              </w:rPr>
                            </w:pPr>
                            <w:r>
                              <w:rPr>
                                <w:color w:val="000000"/>
                                <w:spacing w:val="0"/>
                                <w:w w:val="100"/>
                                <w:position w:val="0"/>
                                <w:sz w:val="16"/>
                                <w:szCs w:val="16"/>
                                <w:shd w:val="clear" w:color="auto" w:fill="auto"/>
                                <w:lang w:val="cs-CZ" w:eastAsia="cs-CZ" w:bidi="cs-CZ"/>
                              </w:rPr>
                              <w:t>KRAJSKÁ SPRÁVA A ÚDRŽBA SILNIC příspěvková organizace SMLOUVA REGISTROVÁNA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VYSOČINY</w:t>
                            </w:r>
                          </w:p>
                        </w:tc>
                      </w:tr>
                      <w:tr>
                        <w:trPr>
                          <w:trHeight w:val="462" w:hRule="exact"/>
                        </w:trPr>
                        <w:tc>
                          <w:tcPr>
                            <w:tcBorders>
                              <w:left w:val="single" w:sz="4"/>
                              <w:bottom w:val="single" w:sz="4"/>
                            </w:tcBorders>
                            <w:shd w:val="clear" w:color="auto" w:fill="FFFFFF"/>
                            <w:vAlign w:val="center"/>
                          </w:tcPr>
                          <w:p>
                            <w:pPr>
                              <w:pStyle w:val="Style2"/>
                              <w:keepNext w:val="0"/>
                              <w:keepLines w:val="0"/>
                              <w:widowControl w:val="0"/>
                              <w:shd w:val="clear" w:color="auto" w:fill="auto"/>
                              <w:tabs>
                                <w:tab w:pos="1434"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pod číslem:</w:t>
                              <w:tab/>
                            </w:r>
                            <w:r>
                              <w:rPr>
                                <w:color w:val="2D3A71"/>
                                <w:spacing w:val="0"/>
                                <w:w w:val="100"/>
                                <w:position w:val="0"/>
                                <w:sz w:val="16"/>
                                <w:szCs w:val="16"/>
                                <w:shd w:val="clear" w:color="auto" w:fill="auto"/>
                                <w:lang w:val="cs-CZ" w:eastAsia="cs-CZ" w:bidi="cs-CZ"/>
                              </w:rPr>
                              <w:t>2.014*</w:t>
                            </w:r>
                          </w:p>
                        </w:tc>
                        <w:tc>
                          <w:tcPr>
                            <w:tcBorders>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2D3A71"/>
                                <w:spacing w:val="0"/>
                                <w:w w:val="100"/>
                                <w:position w:val="0"/>
                                <w:sz w:val="17"/>
                                <w:szCs w:val="17"/>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2D3A71"/>
                                <w:spacing w:val="0"/>
                                <w:w w:val="100"/>
                                <w:position w:val="0"/>
                                <w:sz w:val="17"/>
                                <w:szCs w:val="17"/>
                                <w:shd w:val="clear" w:color="auto" w:fill="auto"/>
                                <w:lang w:val="cs-CZ" w:eastAsia="cs-CZ" w:bidi="cs-CZ"/>
                              </w:rPr>
                              <w:t>V\€&gt;|/</w:t>
                            </w: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828040</wp:posOffset>
                </wp:positionH>
                <wp:positionV relativeFrom="paragraph">
                  <wp:posOffset>1314450</wp:posOffset>
                </wp:positionV>
                <wp:extent cx="1287780" cy="2074545"/>
                <wp:wrapSquare wrapText="bothSides"/>
                <wp:docPr id="3" name="Shape 3"/>
                <a:graphic xmlns:a="http://schemas.openxmlformats.org/drawingml/2006/main">
                  <a:graphicData uri="http://schemas.microsoft.com/office/word/2010/wordprocessingShape">
                    <wps:wsp>
                      <wps:cNvSpPr txBox="1"/>
                      <wps:spPr>
                        <a:xfrm>
                          <a:ext cx="1287780" cy="2074545"/>
                        </a:xfrm>
                        <a:prstGeom prst="rect"/>
                        <a:noFill/>
                      </wps:spPr>
                      <wps:txbx>
                        <w:txbxContent>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Společnost: se sídlem: pracoviště Třebíč: zastoupená: kontaktní osoba: Bankovní spojení: Číslo účtu:</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(dále jen „Odběratel")</w:t>
                            </w:r>
                          </w:p>
                        </w:txbxContent>
                      </wps:txbx>
                      <wps:bodyPr lIns="0" tIns="0" rIns="0" bIns="0">
                        <a:noAutoFit/>
                      </wps:bodyPr>
                    </wps:wsp>
                  </a:graphicData>
                </a:graphic>
              </wp:anchor>
            </w:drawing>
          </mc:Choice>
          <mc:Fallback>
            <w:pict>
              <v:shape id="_x0000_s1029" type="#_x0000_t202" style="position:absolute;margin-left:65.200000000000003pt;margin-top:103.5pt;width:101.40000000000001pt;height:163.34999999999999pt;z-index:-12582937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Společnost: se sídlem: pracoviště Třebíč: zastoupená: kontaktní osoba: Bankovní spojení: Číslo účtu:</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(dále jen „Odběratel")</w:t>
                      </w:r>
                    </w:p>
                  </w:txbxContent>
                </v:textbox>
                <w10:wrap type="square" anchorx="page"/>
              </v:shape>
            </w:pict>
          </mc:Fallback>
        </mc:AlternateContent>
      </w:r>
      <w:r>
        <mc:AlternateContent>
          <mc:Choice Requires="wps">
            <w:drawing>
              <wp:anchor distT="88900" distB="444500" distL="114300" distR="114300" simplePos="0" relativeHeight="125829382" behindDoc="0" locked="0" layoutInCell="1" allowOverlap="1">
                <wp:simplePos x="0" y="0"/>
                <wp:positionH relativeFrom="page">
                  <wp:posOffset>2628265</wp:posOffset>
                </wp:positionH>
                <wp:positionV relativeFrom="paragraph">
                  <wp:posOffset>2516505</wp:posOffset>
                </wp:positionV>
                <wp:extent cx="742950" cy="356235"/>
                <wp:wrapTopAndBottom/>
                <wp:docPr id="5" name="Shape 5"/>
                <a:graphic xmlns:a="http://schemas.openxmlformats.org/drawingml/2006/main">
                  <a:graphicData uri="http://schemas.microsoft.com/office/word/2010/wordprocessingShape">
                    <wps:wsp>
                      <wps:cNvSpPr txBox="1"/>
                      <wps:spPr>
                        <a:xfrm>
                          <a:ext cx="742950" cy="3562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31" type="#_x0000_t202" style="position:absolute;margin-left:206.94999999999999pt;margin-top:198.15000000000001pt;width:58.5pt;height:28.050000000000001pt;z-index:-125829371;mso-wrap-distance-left:9.pt;mso-wrap-distance-top:7.pt;mso-wrap-distance-right:9.pt;mso-wrap-distance-bottom:3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p>
    <w:p>
      <w:pPr>
        <w:pStyle w:val="Style9"/>
        <w:keepNext/>
        <w:keepLines/>
        <w:widowControl w:val="0"/>
        <w:shd w:val="clear" w:color="auto" w:fill="auto"/>
        <w:bidi w:val="0"/>
        <w:spacing w:before="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Smlouva o zajištění stravování</w:t>
      </w:r>
      <w:bookmarkEnd w:id="0"/>
      <w:bookmarkEnd w:id="1"/>
    </w:p>
    <w:p>
      <w:pPr>
        <w:pStyle w:val="Style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Kosovská 1122/16, 586 01 Jihlava</w:t>
      </w:r>
    </w:p>
    <w:p>
      <w:pPr>
        <w:pStyle w:val="Style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Hrotovická 1102, Horka-Domky, 674 01 Třebíč 1</w:t>
      </w:r>
    </w:p>
    <w:p>
      <w:pPr>
        <w:pStyle w:val="Style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Ing. Radovanem Necidem, ředitelem organizace</w:t>
      </w:r>
    </w:p>
    <w:p>
      <w:pPr>
        <w:pStyle w:val="Style7"/>
        <w:keepNext w:val="0"/>
        <w:keepLines w:val="0"/>
        <w:widowControl w:val="0"/>
        <w:shd w:val="clear" w:color="auto" w:fill="auto"/>
        <w:bidi w:val="0"/>
        <w:spacing w:before="0" w:after="0" w:line="240" w:lineRule="auto"/>
        <w:ind w:left="2900" w:right="0" w:firstLine="0"/>
        <w:jc w:val="left"/>
      </w:pPr>
      <w:r>
        <w:rPr>
          <w:color w:val="000000"/>
          <w:spacing w:val="0"/>
          <w:w w:val="100"/>
          <w:position w:val="0"/>
          <w:shd w:val="clear" w:color="auto" w:fill="auto"/>
          <w:lang w:val="cs-CZ" w:eastAsia="cs-CZ" w:bidi="cs-CZ"/>
        </w:rPr>
        <w:t>vedoucí oddělení sběrného místa</w:t>
      </w:r>
    </w:p>
    <w:p>
      <w:pPr>
        <w:pStyle w:val="Style7"/>
        <w:keepNext w:val="0"/>
        <w:keepLines w:val="0"/>
        <w:widowControl w:val="0"/>
        <w:shd w:val="clear" w:color="auto" w:fill="auto"/>
        <w:bidi w:val="0"/>
        <w:spacing w:before="0" w:after="0" w:line="240" w:lineRule="auto"/>
        <w:ind w:left="0" w:right="0" w:firstLine="820"/>
        <w:jc w:val="left"/>
        <w:sectPr>
          <w:footerReference w:type="default" r:id="rId5"/>
          <w:footerReference w:type="first" r:id="rId6"/>
          <w:footnotePr>
            <w:pos w:val="pageBottom"/>
            <w:numFmt w:val="decimal"/>
            <w:numRestart w:val="continuous"/>
          </w:footnotePr>
          <w:pgSz w:w="11900" w:h="16840"/>
          <w:pgMar w:top="326" w:left="3332" w:right="1449" w:bottom="1842"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Komerční banka, a.s.</w:t>
      </w: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326" w:left="0" w:right="0" w:bottom="1842"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2630170</wp:posOffset>
                </wp:positionH>
                <wp:positionV relativeFrom="paragraph">
                  <wp:posOffset>12700</wp:posOffset>
                </wp:positionV>
                <wp:extent cx="3034665" cy="523875"/>
                <wp:wrapTopAndBottom/>
                <wp:docPr id="11" name="Shape 11"/>
                <a:graphic xmlns:a="http://schemas.openxmlformats.org/drawingml/2006/main">
                  <a:graphicData uri="http://schemas.microsoft.com/office/word/2010/wordprocessingShape">
                    <wps:wsp>
                      <wps:cNvSpPr txBox="1"/>
                      <wps:spPr>
                        <a:xfrm>
                          <a:ext cx="3034665" cy="5238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Miloslav Havlíček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Koutv 11. 675 08 Koutv u Třebíče</w:t>
                            </w:r>
                          </w:p>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provozovatelem pohostinství</w:t>
                            </w:r>
                          </w:p>
                        </w:txbxContent>
                      </wps:txbx>
                      <wps:bodyPr lIns="0" tIns="0" rIns="0" bIns="0">
                        <a:noAutoFit/>
                      </wps:bodyPr>
                    </wps:wsp>
                  </a:graphicData>
                </a:graphic>
              </wp:anchor>
            </w:drawing>
          </mc:Choice>
          <mc:Fallback>
            <w:pict>
              <v:shape id="_x0000_s1037" type="#_x0000_t202" style="position:absolute;margin-left:207.09999999999999pt;margin-top:1.pt;width:238.94999999999999pt;height:41.25pt;z-index:-12582936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Miloslav Havlíček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Koutv 11. 675 08 Koutv u Třebíče</w:t>
                      </w:r>
                    </w:p>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provozovatelem pohostinství</w:t>
                      </w:r>
                    </w:p>
                  </w:txbxContent>
                </v:textbox>
                <w10:wrap type="topAndBottom" anchorx="page"/>
              </v:shape>
            </w:pict>
          </mc:Fallback>
        </mc:AlternateConten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after="820" w:line="240" w:lineRule="auto"/>
        <w:ind w:left="0" w:right="0" w:firstLine="0"/>
        <w:jc w:val="left"/>
      </w:pPr>
      <w:r>
        <w:rPr>
          <w:color w:val="000000"/>
          <w:spacing w:val="0"/>
          <w:w w:val="100"/>
          <w:position w:val="0"/>
          <w:shd w:val="clear" w:color="auto" w:fill="auto"/>
          <w:lang w:val="cs-CZ" w:eastAsia="cs-CZ" w:bidi="cs-CZ"/>
        </w:rPr>
        <w:t>14681862</w:t>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326" w:left="1298" w:right="5865" w:bottom="1842" w:header="0" w:footer="3" w:gutter="0"/>
          <w:cols w:num="2" w:space="776"/>
          <w:noEndnote/>
          <w:rtlGutter w:val="0"/>
          <w:docGrid w:linePitch="360"/>
        </w:sectPr>
      </w:pPr>
      <w:r>
        <w:rPr>
          <w:color w:val="000000"/>
          <w:spacing w:val="0"/>
          <w:w w:val="100"/>
          <w:position w:val="0"/>
          <w:shd w:val="clear" w:color="auto" w:fill="auto"/>
          <w:lang w:val="cs-CZ" w:eastAsia="cs-CZ" w:bidi="cs-CZ"/>
        </w:rPr>
        <w:t>Komerční banka, a.s.</w:t>
      </w:r>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0" w:h="16840"/>
          <w:pgMar w:top="507" w:left="0" w:right="0" w:bottom="2120" w:header="0" w:footer="3" w:gutter="0"/>
          <w:cols w:space="720"/>
          <w:noEndnote/>
          <w:rtlGutter w:val="0"/>
          <w:docGrid w:linePitch="360"/>
        </w:sectPr>
      </w:pPr>
    </w:p>
    <w:p>
      <w:pPr>
        <w:pStyle w:val="Style7"/>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 xml:space="preserve">(společně také jako „Smluvní strany" nebo jednotlivě „Smluvní strana") </w:t>
      </w:r>
      <w:r>
        <w:rPr>
          <w:color w:val="000000"/>
          <w:spacing w:val="0"/>
          <w:w w:val="100"/>
          <w:position w:val="0"/>
          <w:shd w:val="clear" w:color="auto" w:fill="auto"/>
          <w:lang w:val="cs-CZ" w:eastAsia="cs-CZ" w:bidi="cs-CZ"/>
        </w:rPr>
        <w:t>uzavírají podle § 1746 odst. 2 zákona č. 89/2012 Sb., občanský zákoník (dále jen „občanský zákoník") a právních předpisů s tímto zákonem souvisejících, tuto smlouvu:</w:t>
      </w:r>
    </w:p>
    <w:p>
      <w:pPr>
        <w:pStyle w:val="Style7"/>
        <w:keepNext w:val="0"/>
        <w:keepLines w:val="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cs-CZ" w:eastAsia="cs-CZ" w:bidi="cs-CZ"/>
        </w:rPr>
        <w:t>I.</w:t>
      </w:r>
    </w:p>
    <w:p>
      <w:pPr>
        <w:pStyle w:val="Style16"/>
        <w:keepNext/>
        <w:keepLines/>
        <w:widowControl w:val="0"/>
        <w:shd w:val="clear" w:color="auto" w:fill="auto"/>
        <w:bidi w:val="0"/>
        <w:spacing w:before="0" w:after="0"/>
        <w:ind w:left="0" w:right="0" w:firstLine="0"/>
        <w:jc w:val="center"/>
      </w:pPr>
      <w:r>
        <mc:AlternateContent>
          <mc:Choice Requires="wps">
            <w:drawing>
              <wp:anchor distT="0" distB="0" distL="101600" distR="101600" simplePos="0" relativeHeight="125829386" behindDoc="0" locked="0" layoutInCell="1" allowOverlap="1">
                <wp:simplePos x="0" y="0"/>
                <wp:positionH relativeFrom="page">
                  <wp:posOffset>831850</wp:posOffset>
                </wp:positionH>
                <wp:positionV relativeFrom="paragraph">
                  <wp:posOffset>165100</wp:posOffset>
                </wp:positionV>
                <wp:extent cx="127635" cy="184785"/>
                <wp:wrapSquare wrapText="right"/>
                <wp:docPr id="13" name="Shape 13"/>
                <a:graphic xmlns:a="http://schemas.openxmlformats.org/drawingml/2006/main">
                  <a:graphicData uri="http://schemas.microsoft.com/office/word/2010/wordprocessingShape">
                    <wps:wsp>
                      <wps:cNvSpPr txBox="1"/>
                      <wps:spPr>
                        <a:xfrm>
                          <a:ext cx="127635" cy="1847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039" type="#_x0000_t202" style="position:absolute;margin-left:65.5pt;margin-top:13.pt;width:10.050000000000001pt;height:14.550000000000001pt;z-index:-125829367;mso-wrap-distance-left:8.pt;mso-wrap-distance-right:8.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xbxContent>
                </v:textbox>
                <w10:wrap type="square" side="right" anchorx="page"/>
              </v:shape>
            </w:pict>
          </mc:Fallback>
        </mc:AlternateContent>
      </w:r>
      <w:bookmarkStart w:id="2" w:name="bookmark2"/>
      <w:bookmarkStart w:id="3" w:name="bookmark3"/>
      <w:r>
        <w:rPr>
          <w:color w:val="000000"/>
          <w:spacing w:val="0"/>
          <w:w w:val="100"/>
          <w:position w:val="0"/>
          <w:shd w:val="clear" w:color="auto" w:fill="auto"/>
          <w:lang w:val="cs-CZ" w:eastAsia="cs-CZ" w:bidi="cs-CZ"/>
        </w:rPr>
        <w:t>Předmět plnění</w:t>
      </w:r>
      <w:bookmarkEnd w:id="2"/>
      <w:bookmarkEnd w:id="3"/>
    </w:p>
    <w:p>
      <w:pPr>
        <w:pStyle w:val="Style7"/>
        <w:keepNext w:val="0"/>
        <w:keepLines w:val="0"/>
        <w:widowControl w:val="0"/>
        <w:shd w:val="clear" w:color="auto" w:fill="auto"/>
        <w:bidi w:val="0"/>
        <w:spacing w:before="0" w:after="260" w:line="262" w:lineRule="auto"/>
        <w:ind w:left="0" w:right="0" w:firstLine="0"/>
        <w:jc w:val="both"/>
      </w:pPr>
      <w:r>
        <w:rPr>
          <w:color w:val="000000"/>
          <w:spacing w:val="0"/>
          <w:w w:val="100"/>
          <w:position w:val="0"/>
          <w:shd w:val="clear" w:color="auto" w:fill="auto"/>
          <w:lang w:val="cs-CZ" w:eastAsia="cs-CZ" w:bidi="cs-CZ"/>
        </w:rPr>
        <w:t>Předmětem této Smlouvy je příprava a dodání jídla Dodavatelem pro účely stravování zaměstnanců Odběratele, kdy Dodavatel se touto smlouvou zavazuje dodávat objednateli na pracoviště Třebíč teplá jídla ve vlastních hygienicky nezávadných nádobách, a to v pracovní dny v počtu dle objednávky Odběratele pro příslušný pracovní den. Dodávané jídlo se přitom skládá z polévky a hlavního jídla.</w:t>
      </w:r>
    </w:p>
    <w:p>
      <w:pPr>
        <w:pStyle w:val="Style7"/>
        <w:keepNext w:val="0"/>
        <w:keepLines w:val="0"/>
        <w:widowControl w:val="0"/>
        <w:shd w:val="clear" w:color="auto" w:fill="auto"/>
        <w:bidi w:val="0"/>
        <w:spacing w:before="0" w:after="260" w:line="257" w:lineRule="auto"/>
        <w:ind w:left="400" w:right="0" w:firstLine="0"/>
        <w:jc w:val="both"/>
      </w:pPr>
      <w:r>
        <w:rPr>
          <w:color w:val="000000"/>
          <w:spacing w:val="0"/>
          <w:w w:val="100"/>
          <w:position w:val="0"/>
          <w:shd w:val="clear" w:color="auto" w:fill="auto"/>
          <w:lang w:val="cs-CZ" w:eastAsia="cs-CZ" w:bidi="cs-CZ"/>
        </w:rPr>
        <w:t>Dodavatel se zavazuje dodržovat při provozování stravovacích služeb předpoklady stanovené zákonem č. 258/2000 Sb., o ochraně veřejného zdraví a o změně některých souvisejících zákonů, v platném znění, a vyhláškou č. 137/2004 Sb., o hygienických požadavcích na stravovací služby a o zásadách osobní a provozní hygieny při činnostech epidemiologicky závažných, v platném znění.</w:t>
      </w:r>
    </w:p>
    <w:p>
      <w:pPr>
        <w:pStyle w:val="Style7"/>
        <w:keepNext w:val="0"/>
        <w:keepLines w:val="0"/>
        <w:widowControl w:val="0"/>
        <w:shd w:val="clear" w:color="auto" w:fill="auto"/>
        <w:bidi w:val="0"/>
        <w:spacing w:before="0" w:after="260" w:line="264" w:lineRule="auto"/>
        <w:ind w:left="400" w:right="0" w:firstLine="0"/>
        <w:jc w:val="both"/>
      </w:pPr>
      <w:r>
        <w:rPr>
          <w:color w:val="000000"/>
          <w:spacing w:val="0"/>
          <w:w w:val="100"/>
          <w:position w:val="0"/>
          <w:shd w:val="clear" w:color="auto" w:fill="auto"/>
          <w:lang w:val="cs-CZ" w:eastAsia="cs-CZ" w:bidi="cs-CZ"/>
        </w:rPr>
        <w:t>Předmětem smlouvy je dále závazek Odběratele toto jídlo odebrat a zaplatit za něj dohodnutou cenu za podmínek stanovených touto Smlouvou.</w:t>
      </w:r>
    </w:p>
    <w:p>
      <w:pPr>
        <w:pStyle w:val="Style7"/>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II.</w:t>
      </w:r>
    </w:p>
    <w:p>
      <w:pPr>
        <w:pStyle w:val="Style16"/>
        <w:keepNext/>
        <w:keepLines/>
        <w:widowControl w:val="0"/>
        <w:shd w:val="clear" w:color="auto" w:fill="auto"/>
        <w:bidi w:val="0"/>
        <w:spacing w:before="0" w:after="0" w:line="257"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Cena</w:t>
      </w:r>
      <w:bookmarkEnd w:id="4"/>
      <w:bookmarkEnd w:id="5"/>
    </w:p>
    <w:p>
      <w:pPr>
        <w:pStyle w:val="Style7"/>
        <w:keepNext w:val="0"/>
        <w:keepLines w:val="0"/>
        <w:widowControl w:val="0"/>
        <w:numPr>
          <w:ilvl w:val="0"/>
          <w:numId w:val="1"/>
        </w:numPr>
        <w:shd w:val="clear" w:color="auto" w:fill="auto"/>
        <w:tabs>
          <w:tab w:pos="369" w:val="left"/>
        </w:tabs>
        <w:bidi w:val="0"/>
        <w:spacing w:before="0" w:after="260" w:line="257" w:lineRule="auto"/>
        <w:ind w:left="400" w:right="0" w:hanging="400"/>
        <w:jc w:val="both"/>
      </w:pPr>
      <w:r>
        <w:rPr>
          <w:color w:val="000000"/>
          <w:spacing w:val="0"/>
          <w:w w:val="100"/>
          <w:position w:val="0"/>
          <w:shd w:val="clear" w:color="auto" w:fill="auto"/>
          <w:lang w:val="cs-CZ" w:eastAsia="cs-CZ" w:bidi="cs-CZ"/>
        </w:rPr>
        <w:t xml:space="preserve">Smluvní strany se dohodly na ceně za 1 oběd ve výši: </w:t>
      </w:r>
      <w:r>
        <w:rPr>
          <w:b/>
          <w:bCs/>
          <w:color w:val="000000"/>
          <w:spacing w:val="0"/>
          <w:w w:val="100"/>
          <w:position w:val="0"/>
          <w:shd w:val="clear" w:color="auto" w:fill="auto"/>
          <w:lang w:val="cs-CZ" w:eastAsia="cs-CZ" w:bidi="cs-CZ"/>
        </w:rPr>
        <w:t xml:space="preserve">85,10 Kč </w:t>
      </w:r>
      <w:r>
        <w:rPr>
          <w:color w:val="000000"/>
          <w:spacing w:val="0"/>
          <w:w w:val="100"/>
          <w:position w:val="0"/>
          <w:shd w:val="clear" w:color="auto" w:fill="auto"/>
          <w:lang w:val="cs-CZ" w:eastAsia="cs-CZ" w:bidi="cs-CZ"/>
        </w:rPr>
        <w:t>(vč. DPH 15% ). V ceně je zahrnuta doprava do místa pracoviště Odběratele v Třebíči.</w:t>
      </w:r>
    </w:p>
    <w:p>
      <w:pPr>
        <w:pStyle w:val="Style7"/>
        <w:keepNext w:val="0"/>
        <w:keepLines w:val="0"/>
        <w:widowControl w:val="0"/>
        <w:shd w:val="clear" w:color="auto" w:fill="auto"/>
        <w:bidi w:val="0"/>
        <w:spacing w:before="0" w:after="0" w:line="266" w:lineRule="auto"/>
        <w:ind w:left="0" w:right="0" w:firstLine="0"/>
        <w:jc w:val="center"/>
      </w:pPr>
      <w:r>
        <w:rPr>
          <w:b/>
          <w:bCs/>
          <w:color w:val="000000"/>
          <w:spacing w:val="0"/>
          <w:w w:val="100"/>
          <w:position w:val="0"/>
          <w:shd w:val="clear" w:color="auto" w:fill="auto"/>
          <w:lang w:val="cs-CZ" w:eastAsia="cs-CZ" w:bidi="cs-CZ"/>
        </w:rPr>
        <w:t>III.</w:t>
      </w:r>
    </w:p>
    <w:p>
      <w:pPr>
        <w:pStyle w:val="Style16"/>
        <w:keepNext/>
        <w:keepLines/>
        <w:widowControl w:val="0"/>
        <w:shd w:val="clear" w:color="auto" w:fill="auto"/>
        <w:bidi w:val="0"/>
        <w:spacing w:before="0" w:after="0" w:line="266"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Platební podmínky</w:t>
      </w:r>
      <w:bookmarkEnd w:id="6"/>
      <w:bookmarkEnd w:id="7"/>
    </w:p>
    <w:p>
      <w:pPr>
        <w:pStyle w:val="Style7"/>
        <w:keepNext w:val="0"/>
        <w:keepLines w:val="0"/>
        <w:widowControl w:val="0"/>
        <w:numPr>
          <w:ilvl w:val="0"/>
          <w:numId w:val="3"/>
        </w:numPr>
        <w:shd w:val="clear" w:color="auto" w:fill="auto"/>
        <w:tabs>
          <w:tab w:pos="369" w:val="left"/>
        </w:tabs>
        <w:bidi w:val="0"/>
        <w:spacing w:before="0" w:after="260" w:line="266" w:lineRule="auto"/>
        <w:ind w:left="400" w:right="0" w:hanging="400"/>
        <w:jc w:val="both"/>
      </w:pPr>
      <w:r>
        <w:rPr>
          <w:color w:val="000000"/>
          <w:spacing w:val="0"/>
          <w:w w:val="100"/>
          <w:position w:val="0"/>
          <w:shd w:val="clear" w:color="auto" w:fill="auto"/>
          <w:lang w:val="cs-CZ" w:eastAsia="cs-CZ" w:bidi="cs-CZ"/>
        </w:rPr>
        <w:t>Podkladem pro úhradu ceny za předmět smlouvy bude faktura, která bude mít náležitosti daňového dokladu dle zákona č. 235/2004 Sb., o dani, z přidané hodnoty, ve znění pozdějších předpisů (dále jen "faktura").</w:t>
      </w:r>
    </w:p>
    <w:p>
      <w:pPr>
        <w:pStyle w:val="Style7"/>
        <w:keepNext w:val="0"/>
        <w:keepLines w:val="0"/>
        <w:widowControl w:val="0"/>
        <w:numPr>
          <w:ilvl w:val="0"/>
          <w:numId w:val="3"/>
        </w:numPr>
        <w:shd w:val="clear" w:color="auto" w:fill="auto"/>
        <w:tabs>
          <w:tab w:pos="369" w:val="left"/>
        </w:tabs>
        <w:bidi w:val="0"/>
        <w:spacing w:before="0" w:after="260"/>
        <w:ind w:left="0" w:right="0" w:firstLine="0"/>
        <w:jc w:val="both"/>
      </w:pPr>
      <w:r>
        <w:rPr>
          <w:color w:val="000000"/>
          <w:spacing w:val="0"/>
          <w:w w:val="100"/>
          <w:position w:val="0"/>
          <w:shd w:val="clear" w:color="auto" w:fill="auto"/>
          <w:lang w:val="cs-CZ" w:eastAsia="cs-CZ" w:bidi="cs-CZ"/>
        </w:rPr>
        <w:t>Fakturace se provádí jednou do měsíce.</w:t>
      </w:r>
    </w:p>
    <w:p>
      <w:pPr>
        <w:pStyle w:val="Style7"/>
        <w:keepNext w:val="0"/>
        <w:keepLines w:val="0"/>
        <w:widowControl w:val="0"/>
        <w:numPr>
          <w:ilvl w:val="0"/>
          <w:numId w:val="3"/>
        </w:numPr>
        <w:shd w:val="clear" w:color="auto" w:fill="auto"/>
        <w:tabs>
          <w:tab w:pos="369" w:val="left"/>
        </w:tabs>
        <w:bidi w:val="0"/>
        <w:spacing w:before="0" w:after="260"/>
        <w:ind w:left="0" w:right="0" w:firstLine="0"/>
        <w:jc w:val="both"/>
      </w:pPr>
      <w:r>
        <w:rPr>
          <w:color w:val="000000"/>
          <w:spacing w:val="0"/>
          <w:w w:val="100"/>
          <w:position w:val="0"/>
          <w:shd w:val="clear" w:color="auto" w:fill="auto"/>
          <w:lang w:val="cs-CZ" w:eastAsia="cs-CZ" w:bidi="cs-CZ"/>
        </w:rPr>
        <w:t>Lhůta splatnosti faktury je dohodou stanovena na 15 kalendářních dnů ode dne jejího doručení.</w:t>
      </w:r>
    </w:p>
    <w:p>
      <w:pPr>
        <w:pStyle w:val="Style7"/>
        <w:keepNext w:val="0"/>
        <w:keepLines w:val="0"/>
        <w:widowControl w:val="0"/>
        <w:numPr>
          <w:ilvl w:val="0"/>
          <w:numId w:val="3"/>
        </w:numPr>
        <w:shd w:val="clear" w:color="auto" w:fill="auto"/>
        <w:tabs>
          <w:tab w:pos="369" w:val="left"/>
        </w:tabs>
        <w:bidi w:val="0"/>
        <w:spacing w:before="0" w:after="260" w:line="257" w:lineRule="auto"/>
        <w:ind w:left="400" w:right="0" w:hanging="400"/>
        <w:jc w:val="both"/>
      </w:pPr>
      <w:r>
        <w:rPr>
          <w:color w:val="000000"/>
          <w:spacing w:val="0"/>
          <w:w w:val="100"/>
          <w:position w:val="0"/>
          <w:shd w:val="clear" w:color="auto" w:fill="auto"/>
          <w:lang w:val="cs-CZ" w:eastAsia="cs-CZ" w:bidi="cs-CZ"/>
        </w:rPr>
        <w:t>V případě nedodržení lhůty splatnosti na faktuře uvedené, bude Odběrateli účtován úrok z prodlení ve výši 0,2% z dlužné částky za každý den prodlení.</w:t>
      </w:r>
    </w:p>
    <w:p>
      <w:pPr>
        <w:pStyle w:val="Style7"/>
        <w:keepNext w:val="0"/>
        <w:keepLines w:val="0"/>
        <w:widowControl w:val="0"/>
        <w:numPr>
          <w:ilvl w:val="0"/>
          <w:numId w:val="3"/>
        </w:numPr>
        <w:shd w:val="clear" w:color="auto" w:fill="auto"/>
        <w:tabs>
          <w:tab w:pos="369" w:val="left"/>
        </w:tabs>
        <w:bidi w:val="0"/>
        <w:spacing w:before="0" w:after="0" w:line="257" w:lineRule="auto"/>
        <w:ind w:left="400" w:right="0" w:hanging="400"/>
        <w:jc w:val="both"/>
      </w:pPr>
      <w:r>
        <w:rPr>
          <w:color w:val="000000"/>
          <w:spacing w:val="0"/>
          <w:w w:val="100"/>
          <w:position w:val="0"/>
          <w:shd w:val="clear" w:color="auto" w:fill="auto"/>
          <w:lang w:val="cs-CZ" w:eastAsia="cs-CZ" w:bidi="cs-CZ"/>
        </w:rPr>
        <w:t>Odběratel je oprávněn vadnou fakturu před uplynutím lhůty splatnosti vrátit druhé straně bez zaplacení k provedení opravy v těchto případech:</w:t>
      </w:r>
    </w:p>
    <w:p>
      <w:pPr>
        <w:pStyle w:val="Style7"/>
        <w:keepNext w:val="0"/>
        <w:keepLines w:val="0"/>
        <w:widowControl w:val="0"/>
        <w:numPr>
          <w:ilvl w:val="0"/>
          <w:numId w:val="5"/>
        </w:numPr>
        <w:shd w:val="clear" w:color="auto" w:fill="auto"/>
        <w:tabs>
          <w:tab w:pos="809" w:val="left"/>
        </w:tabs>
        <w:bidi w:val="0"/>
        <w:spacing w:before="0" w:after="0" w:line="257" w:lineRule="auto"/>
        <w:ind w:left="800" w:right="0" w:hanging="380"/>
        <w:jc w:val="both"/>
      </w:pPr>
      <w:r>
        <w:rPr>
          <w:color w:val="000000"/>
          <w:spacing w:val="0"/>
          <w:w w:val="100"/>
          <w:position w:val="0"/>
          <w:shd w:val="clear" w:color="auto" w:fill="auto"/>
          <w:lang w:val="cs-CZ" w:eastAsia="cs-CZ" w:bidi="cs-CZ"/>
        </w:rPr>
        <w:t>Nebude-li faktura obsahovat některou povinnou nebo dohodnutou náležitost nebo bude-li chybně vyúčtována cena za předmět smlouvy,</w:t>
      </w:r>
    </w:p>
    <w:p>
      <w:pPr>
        <w:pStyle w:val="Style7"/>
        <w:keepNext w:val="0"/>
        <w:keepLines w:val="0"/>
        <w:widowControl w:val="0"/>
        <w:numPr>
          <w:ilvl w:val="0"/>
          <w:numId w:val="5"/>
        </w:numPr>
        <w:shd w:val="clear" w:color="auto" w:fill="auto"/>
        <w:tabs>
          <w:tab w:pos="809" w:val="left"/>
        </w:tabs>
        <w:bidi w:val="0"/>
        <w:spacing w:before="0" w:after="260" w:line="257" w:lineRule="auto"/>
        <w:ind w:left="0" w:right="0" w:firstLine="400"/>
        <w:jc w:val="both"/>
      </w:pPr>
      <w:r>
        <w:rPr>
          <w:color w:val="000000"/>
          <w:spacing w:val="0"/>
          <w:w w:val="100"/>
          <w:position w:val="0"/>
          <w:shd w:val="clear" w:color="auto" w:fill="auto"/>
          <w:lang w:val="cs-CZ" w:eastAsia="cs-CZ" w:bidi="cs-CZ"/>
        </w:rPr>
        <w:t>Bude-li DPH vyúčtováno v nesprávné výši.</w:t>
      </w:r>
    </w:p>
    <w:p>
      <w:pPr>
        <w:pStyle w:val="Style7"/>
        <w:keepNext w:val="0"/>
        <w:keepLines w:val="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cs-CZ" w:eastAsia="cs-CZ" w:bidi="cs-CZ"/>
        </w:rPr>
        <w:t>IV.</w:t>
      </w:r>
    </w:p>
    <w:p>
      <w:pPr>
        <w:pStyle w:val="Style16"/>
        <w:keepNext/>
        <w:keepLines/>
        <w:widowControl w:val="0"/>
        <w:shd w:val="clear" w:color="auto" w:fill="auto"/>
        <w:bidi w:val="0"/>
        <w:spacing w:before="0" w:after="0"/>
        <w:ind w:left="0" w:right="0" w:firstLine="0"/>
        <w:jc w:val="center"/>
      </w:pPr>
      <w:bookmarkStart w:id="8" w:name="bookmark8"/>
      <w:bookmarkStart w:id="9" w:name="bookmark9"/>
      <w:r>
        <w:rPr>
          <w:color w:val="000000"/>
          <w:spacing w:val="0"/>
          <w:w w:val="100"/>
          <w:position w:val="0"/>
          <w:shd w:val="clear" w:color="auto" w:fill="auto"/>
          <w:lang w:val="cs-CZ" w:eastAsia="cs-CZ" w:bidi="cs-CZ"/>
        </w:rPr>
        <w:t>Závěrečné ustanovení</w:t>
      </w:r>
      <w:bookmarkEnd w:id="8"/>
      <w:bookmarkEnd w:id="9"/>
    </w:p>
    <w:p>
      <w:pPr>
        <w:pStyle w:val="Style7"/>
        <w:keepNext w:val="0"/>
        <w:keepLines w:val="0"/>
        <w:widowControl w:val="0"/>
        <w:numPr>
          <w:ilvl w:val="0"/>
          <w:numId w:val="7"/>
        </w:numPr>
        <w:shd w:val="clear" w:color="auto" w:fill="auto"/>
        <w:tabs>
          <w:tab w:pos="369" w:val="left"/>
        </w:tabs>
        <w:bidi w:val="0"/>
        <w:spacing w:before="0" w:after="260" w:line="262" w:lineRule="auto"/>
        <w:ind w:left="400" w:right="0" w:hanging="400"/>
        <w:jc w:val="both"/>
      </w:pPr>
      <w:r>
        <w:rPr>
          <w:color w:val="000000"/>
          <w:spacing w:val="0"/>
          <w:w w:val="100"/>
          <w:position w:val="0"/>
          <w:shd w:val="clear" w:color="auto" w:fill="auto"/>
          <w:lang w:val="cs-CZ" w:eastAsia="cs-CZ" w:bidi="cs-CZ"/>
        </w:rPr>
        <w:t>Smluvní vztahy vyplývající z této smlouvy se řídí českými obecně závaznými právními předpisy. Skutečnosti výslovně neupravené touto smlouvou se řídí zákonem č. 89/2012 Sb., občanský zákoník, v platném znění.</w:t>
      </w:r>
    </w:p>
    <w:p>
      <w:pPr>
        <w:pStyle w:val="Style7"/>
        <w:keepNext w:val="0"/>
        <w:keepLines w:val="0"/>
        <w:widowControl w:val="0"/>
        <w:numPr>
          <w:ilvl w:val="0"/>
          <w:numId w:val="7"/>
        </w:numPr>
        <w:shd w:val="clear" w:color="auto" w:fill="auto"/>
        <w:tabs>
          <w:tab w:pos="369" w:val="left"/>
        </w:tabs>
        <w:bidi w:val="0"/>
        <w:spacing w:before="0" w:after="260" w:line="262" w:lineRule="auto"/>
        <w:ind w:left="400" w:right="0" w:hanging="400"/>
        <w:jc w:val="both"/>
      </w:pPr>
      <w:r>
        <w:rPr>
          <w:color w:val="000000"/>
          <w:spacing w:val="0"/>
          <w:w w:val="100"/>
          <w:position w:val="0"/>
          <w:shd w:val="clear" w:color="auto" w:fill="auto"/>
          <w:lang w:val="cs-CZ" w:eastAsia="cs-CZ" w:bidi="cs-CZ"/>
        </w:rPr>
        <w:t>Změnit nebo doplnit smlouvu mohou smluvní strany pouze formou písemných dodatků, které budou vzestupně číslovány, výslovně prohlášeny za dodatek této smlouvy a podepsány oprávněnými zástupci smluvních stran.</w:t>
      </w:r>
    </w:p>
    <w:p>
      <w:pPr>
        <w:pStyle w:val="Style7"/>
        <w:keepNext w:val="0"/>
        <w:keepLines w:val="0"/>
        <w:widowControl w:val="0"/>
        <w:numPr>
          <w:ilvl w:val="0"/>
          <w:numId w:val="7"/>
        </w:numPr>
        <w:shd w:val="clear" w:color="auto" w:fill="auto"/>
        <w:tabs>
          <w:tab w:pos="369" w:val="left"/>
        </w:tabs>
        <w:bidi w:val="0"/>
        <w:spacing w:before="0" w:after="260"/>
        <w:ind w:left="0" w:right="0" w:firstLine="0"/>
        <w:jc w:val="both"/>
      </w:pPr>
      <w:r>
        <w:rPr>
          <w:color w:val="000000"/>
          <w:spacing w:val="0"/>
          <w:w w:val="100"/>
          <w:position w:val="0"/>
          <w:shd w:val="clear" w:color="auto" w:fill="auto"/>
          <w:lang w:val="cs-CZ" w:eastAsia="cs-CZ" w:bidi="cs-CZ"/>
        </w:rPr>
        <w:t>Smluvní strany se dohodly případné spory při realizaci smlouvy řešit přednostně dohodou.</w:t>
      </w:r>
    </w:p>
    <w:p>
      <w:pPr>
        <w:pStyle w:val="Style7"/>
        <w:keepNext w:val="0"/>
        <w:keepLines w:val="0"/>
        <w:widowControl w:val="0"/>
        <w:numPr>
          <w:ilvl w:val="0"/>
          <w:numId w:val="7"/>
        </w:numPr>
        <w:shd w:val="clear" w:color="auto" w:fill="auto"/>
        <w:tabs>
          <w:tab w:pos="369" w:val="left"/>
        </w:tabs>
        <w:bidi w:val="0"/>
        <w:spacing w:before="0" w:after="260" w:line="257" w:lineRule="auto"/>
        <w:ind w:left="400" w:right="0" w:hanging="400"/>
        <w:jc w:val="both"/>
      </w:pPr>
      <w:r>
        <w:rPr>
          <w:color w:val="000000"/>
          <w:spacing w:val="0"/>
          <w:w w:val="100"/>
          <w:position w:val="0"/>
          <w:shd w:val="clear" w:color="auto" w:fill="auto"/>
          <w:lang w:val="cs-CZ" w:eastAsia="cs-CZ" w:bidi="cs-CZ"/>
        </w:rPr>
        <w:t>Smlouva je vyhotovena ve dvou stejnopisech s platností originálu, přičemž Odběratel a Dodavatel obdrží po jednom vyhotovení.</w:t>
      </w:r>
    </w:p>
    <w:p>
      <w:pPr>
        <w:pStyle w:val="Style7"/>
        <w:keepNext w:val="0"/>
        <w:keepLines w:val="0"/>
        <w:widowControl w:val="0"/>
        <w:numPr>
          <w:ilvl w:val="0"/>
          <w:numId w:val="7"/>
        </w:numPr>
        <w:shd w:val="clear" w:color="auto" w:fill="auto"/>
        <w:tabs>
          <w:tab w:pos="369" w:val="left"/>
        </w:tabs>
        <w:bidi w:val="0"/>
        <w:spacing w:before="0" w:after="260"/>
        <w:ind w:left="400" w:right="0" w:hanging="400"/>
        <w:jc w:val="both"/>
      </w:pPr>
      <w:r>
        <w:rPr>
          <w:color w:val="000000"/>
          <w:spacing w:val="0"/>
          <w:w w:val="100"/>
          <w:position w:val="0"/>
          <w:shd w:val="clear" w:color="auto" w:fill="auto"/>
          <w:lang w:val="cs-CZ" w:eastAsia="cs-CZ" w:bidi="cs-CZ"/>
        </w:rPr>
        <w:t>Smlouva se uzavírá na dobu neurčitou. Vypovědět tuto smlouvu může kterákoliv ze smluvních stran bez uvedení důvodů ve lhůtě jednoho měsíce. Výpovědní Ihůta se počítá od první dne měsíce následujícího po dni doručení výpovědi.</w:t>
      </w:r>
    </w:p>
    <w:p>
      <w:pPr>
        <w:pStyle w:val="Style7"/>
        <w:keepNext w:val="0"/>
        <w:keepLines w:val="0"/>
        <w:widowControl w:val="0"/>
        <w:numPr>
          <w:ilvl w:val="0"/>
          <w:numId w:val="7"/>
        </w:numPr>
        <w:shd w:val="clear" w:color="auto" w:fill="auto"/>
        <w:tabs>
          <w:tab w:pos="369" w:val="left"/>
        </w:tabs>
        <w:bidi w:val="0"/>
        <w:spacing w:before="0" w:after="260" w:line="262" w:lineRule="auto"/>
        <w:ind w:left="400" w:right="0" w:hanging="400"/>
        <w:jc w:val="both"/>
      </w:pPr>
      <w:r>
        <w:rPr>
          <w:color w:val="000000"/>
          <w:spacing w:val="0"/>
          <w:w w:val="100"/>
          <w:position w:val="0"/>
          <w:shd w:val="clear" w:color="auto" w:fill="auto"/>
          <w:lang w:val="cs-CZ" w:eastAsia="cs-CZ" w:bidi="cs-CZ"/>
        </w:rPr>
        <w:t>Tato smlouva nabývá platnosti dnem podpisu obou smluvních stran a účinnosti dnem uveřejnění v informačním systému veřejné správy - Registru smluv.</w:t>
      </w:r>
    </w:p>
    <w:p>
      <w:pPr>
        <w:pStyle w:val="Style7"/>
        <w:keepNext w:val="0"/>
        <w:keepLines w:val="0"/>
        <w:widowControl w:val="0"/>
        <w:numPr>
          <w:ilvl w:val="0"/>
          <w:numId w:val="7"/>
        </w:numPr>
        <w:shd w:val="clear" w:color="auto" w:fill="auto"/>
        <w:tabs>
          <w:tab w:pos="369" w:val="left"/>
        </w:tabs>
        <w:bidi w:val="0"/>
        <w:spacing w:before="0" w:after="260"/>
        <w:ind w:left="400" w:right="0" w:hanging="40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zajistí Odběratel.</w:t>
      </w:r>
    </w:p>
    <w:p>
      <w:pPr>
        <w:pStyle w:val="Style7"/>
        <w:keepNext w:val="0"/>
        <w:keepLines w:val="0"/>
        <w:widowControl w:val="0"/>
        <w:numPr>
          <w:ilvl w:val="0"/>
          <w:numId w:val="7"/>
        </w:numPr>
        <w:shd w:val="clear" w:color="auto" w:fill="auto"/>
        <w:tabs>
          <w:tab w:pos="369" w:val="left"/>
        </w:tabs>
        <w:bidi w:val="0"/>
        <w:spacing w:before="0" w:after="260" w:line="262" w:lineRule="auto"/>
        <w:ind w:left="400" w:right="0" w:hanging="400"/>
        <w:jc w:val="both"/>
      </w:pPr>
      <w:r>
        <w:rPr>
          <w:color w:val="000000"/>
          <w:spacing w:val="0"/>
          <w:w w:val="100"/>
          <w:position w:val="0"/>
          <w:shd w:val="clear" w:color="auto" w:fill="auto"/>
          <w:lang w:val="cs-CZ" w:eastAsia="cs-CZ" w:bidi="cs-CZ"/>
        </w:rPr>
        <w:t>Smluvní strany shodně prohlašují, že si smlouvu před podpisem přečetly, a že byla uzavřena po vzájemném projednání podle jejich pravé a svobodné vůle určitě, vážně a srozumitelně, nikoliv</w:t>
      </w:r>
      <w:r>
        <w:br w:type="page"/>
      </w:r>
    </w:p>
    <w:p>
      <w:pPr>
        <w:pStyle w:val="Style7"/>
        <w:keepNext w:val="0"/>
        <w:keepLines w:val="0"/>
        <w:widowControl w:val="0"/>
        <w:shd w:val="clear" w:color="auto" w:fill="auto"/>
        <w:bidi w:val="0"/>
        <w:spacing w:before="0" w:after="0" w:line="262" w:lineRule="auto"/>
        <w:ind w:left="460" w:right="0" w:firstLine="0"/>
        <w:jc w:val="left"/>
      </w:pPr>
      <w:r>
        <w:rPr>
          <w:color w:val="000000"/>
          <w:spacing w:val="0"/>
          <w:w w:val="100"/>
          <w:position w:val="0"/>
          <w:shd w:val="clear" w:color="auto" w:fill="auto"/>
          <w:lang w:val="cs-CZ" w:eastAsia="cs-CZ" w:bidi="cs-CZ"/>
        </w:rPr>
        <w:t>v tísni nebo za nápadně nevýhodných podmínek, a že se dohodly na celém obsahu, což stvrzují svými podpisy.</w:t>
      </w:r>
    </w:p>
    <w:p>
      <w:pPr>
        <w:widowControl w:val="0"/>
        <w:spacing w:line="1" w:lineRule="exact"/>
      </w:pPr>
      <w:r>
        <mc:AlternateContent>
          <mc:Choice Requires="wps">
            <w:drawing>
              <wp:anchor distT="250825" distB="9525" distL="0" distR="0" simplePos="0" relativeHeight="125829388" behindDoc="0" locked="0" layoutInCell="1" allowOverlap="1">
                <wp:simplePos x="0" y="0"/>
                <wp:positionH relativeFrom="page">
                  <wp:posOffset>869315</wp:posOffset>
                </wp:positionH>
                <wp:positionV relativeFrom="paragraph">
                  <wp:posOffset>250825</wp:posOffset>
                </wp:positionV>
                <wp:extent cx="1855470" cy="523875"/>
                <wp:wrapTopAndBottom/>
                <wp:docPr id="15" name="Shape 15"/>
                <a:graphic xmlns:a="http://schemas.openxmlformats.org/drawingml/2006/main">
                  <a:graphicData uri="http://schemas.microsoft.com/office/word/2010/wordprocessingShape">
                    <wps:wsp>
                      <wps:cNvSpPr txBox="1"/>
                      <wps:spPr>
                        <a:xfrm>
                          <a:ext cx="1855470" cy="523875"/>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 Dodavatele: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Koutech dne: </w:t>
                            </w:r>
                            <w:r>
                              <w:rPr>
                                <w:color w:val="2D3A71"/>
                                <w:spacing w:val="0"/>
                                <w:w w:val="100"/>
                                <w:position w:val="0"/>
                                <w:shd w:val="clear" w:color="auto" w:fill="auto"/>
                                <w:lang w:val="cs-CZ" w:eastAsia="cs-CZ" w:bidi="cs-CZ"/>
                              </w:rPr>
                              <w:t>..iLkA?!?.</w:t>
                            </w:r>
                          </w:p>
                        </w:txbxContent>
                      </wps:txbx>
                      <wps:bodyPr lIns="0" tIns="0" rIns="0" bIns="0">
                        <a:noAutoFit/>
                      </wps:bodyPr>
                    </wps:wsp>
                  </a:graphicData>
                </a:graphic>
              </wp:anchor>
            </w:drawing>
          </mc:Choice>
          <mc:Fallback>
            <w:pict>
              <v:shape id="_x0000_s1041" type="#_x0000_t202" style="position:absolute;margin-left:68.450000000000003pt;margin-top:19.75pt;width:146.09999999999999pt;height:41.25pt;z-index:-125829365;mso-wrap-distance-left:0;mso-wrap-distance-top:19.75pt;mso-wrap-distance-right:0;mso-wrap-distance-bottom:0.75pt;mso-position-horizontal-relative:page"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 Dodavatele: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Koutech dne: </w:t>
                      </w:r>
                      <w:r>
                        <w:rPr>
                          <w:color w:val="2D3A71"/>
                          <w:spacing w:val="0"/>
                          <w:w w:val="100"/>
                          <w:position w:val="0"/>
                          <w:shd w:val="clear" w:color="auto" w:fill="auto"/>
                          <w:lang w:val="cs-CZ" w:eastAsia="cs-CZ" w:bidi="cs-CZ"/>
                        </w:rPr>
                        <w:t>..iLkA?!?.</w:t>
                      </w:r>
                    </w:p>
                  </w:txbxContent>
                </v:textbox>
                <w10:wrap type="topAndBottom" anchorx="page"/>
              </v:shape>
            </w:pict>
          </mc:Fallback>
        </mc:AlternateContent>
      </w:r>
      <w:r>
        <mc:AlternateContent>
          <mc:Choice Requires="wps">
            <w:drawing>
              <wp:anchor distT="203200" distB="0" distL="0" distR="0" simplePos="0" relativeHeight="125829390" behindDoc="0" locked="0" layoutInCell="1" allowOverlap="1">
                <wp:simplePos x="0" y="0"/>
                <wp:positionH relativeFrom="page">
                  <wp:posOffset>4003040</wp:posOffset>
                </wp:positionH>
                <wp:positionV relativeFrom="paragraph">
                  <wp:posOffset>203200</wp:posOffset>
                </wp:positionV>
                <wp:extent cx="1889760" cy="581025"/>
                <wp:wrapTopAndBottom/>
                <wp:docPr id="17" name="Shape 17"/>
                <a:graphic xmlns:a="http://schemas.openxmlformats.org/drawingml/2006/main">
                  <a:graphicData uri="http://schemas.microsoft.com/office/word/2010/wordprocessingShape">
                    <wps:wsp>
                      <wps:cNvSpPr txBox="1"/>
                      <wps:spPr>
                        <a:xfrm>
                          <a:ext cx="1889760" cy="581025"/>
                        </a:xfrm>
                        <a:prstGeom prst="rect"/>
                        <a:noFill/>
                      </wps:spPr>
                      <wps:txbx>
                        <w:txbxContent>
                          <w:p>
                            <w:pPr>
                              <w:pStyle w:val="Style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 xml:space="preserve">Za Odběratele: </w:t>
                            </w:r>
                            <w:r>
                              <w:rPr>
                                <w:color w:val="2D3A71"/>
                                <w:spacing w:val="0"/>
                                <w:w w:val="100"/>
                                <w:position w:val="0"/>
                                <w:shd w:val="clear" w:color="auto" w:fill="auto"/>
                                <w:lang w:val="cs-CZ" w:eastAsia="cs-CZ" w:bidi="cs-CZ"/>
                              </w:rPr>
                              <w:t>2U-Z®1</w:t>
                            </w:r>
                          </w:p>
                          <w:p>
                            <w:pPr>
                              <w:pStyle w:val="Style7"/>
                              <w:keepNext w:val="0"/>
                              <w:keepLines w:val="0"/>
                              <w:widowControl w:val="0"/>
                              <w:shd w:val="clear" w:color="auto" w:fill="auto"/>
                              <w:tabs>
                                <w:tab w:leader="dot" w:pos="1755"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r>
                          </w:p>
                        </w:txbxContent>
                      </wps:txbx>
                      <wps:bodyPr lIns="0" tIns="0" rIns="0" bIns="0">
                        <a:noAutoFit/>
                      </wps:bodyPr>
                    </wps:wsp>
                  </a:graphicData>
                </a:graphic>
              </wp:anchor>
            </w:drawing>
          </mc:Choice>
          <mc:Fallback>
            <w:pict>
              <v:shape id="_x0000_s1043" type="#_x0000_t202" style="position:absolute;margin-left:315.19999999999999pt;margin-top:16.pt;width:148.80000000000001pt;height:45.75pt;z-index:-125829363;mso-wrap-distance-left:0;mso-wrap-distance-top:16.pt;mso-wrap-distance-right:0;mso-position-horizontal-relative:page" filled="f" stroked="f">
                <v:textbox inset="0,0,0,0">
                  <w:txbxContent>
                    <w:p>
                      <w:pPr>
                        <w:pStyle w:val="Style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 xml:space="preserve">Za Odběratele: </w:t>
                      </w:r>
                      <w:r>
                        <w:rPr>
                          <w:color w:val="2D3A71"/>
                          <w:spacing w:val="0"/>
                          <w:w w:val="100"/>
                          <w:position w:val="0"/>
                          <w:shd w:val="clear" w:color="auto" w:fill="auto"/>
                          <w:lang w:val="cs-CZ" w:eastAsia="cs-CZ" w:bidi="cs-CZ"/>
                        </w:rPr>
                        <w:t>2U-Z®1</w:t>
                      </w:r>
                    </w:p>
                    <w:p>
                      <w:pPr>
                        <w:pStyle w:val="Style7"/>
                        <w:keepNext w:val="0"/>
                        <w:keepLines w:val="0"/>
                        <w:widowControl w:val="0"/>
                        <w:shd w:val="clear" w:color="auto" w:fill="auto"/>
                        <w:tabs>
                          <w:tab w:leader="dot" w:pos="1755"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r>
                    </w:p>
                  </w:txbxContent>
                </v:textbox>
                <w10:wrap type="topAndBottom" anchorx="page"/>
              </v:shape>
            </w:pict>
          </mc:Fallback>
        </mc:AlternateContent>
      </w:r>
    </w:p>
    <w:p>
      <w:pPr>
        <w:pStyle w:val="Style7"/>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Ing. Radovan Necid</w:t>
        <w:br/>
        <w:t>ředitel organizace</w:t>
      </w:r>
    </w:p>
    <w:sectPr>
      <w:footnotePr>
        <w:pos w:val="pageBottom"/>
        <w:numFmt w:val="decimal"/>
        <w:numRestart w:val="continuous"/>
      </w:footnotePr>
      <w:type w:val="continuous"/>
      <w:pgSz w:w="11900" w:h="16840"/>
      <w:pgMar w:top="507" w:left="1363" w:right="1385" w:bottom="21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847090</wp:posOffset>
              </wp:positionH>
              <wp:positionV relativeFrom="page">
                <wp:posOffset>8221345</wp:posOffset>
              </wp:positionV>
              <wp:extent cx="89535" cy="91440"/>
              <wp:wrapNone/>
              <wp:docPr id="7" name="Shape 7"/>
              <a:graphic xmlns:a="http://schemas.openxmlformats.org/drawingml/2006/main">
                <a:graphicData uri="http://schemas.microsoft.com/office/word/2010/wordprocessingShape">
                  <wps:wsp>
                    <wps:cNvSpPr txBox="1"/>
                    <wps:spPr>
                      <a:xfrm>
                        <a:ext cx="89535"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66.700000000000003pt;margin-top:647.35000000000002pt;width:7.0499999999999998pt;height:7.2000000000000002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2.</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843280</wp:posOffset>
              </wp:positionH>
              <wp:positionV relativeFrom="page">
                <wp:posOffset>9069070</wp:posOffset>
              </wp:positionV>
              <wp:extent cx="91440" cy="93345"/>
              <wp:wrapNone/>
              <wp:docPr id="9" name="Shape 9"/>
              <a:graphic xmlns:a="http://schemas.openxmlformats.org/drawingml/2006/main">
                <a:graphicData uri="http://schemas.microsoft.com/office/word/2010/wordprocessingShape">
                  <wps:wsp>
                    <wps:cNvSpPr txBox="1"/>
                    <wps:spPr>
                      <a:xfrm>
                        <a:ext cx="91440" cy="933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66.400000000000006pt;margin-top:714.10000000000002pt;width:7.2000000000000002pt;height:7.3499999999999996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20"/>
      <w:szCs w:val="20"/>
      <w:u w:val="none"/>
    </w:rPr>
  </w:style>
  <w:style w:type="character" w:customStyle="1" w:styleId="CharStyle8">
    <w:name w:val="Základní text_"/>
    <w:basedOn w:val="DefaultParagraphFont"/>
    <w:link w:val="Style7"/>
    <w:rPr>
      <w:rFonts w:ascii="Calibri" w:eastAsia="Calibri" w:hAnsi="Calibri" w:cs="Calibri"/>
      <w:b w:val="0"/>
      <w:bCs w:val="0"/>
      <w:i w:val="0"/>
      <w:iCs w:val="0"/>
      <w:smallCaps w:val="0"/>
      <w:strike w:val="0"/>
      <w:sz w:val="20"/>
      <w:szCs w:val="20"/>
      <w:u w:val="none"/>
    </w:rPr>
  </w:style>
  <w:style w:type="character" w:customStyle="1" w:styleId="CharStyle10">
    <w:name w:val="Nadpis #1_"/>
    <w:basedOn w:val="DefaultParagraphFont"/>
    <w:link w:val="Style9"/>
    <w:rPr>
      <w:rFonts w:ascii="Calibri" w:eastAsia="Calibri" w:hAnsi="Calibri" w:cs="Calibri"/>
      <w:b w:val="0"/>
      <w:bCs w:val="0"/>
      <w:i w:val="0"/>
      <w:iCs w:val="0"/>
      <w:smallCaps w:val="0"/>
      <w:strike w:val="0"/>
      <w:sz w:val="36"/>
      <w:szCs w:val="36"/>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2_"/>
    <w:basedOn w:val="DefaultParagraphFont"/>
    <w:link w:val="Style16"/>
    <w:rPr>
      <w:rFonts w:ascii="Calibri" w:eastAsia="Calibri" w:hAnsi="Calibri" w:cs="Calibri"/>
      <w:b/>
      <w:bCs/>
      <w:i w:val="0"/>
      <w:iCs w:val="0"/>
      <w:smallCaps w:val="0"/>
      <w:strike w:val="0"/>
      <w:sz w:val="20"/>
      <w:szCs w:val="20"/>
      <w:u w:val="none"/>
    </w:rPr>
  </w:style>
  <w:style w:type="paragraph" w:customStyle="1" w:styleId="Style2">
    <w:name w:val="Jiné"/>
    <w:basedOn w:val="Normal"/>
    <w:link w:val="CharStyle3"/>
    <w:pPr>
      <w:widowControl w:val="0"/>
      <w:shd w:val="clear" w:color="auto" w:fill="FFFFFF"/>
      <w:spacing w:line="259" w:lineRule="auto"/>
    </w:pPr>
    <w:rPr>
      <w:rFonts w:ascii="Calibri" w:eastAsia="Calibri" w:hAnsi="Calibri" w:cs="Calibri"/>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line="259" w:lineRule="auto"/>
    </w:pPr>
    <w:rPr>
      <w:rFonts w:ascii="Calibri" w:eastAsia="Calibri" w:hAnsi="Calibri" w:cs="Calibri"/>
      <w:b w:val="0"/>
      <w:bCs w:val="0"/>
      <w:i w:val="0"/>
      <w:iCs w:val="0"/>
      <w:smallCaps w:val="0"/>
      <w:strike w:val="0"/>
      <w:sz w:val="20"/>
      <w:szCs w:val="20"/>
      <w:u w:val="none"/>
    </w:rPr>
  </w:style>
  <w:style w:type="paragraph" w:customStyle="1" w:styleId="Style9">
    <w:name w:val="Nadpis #1"/>
    <w:basedOn w:val="Normal"/>
    <w:link w:val="CharStyle10"/>
    <w:pPr>
      <w:widowControl w:val="0"/>
      <w:shd w:val="clear" w:color="auto" w:fill="FFFFFF"/>
      <w:spacing w:after="540"/>
      <w:ind w:firstLine="260"/>
      <w:outlineLvl w:val="0"/>
    </w:pPr>
    <w:rPr>
      <w:rFonts w:ascii="Calibri" w:eastAsia="Calibri" w:hAnsi="Calibri" w:cs="Calibri"/>
      <w:b w:val="0"/>
      <w:bCs w:val="0"/>
      <w:i w:val="0"/>
      <w:iCs w:val="0"/>
      <w:smallCaps w:val="0"/>
      <w:strike w:val="0"/>
      <w:sz w:val="36"/>
      <w:szCs w:val="36"/>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2"/>
    <w:basedOn w:val="Normal"/>
    <w:link w:val="CharStyle17"/>
    <w:pPr>
      <w:widowControl w:val="0"/>
      <w:shd w:val="clear" w:color="auto" w:fill="FFFFFF"/>
      <w:spacing w:line="262" w:lineRule="auto"/>
      <w:jc w:val="center"/>
      <w:outlineLvl w:val="1"/>
    </w:pPr>
    <w:rPr>
      <w:rFonts w:ascii="Calibri" w:eastAsia="Calibri" w:hAnsi="Calibri" w:cs="Calibri"/>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