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C1B1" w14:textId="487B959F" w:rsidR="007F56AF" w:rsidRDefault="001E74E3" w:rsidP="007F56AF">
      <w:pPr>
        <w:rPr>
          <w:rFonts w:ascii="Times New Roman" w:hAnsi="Times New Roman"/>
          <w:b/>
          <w:sz w:val="32"/>
          <w:szCs w:val="32"/>
          <w:u w:val="single"/>
        </w:rPr>
      </w:pPr>
      <w:r w:rsidRPr="005F16E4">
        <w:rPr>
          <w:rFonts w:ascii="Times New Roman" w:hAnsi="Times New Roman"/>
          <w:b/>
          <w:sz w:val="32"/>
          <w:szCs w:val="32"/>
          <w:u w:val="single"/>
        </w:rPr>
        <w:t xml:space="preserve">Příloha č. 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  <w:r w:rsidR="00824989">
        <w:rPr>
          <w:rFonts w:ascii="Times New Roman" w:hAnsi="Times New Roman"/>
          <w:b/>
          <w:sz w:val="32"/>
          <w:szCs w:val="32"/>
          <w:u w:val="single"/>
        </w:rPr>
        <w:t xml:space="preserve"> – </w:t>
      </w:r>
      <w:r w:rsidR="007F56AF">
        <w:rPr>
          <w:rFonts w:ascii="Times New Roman" w:hAnsi="Times New Roman"/>
          <w:b/>
          <w:sz w:val="32"/>
          <w:szCs w:val="32"/>
          <w:u w:val="single"/>
        </w:rPr>
        <w:t>Odborné učebny – IKAP III</w:t>
      </w:r>
    </w:p>
    <w:p w14:paraId="4827D87E" w14:textId="77777777" w:rsidR="007F56AF" w:rsidRPr="007F56AF" w:rsidRDefault="007F56AF" w:rsidP="007F56AF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68CFFA72" w14:textId="24812AD4" w:rsidR="00DD71E5" w:rsidRPr="00AB3EC2" w:rsidRDefault="00DD71E5" w:rsidP="00AB3EC2">
      <w:pPr>
        <w:pStyle w:val="Odstavecseseznamem"/>
        <w:numPr>
          <w:ilvl w:val="0"/>
          <w:numId w:val="15"/>
        </w:numPr>
        <w:spacing w:after="0" w:line="360" w:lineRule="auto"/>
        <w:rPr>
          <w:b/>
          <w:sz w:val="28"/>
          <w:szCs w:val="28"/>
        </w:rPr>
      </w:pPr>
      <w:r w:rsidRPr="00AB3EC2">
        <w:rPr>
          <w:b/>
          <w:sz w:val="28"/>
          <w:szCs w:val="28"/>
        </w:rPr>
        <w:t>S</w:t>
      </w:r>
      <w:r w:rsidR="00AB3EC2" w:rsidRPr="00AB3EC2">
        <w:rPr>
          <w:b/>
          <w:sz w:val="28"/>
          <w:szCs w:val="28"/>
        </w:rPr>
        <w:t>estava atypic</w:t>
      </w:r>
      <w:r w:rsidR="00E3492F">
        <w:rPr>
          <w:b/>
          <w:sz w:val="28"/>
          <w:szCs w:val="28"/>
        </w:rPr>
        <w:t>kých skříněk</w:t>
      </w:r>
      <w:r w:rsidRPr="00AB3EC2">
        <w:rPr>
          <w:b/>
          <w:sz w:val="28"/>
          <w:szCs w:val="28"/>
        </w:rPr>
        <w:t xml:space="preserve"> do 2 odborných učeben dle návrhu včetně pracovní desky.</w:t>
      </w:r>
    </w:p>
    <w:p w14:paraId="1E0E97DA" w14:textId="4933FF11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 xml:space="preserve">Materiál </w:t>
      </w:r>
      <w:r w:rsidR="00222CA7">
        <w:rPr>
          <w:sz w:val="24"/>
          <w:szCs w:val="24"/>
        </w:rPr>
        <w:t>laminovaná DTD, síla</w:t>
      </w:r>
      <w:r w:rsidRPr="00AB3EC2">
        <w:rPr>
          <w:sz w:val="24"/>
          <w:szCs w:val="24"/>
        </w:rPr>
        <w:t xml:space="preserve"> 18 mm.</w:t>
      </w:r>
    </w:p>
    <w:p w14:paraId="7B956292" w14:textId="78FD5014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Dekor bříza, oranžová, světle modrá – dle návrhu.</w:t>
      </w:r>
    </w:p>
    <w:p w14:paraId="28F60581" w14:textId="1A7962D2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ABS hrany min</w:t>
      </w:r>
      <w:r w:rsidR="00222CA7">
        <w:rPr>
          <w:sz w:val="24"/>
          <w:szCs w:val="24"/>
        </w:rPr>
        <w:t>.</w:t>
      </w:r>
      <w:r w:rsidRPr="00AB3EC2">
        <w:rPr>
          <w:sz w:val="24"/>
          <w:szCs w:val="24"/>
        </w:rPr>
        <w:t xml:space="preserve"> 2 mm</w:t>
      </w:r>
    </w:p>
    <w:p w14:paraId="02204406" w14:textId="4D599A09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Úchytky – nikl matný</w:t>
      </w:r>
    </w:p>
    <w:p w14:paraId="3F0C7842" w14:textId="7C1FDA6C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Centrální zamykání pro všechny skříňky.</w:t>
      </w:r>
    </w:p>
    <w:p w14:paraId="3266218D" w14:textId="77777777" w:rsidR="00DD71E5" w:rsidRPr="00AB3EC2" w:rsidRDefault="00DD71E5" w:rsidP="008200E1">
      <w:pPr>
        <w:pStyle w:val="Odstavecseseznamem"/>
        <w:numPr>
          <w:ilvl w:val="2"/>
          <w:numId w:val="17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 xml:space="preserve">Délka sestavy </w:t>
      </w:r>
    </w:p>
    <w:p w14:paraId="6D0B5BE4" w14:textId="192BC890" w:rsidR="00DD71E5" w:rsidRPr="00AB3EC2" w:rsidRDefault="00DD71E5" w:rsidP="008200E1">
      <w:pPr>
        <w:pStyle w:val="Odstavecseseznamem"/>
        <w:numPr>
          <w:ilvl w:val="3"/>
          <w:numId w:val="18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uč. 37</w:t>
      </w:r>
      <w:r w:rsidRPr="00AB3EC2">
        <w:rPr>
          <w:sz w:val="24"/>
          <w:szCs w:val="24"/>
        </w:rPr>
        <w:tab/>
      </w:r>
      <w:r w:rsidRPr="00AB3EC2">
        <w:rPr>
          <w:sz w:val="24"/>
          <w:szCs w:val="24"/>
        </w:rPr>
        <w:tab/>
        <w:t>632 cm</w:t>
      </w:r>
      <w:r w:rsidR="00222CA7">
        <w:rPr>
          <w:sz w:val="24"/>
          <w:szCs w:val="24"/>
        </w:rPr>
        <w:t xml:space="preserve"> (8 skříněk x 79 cm)</w:t>
      </w:r>
    </w:p>
    <w:p w14:paraId="0BD7ABE8" w14:textId="70B2A528" w:rsidR="00DD71E5" w:rsidRPr="00AB3EC2" w:rsidRDefault="00DD71E5" w:rsidP="008200E1">
      <w:pPr>
        <w:pStyle w:val="Odstavecseseznamem"/>
        <w:numPr>
          <w:ilvl w:val="3"/>
          <w:numId w:val="18"/>
        </w:numPr>
        <w:spacing w:after="0" w:line="360" w:lineRule="auto"/>
        <w:rPr>
          <w:sz w:val="24"/>
          <w:szCs w:val="24"/>
        </w:rPr>
      </w:pPr>
      <w:r w:rsidRPr="00AB3EC2">
        <w:rPr>
          <w:sz w:val="24"/>
          <w:szCs w:val="24"/>
        </w:rPr>
        <w:t>uč. 38</w:t>
      </w:r>
      <w:r w:rsidRPr="00AB3EC2">
        <w:rPr>
          <w:sz w:val="24"/>
          <w:szCs w:val="24"/>
        </w:rPr>
        <w:tab/>
      </w:r>
      <w:r w:rsidRPr="00AB3EC2">
        <w:rPr>
          <w:sz w:val="24"/>
          <w:szCs w:val="24"/>
        </w:rPr>
        <w:tab/>
        <w:t>539 cm</w:t>
      </w:r>
      <w:r w:rsidR="00222CA7">
        <w:rPr>
          <w:sz w:val="24"/>
          <w:szCs w:val="24"/>
        </w:rPr>
        <w:t xml:space="preserve"> (7 skříněk x 77 cm)</w:t>
      </w:r>
    </w:p>
    <w:p w14:paraId="60A0D78A" w14:textId="77777777" w:rsidR="00DD71E5" w:rsidRPr="005F16E4" w:rsidRDefault="00DD71E5" w:rsidP="001E74E3">
      <w:pPr>
        <w:spacing w:after="0" w:line="360" w:lineRule="auto"/>
        <w:rPr>
          <w:sz w:val="24"/>
          <w:szCs w:val="24"/>
        </w:rPr>
      </w:pPr>
    </w:p>
    <w:p w14:paraId="2036EE61" w14:textId="03B6003E" w:rsidR="001E74E3" w:rsidRPr="00450C3A" w:rsidRDefault="00450C3A" w:rsidP="001E74E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50C3A">
        <w:rPr>
          <w:rFonts w:ascii="Times New Roman" w:hAnsi="Times New Roman"/>
          <w:b/>
          <w:sz w:val="24"/>
          <w:szCs w:val="24"/>
          <w:u w:val="single"/>
        </w:rPr>
        <w:t>Skříňka horní – 15 ks</w:t>
      </w:r>
    </w:p>
    <w:p w14:paraId="0EADD8D1" w14:textId="240C1832" w:rsidR="001E74E3" w:rsidRDefault="00DD71E5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60 cm</w:t>
      </w:r>
    </w:p>
    <w:p w14:paraId="26BFAA26" w14:textId="333EDCF5" w:rsidR="00DD71E5" w:rsidRDefault="00DD71E5" w:rsidP="00AB3EC2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Hloubka 35 cm</w:t>
      </w:r>
    </w:p>
    <w:p w14:paraId="0DAF84A4" w14:textId="79CAE393" w:rsidR="00E3492F" w:rsidRDefault="00686B03" w:rsidP="00AB3EC2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Uzavíratelná s dvířky</w:t>
      </w:r>
    </w:p>
    <w:p w14:paraId="1EEB1358" w14:textId="6BEBDD8B" w:rsidR="00E3492F" w:rsidRPr="00AB3EC2" w:rsidRDefault="00E3492F" w:rsidP="00AB3EC2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Výškově stavitelné police</w:t>
      </w:r>
    </w:p>
    <w:p w14:paraId="3E637C21" w14:textId="77777777" w:rsidR="001E74E3" w:rsidRPr="008D22FA" w:rsidRDefault="001E74E3" w:rsidP="001E74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9DCC4B" w14:textId="2D180AB4" w:rsidR="001E74E3" w:rsidRDefault="00450C3A" w:rsidP="001E74E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Skříňka spodní</w:t>
      </w:r>
      <w:r w:rsidR="001E74E3">
        <w:rPr>
          <w:rFonts w:ascii="Times New Roman" w:hAnsi="Times New Roman"/>
          <w:b/>
          <w:sz w:val="24"/>
          <w:szCs w:val="24"/>
          <w:u w:val="single"/>
        </w:rPr>
        <w:t xml:space="preserve"> – 1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1E74E3">
        <w:rPr>
          <w:rFonts w:ascii="Times New Roman" w:hAnsi="Times New Roman"/>
          <w:b/>
          <w:sz w:val="24"/>
          <w:szCs w:val="24"/>
          <w:u w:val="single"/>
        </w:rPr>
        <w:t xml:space="preserve"> ks</w:t>
      </w:r>
      <w:r w:rsidR="001E74E3" w:rsidRPr="009B0A9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674E365" w14:textId="59F4A81D" w:rsidR="00D07396" w:rsidRPr="00AB3EC2" w:rsidRDefault="00AB3EC2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Výška 90 cm</w:t>
      </w:r>
    </w:p>
    <w:p w14:paraId="19E25401" w14:textId="40672857" w:rsidR="00AB3EC2" w:rsidRPr="00E3492F" w:rsidRDefault="00AB3EC2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Hloubka 60 cm</w:t>
      </w:r>
    </w:p>
    <w:p w14:paraId="50836FCA" w14:textId="37BE1A15" w:rsidR="00E3492F" w:rsidRPr="00E3492F" w:rsidRDefault="00E3492F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Uzavíratelná</w:t>
      </w:r>
      <w:r w:rsidR="00686B03">
        <w:rPr>
          <w:rFonts w:ascii="Times New Roman" w:hAnsi="Times New Roman"/>
          <w:sz w:val="24"/>
          <w:szCs w:val="24"/>
        </w:rPr>
        <w:t xml:space="preserve"> s dvířky</w:t>
      </w:r>
      <w:r>
        <w:rPr>
          <w:rFonts w:ascii="Times New Roman" w:hAnsi="Times New Roman"/>
          <w:sz w:val="24"/>
          <w:szCs w:val="24"/>
        </w:rPr>
        <w:t xml:space="preserve"> 6 ks</w:t>
      </w:r>
    </w:p>
    <w:p w14:paraId="6DBC3C32" w14:textId="0C69109B" w:rsidR="00E3492F" w:rsidRPr="00E3492F" w:rsidRDefault="00E3492F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Zásuvková 7 ks</w:t>
      </w:r>
    </w:p>
    <w:p w14:paraId="35AEC1D5" w14:textId="39587CFE" w:rsidR="00E3492F" w:rsidRPr="00E3492F" w:rsidRDefault="00E3492F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Policová 2 ks</w:t>
      </w:r>
    </w:p>
    <w:p w14:paraId="63380106" w14:textId="4A3E5BB7" w:rsidR="00E3492F" w:rsidRPr="007F56AF" w:rsidRDefault="00E3492F" w:rsidP="00450C3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Výškově stavitelné police v uzavíratelných skříňkách</w:t>
      </w:r>
      <w:r w:rsidR="00EA6A6E">
        <w:rPr>
          <w:rFonts w:ascii="Times New Roman" w:hAnsi="Times New Roman"/>
          <w:sz w:val="24"/>
          <w:szCs w:val="24"/>
        </w:rPr>
        <w:t xml:space="preserve"> (2ks na 1 skříňku)</w:t>
      </w:r>
    </w:p>
    <w:p w14:paraId="55514E3D" w14:textId="77777777" w:rsidR="007F56AF" w:rsidRPr="00AB3EC2" w:rsidRDefault="007F56AF" w:rsidP="007F56AF">
      <w:pPr>
        <w:pStyle w:val="Odstavecseseznamem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D127B2" w14:textId="14DDF76A" w:rsidR="001E74E3" w:rsidRPr="00597EAE" w:rsidRDefault="00450C3A" w:rsidP="001E74E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Pracovní deska</w:t>
      </w:r>
      <w:r w:rsidR="001E74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74E3" w:rsidRPr="00597EAE">
        <w:rPr>
          <w:rFonts w:ascii="Times New Roman" w:hAnsi="Times New Roman"/>
          <w:b/>
          <w:sz w:val="24"/>
          <w:szCs w:val="24"/>
          <w:u w:val="single"/>
        </w:rPr>
        <w:t>– 2 ks</w:t>
      </w:r>
      <w:r w:rsidR="001E74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A0AF54D" w14:textId="17CC10D6" w:rsidR="009F15EB" w:rsidRPr="00AB3EC2" w:rsidRDefault="00AB3EC2" w:rsidP="00450C3A">
      <w:pPr>
        <w:pStyle w:val="Odstavecseseznamem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AB3EC2">
        <w:rPr>
          <w:rFonts w:ascii="Times New Roman" w:hAnsi="Times New Roman"/>
          <w:sz w:val="24"/>
          <w:szCs w:val="24"/>
        </w:rPr>
        <w:t>Dekor</w:t>
      </w:r>
      <w:r w:rsidR="00222CA7">
        <w:rPr>
          <w:rFonts w:ascii="Times New Roman" w:hAnsi="Times New Roman"/>
          <w:sz w:val="24"/>
          <w:szCs w:val="24"/>
        </w:rPr>
        <w:t xml:space="preserve"> - světlý mramor</w:t>
      </w:r>
    </w:p>
    <w:p w14:paraId="4FAB2E0C" w14:textId="27C3318D" w:rsidR="00AB3EC2" w:rsidRDefault="00AB3EC2" w:rsidP="00450C3A">
      <w:pPr>
        <w:pStyle w:val="Odstavecseseznamem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Síla 38 mm</w:t>
      </w:r>
    </w:p>
    <w:p w14:paraId="0650A453" w14:textId="52C84EAE" w:rsidR="00AB3EC2" w:rsidRDefault="00AB3EC2" w:rsidP="00450C3A">
      <w:pPr>
        <w:pStyle w:val="Odstavecseseznamem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Hloubka 60 cm</w:t>
      </w:r>
    </w:p>
    <w:p w14:paraId="697F47B1" w14:textId="436D35E9" w:rsidR="00EA6A6E" w:rsidRPr="00AB3EC2" w:rsidRDefault="00222CA7" w:rsidP="00450C3A">
      <w:pPr>
        <w:pStyle w:val="Odstavecseseznamem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Zakončená těsnící lištou v barvě pracovní desky</w:t>
      </w:r>
    </w:p>
    <w:p w14:paraId="2273B2F9" w14:textId="77777777" w:rsidR="009F15EB" w:rsidRDefault="009F15EB" w:rsidP="009F15EB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</w:p>
    <w:p w14:paraId="58AC0283" w14:textId="5A775865" w:rsidR="00AB3EC2" w:rsidRDefault="00AB3EC2" w:rsidP="00AB3EC2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Skříně na učební pomůcky – 4 ks</w:t>
      </w:r>
    </w:p>
    <w:p w14:paraId="05AF7E9C" w14:textId="0B59BD62" w:rsidR="00AB3EC2" w:rsidRPr="00E3492F" w:rsidRDefault="00AB3EC2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 xml:space="preserve">Materiál </w:t>
      </w:r>
      <w:r w:rsidR="00222CA7">
        <w:rPr>
          <w:rFonts w:ascii="Times New Roman" w:hAnsi="Times New Roman"/>
          <w:sz w:val="24"/>
          <w:szCs w:val="24"/>
        </w:rPr>
        <w:t>laminovaná DTD, síla</w:t>
      </w:r>
      <w:r w:rsidRPr="00E3492F">
        <w:rPr>
          <w:rFonts w:ascii="Times New Roman" w:hAnsi="Times New Roman"/>
          <w:sz w:val="24"/>
          <w:szCs w:val="24"/>
        </w:rPr>
        <w:t xml:space="preserve"> 18 mm</w:t>
      </w:r>
    </w:p>
    <w:p w14:paraId="49149FC0" w14:textId="41125B88" w:rsidR="00AB3EC2" w:rsidRPr="00E3492F" w:rsidRDefault="00AB3EC2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>Dekor bříza</w:t>
      </w:r>
    </w:p>
    <w:p w14:paraId="784E4F90" w14:textId="7DE7FF8A" w:rsidR="00E3492F" w:rsidRPr="00E3492F" w:rsidRDefault="00E3492F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>ABS hrany 2 mm</w:t>
      </w:r>
    </w:p>
    <w:p w14:paraId="730B4892" w14:textId="7439C007" w:rsidR="00AB3EC2" w:rsidRPr="00E3492F" w:rsidRDefault="00AB3EC2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>Uzamykatelné všechny na 1 klíč</w:t>
      </w:r>
    </w:p>
    <w:p w14:paraId="6688B6A4" w14:textId="460EA59C" w:rsidR="00AB3EC2" w:rsidRPr="00E3492F" w:rsidRDefault="00AB3EC2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 xml:space="preserve">Výška 242 </w:t>
      </w:r>
      <w:r w:rsidR="0055586F">
        <w:rPr>
          <w:rFonts w:ascii="Times New Roman" w:hAnsi="Times New Roman"/>
          <w:sz w:val="24"/>
          <w:szCs w:val="24"/>
        </w:rPr>
        <w:t>c</w:t>
      </w:r>
      <w:r w:rsidRPr="00E3492F">
        <w:rPr>
          <w:rFonts w:ascii="Times New Roman" w:hAnsi="Times New Roman"/>
          <w:sz w:val="24"/>
          <w:szCs w:val="24"/>
        </w:rPr>
        <w:t xml:space="preserve">m x šířka 80 </w:t>
      </w:r>
      <w:r w:rsidR="0055586F">
        <w:rPr>
          <w:rFonts w:ascii="Times New Roman" w:hAnsi="Times New Roman"/>
          <w:sz w:val="24"/>
          <w:szCs w:val="24"/>
        </w:rPr>
        <w:t>c</w:t>
      </w:r>
      <w:r w:rsidRPr="00E3492F">
        <w:rPr>
          <w:rFonts w:ascii="Times New Roman" w:hAnsi="Times New Roman"/>
          <w:sz w:val="24"/>
          <w:szCs w:val="24"/>
        </w:rPr>
        <w:t xml:space="preserve">m x hloubka 60 </w:t>
      </w:r>
      <w:r w:rsidR="0055586F">
        <w:rPr>
          <w:rFonts w:ascii="Times New Roman" w:hAnsi="Times New Roman"/>
          <w:sz w:val="24"/>
          <w:szCs w:val="24"/>
        </w:rPr>
        <w:t>c</w:t>
      </w:r>
      <w:r w:rsidRPr="00E3492F">
        <w:rPr>
          <w:rFonts w:ascii="Times New Roman" w:hAnsi="Times New Roman"/>
          <w:sz w:val="24"/>
          <w:szCs w:val="24"/>
        </w:rPr>
        <w:t>m</w:t>
      </w:r>
    </w:p>
    <w:p w14:paraId="197F9FC6" w14:textId="2C092176" w:rsidR="00AB3EC2" w:rsidRPr="00E3492F" w:rsidRDefault="00AB3EC2" w:rsidP="00E3492F">
      <w:pPr>
        <w:pStyle w:val="Odstavecseseznamem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92F">
        <w:rPr>
          <w:rFonts w:ascii="Times New Roman" w:hAnsi="Times New Roman"/>
          <w:sz w:val="24"/>
          <w:szCs w:val="24"/>
        </w:rPr>
        <w:t>Vnitřní police výškově stavitelné – min</w:t>
      </w:r>
      <w:r w:rsidR="0055586F">
        <w:rPr>
          <w:rFonts w:ascii="Times New Roman" w:hAnsi="Times New Roman"/>
          <w:sz w:val="24"/>
          <w:szCs w:val="24"/>
        </w:rPr>
        <w:t>.</w:t>
      </w:r>
      <w:r w:rsidRPr="00E3492F">
        <w:rPr>
          <w:rFonts w:ascii="Times New Roman" w:hAnsi="Times New Roman"/>
          <w:sz w:val="24"/>
          <w:szCs w:val="24"/>
        </w:rPr>
        <w:t xml:space="preserve"> 6 ks v každé skříni</w:t>
      </w:r>
    </w:p>
    <w:p w14:paraId="2DDF6403" w14:textId="77777777" w:rsidR="00AB3EC2" w:rsidRPr="00AB3EC2" w:rsidRDefault="00AB3EC2" w:rsidP="00AB3E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84CD17" w14:textId="77777777" w:rsidR="009F15EB" w:rsidRDefault="009F15EB" w:rsidP="001E74E3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22CAEC6" w14:textId="77777777" w:rsidR="00B82922" w:rsidRDefault="00B82922" w:rsidP="001E74E3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71ADBC4" w14:textId="77777777" w:rsidR="001E74E3" w:rsidRDefault="001E74E3" w:rsidP="001E74E3">
      <w:pPr>
        <w:spacing w:after="0" w:line="288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Implementace Krajského akčního plánu Jihočeského kraje III,</w:t>
      </w:r>
    </w:p>
    <w:p w14:paraId="2C6D9039" w14:textId="77777777" w:rsidR="001E74E3" w:rsidRDefault="001E74E3" w:rsidP="001E74E3">
      <w:pPr>
        <w:spacing w:after="0" w:line="288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reg. č. CZ.02.3.68/0.00.0/19_078/0018246.</w:t>
      </w:r>
    </w:p>
    <w:p w14:paraId="477BCA66" w14:textId="77777777" w:rsidR="001E74E3" w:rsidRDefault="001E74E3" w:rsidP="001E74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E74E3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BA055" w14:textId="77777777" w:rsidR="00B15D82" w:rsidRDefault="00B15D82" w:rsidP="003E5669">
      <w:pPr>
        <w:spacing w:after="0" w:line="240" w:lineRule="auto"/>
      </w:pPr>
      <w:r>
        <w:separator/>
      </w:r>
    </w:p>
  </w:endnote>
  <w:endnote w:type="continuationSeparator" w:id="0">
    <w:p w14:paraId="3B449FC9" w14:textId="77777777" w:rsidR="00B15D82" w:rsidRDefault="00B15D82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58ED3E19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7F56AF">
          <w:rPr>
            <w:noProof/>
          </w:rPr>
          <w:t>2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35EE7" w14:textId="77777777" w:rsidR="00B15D82" w:rsidRDefault="00B15D82" w:rsidP="003E5669">
      <w:pPr>
        <w:spacing w:after="0" w:line="240" w:lineRule="auto"/>
      </w:pPr>
      <w:r>
        <w:separator/>
      </w:r>
    </w:p>
  </w:footnote>
  <w:footnote w:type="continuationSeparator" w:id="0">
    <w:p w14:paraId="7E93ABCC" w14:textId="77777777" w:rsidR="00B15D82" w:rsidRDefault="00B15D82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F0"/>
    <w:multiLevelType w:val="hybridMultilevel"/>
    <w:tmpl w:val="DEFE6B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D5120"/>
    <w:multiLevelType w:val="hybridMultilevel"/>
    <w:tmpl w:val="F774A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7439"/>
    <w:multiLevelType w:val="hybridMultilevel"/>
    <w:tmpl w:val="171E1BAC"/>
    <w:lvl w:ilvl="0" w:tplc="DBA60E14">
      <w:start w:val="1"/>
      <w:numFmt w:val="decimal"/>
      <w:lvlText w:val="%1."/>
      <w:lvlJc w:val="left"/>
      <w:pPr>
        <w:ind w:left="4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0EBE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45B8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E042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2AE6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E156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491A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2A16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25F8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0315F"/>
    <w:multiLevelType w:val="hybridMultilevel"/>
    <w:tmpl w:val="A15CB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33CA"/>
    <w:multiLevelType w:val="hybridMultilevel"/>
    <w:tmpl w:val="11D0C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640C4"/>
    <w:multiLevelType w:val="hybridMultilevel"/>
    <w:tmpl w:val="D7F21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F0439"/>
    <w:multiLevelType w:val="hybridMultilevel"/>
    <w:tmpl w:val="6882BCE8"/>
    <w:lvl w:ilvl="0" w:tplc="831896BC">
      <w:start w:val="1"/>
      <w:numFmt w:val="decimal"/>
      <w:lvlText w:val="%1.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0ED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8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534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80D1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86B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2895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A4B6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3A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1A0709"/>
    <w:multiLevelType w:val="hybridMultilevel"/>
    <w:tmpl w:val="89421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6" w15:restartNumberingAfterBreak="0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510839"/>
    <w:multiLevelType w:val="hybridMultilevel"/>
    <w:tmpl w:val="556CA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6"/>
  </w:num>
  <w:num w:numId="7">
    <w:abstractNumId w:val="5"/>
  </w:num>
  <w:num w:numId="8">
    <w:abstractNumId w:val="13"/>
  </w:num>
  <w:num w:numId="9">
    <w:abstractNumId w:val="15"/>
  </w:num>
  <w:num w:numId="10">
    <w:abstractNumId w:val="12"/>
  </w:num>
  <w:num w:numId="11">
    <w:abstractNumId w:val="7"/>
  </w:num>
  <w:num w:numId="12">
    <w:abstractNumId w:val="14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B62E9"/>
    <w:rsid w:val="000D4163"/>
    <w:rsid w:val="000E30BE"/>
    <w:rsid w:val="00127380"/>
    <w:rsid w:val="00172783"/>
    <w:rsid w:val="001759DE"/>
    <w:rsid w:val="001A5E39"/>
    <w:rsid w:val="001E74E3"/>
    <w:rsid w:val="00222CA7"/>
    <w:rsid w:val="002B678E"/>
    <w:rsid w:val="003372A2"/>
    <w:rsid w:val="00345A01"/>
    <w:rsid w:val="00386A2B"/>
    <w:rsid w:val="003D6FB8"/>
    <w:rsid w:val="003E0203"/>
    <w:rsid w:val="003E5669"/>
    <w:rsid w:val="00425A83"/>
    <w:rsid w:val="00450C3A"/>
    <w:rsid w:val="004938EC"/>
    <w:rsid w:val="004A378F"/>
    <w:rsid w:val="004D3218"/>
    <w:rsid w:val="004E4B16"/>
    <w:rsid w:val="00500678"/>
    <w:rsid w:val="00530AEE"/>
    <w:rsid w:val="0055586F"/>
    <w:rsid w:val="005A6C33"/>
    <w:rsid w:val="005A6F6A"/>
    <w:rsid w:val="005B0596"/>
    <w:rsid w:val="005E2A78"/>
    <w:rsid w:val="005F25CF"/>
    <w:rsid w:val="00686B03"/>
    <w:rsid w:val="00692B1E"/>
    <w:rsid w:val="00735AB8"/>
    <w:rsid w:val="00756909"/>
    <w:rsid w:val="00790F1F"/>
    <w:rsid w:val="00795C6E"/>
    <w:rsid w:val="007F56AF"/>
    <w:rsid w:val="008200E1"/>
    <w:rsid w:val="00824989"/>
    <w:rsid w:val="0084594D"/>
    <w:rsid w:val="00861EF7"/>
    <w:rsid w:val="008675C3"/>
    <w:rsid w:val="00902F05"/>
    <w:rsid w:val="00927F0F"/>
    <w:rsid w:val="00971157"/>
    <w:rsid w:val="009E6173"/>
    <w:rsid w:val="009F15EB"/>
    <w:rsid w:val="009F1BD2"/>
    <w:rsid w:val="00A32B38"/>
    <w:rsid w:val="00A36A64"/>
    <w:rsid w:val="00A870C9"/>
    <w:rsid w:val="00A970EA"/>
    <w:rsid w:val="00AA5EEC"/>
    <w:rsid w:val="00AB3EC2"/>
    <w:rsid w:val="00B0591C"/>
    <w:rsid w:val="00B15D82"/>
    <w:rsid w:val="00B40C3D"/>
    <w:rsid w:val="00B46755"/>
    <w:rsid w:val="00B47368"/>
    <w:rsid w:val="00B82922"/>
    <w:rsid w:val="00B8645C"/>
    <w:rsid w:val="00B9462A"/>
    <w:rsid w:val="00BC1D13"/>
    <w:rsid w:val="00BC41BC"/>
    <w:rsid w:val="00BF0EDE"/>
    <w:rsid w:val="00C03D71"/>
    <w:rsid w:val="00C14B5F"/>
    <w:rsid w:val="00C304DF"/>
    <w:rsid w:val="00C37E06"/>
    <w:rsid w:val="00C46F61"/>
    <w:rsid w:val="00C6334D"/>
    <w:rsid w:val="00C908BD"/>
    <w:rsid w:val="00CC4768"/>
    <w:rsid w:val="00CD3E56"/>
    <w:rsid w:val="00D07396"/>
    <w:rsid w:val="00D2628B"/>
    <w:rsid w:val="00D47EEE"/>
    <w:rsid w:val="00DD71E5"/>
    <w:rsid w:val="00DE077D"/>
    <w:rsid w:val="00E3492F"/>
    <w:rsid w:val="00E70B97"/>
    <w:rsid w:val="00EA6A6E"/>
    <w:rsid w:val="00EA7354"/>
    <w:rsid w:val="00EC2C97"/>
    <w:rsid w:val="00ED0DE1"/>
    <w:rsid w:val="00EF0ED1"/>
    <w:rsid w:val="00F042D8"/>
    <w:rsid w:val="00F1766B"/>
    <w:rsid w:val="00F476FD"/>
    <w:rsid w:val="00F56813"/>
    <w:rsid w:val="00F56ED0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902F05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0596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F0EDE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47FFEE-0CC2-4D8A-853C-3F0E26FB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Kummelová Lucie</cp:lastModifiedBy>
  <cp:revision>2</cp:revision>
  <cp:lastPrinted>2021-06-22T06:16:00Z</cp:lastPrinted>
  <dcterms:created xsi:type="dcterms:W3CDTF">2021-06-22T06:18:00Z</dcterms:created>
  <dcterms:modified xsi:type="dcterms:W3CDTF">2021-06-22T06:18:00Z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