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10C207B2"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74C4E10D" w:rsidR="00727960" w:rsidRPr="00727960" w:rsidRDefault="009855F8" w:rsidP="009855F8">
      <w:pPr>
        <w:pStyle w:val="Bezmezer"/>
        <w:jc w:val="center"/>
        <w:rPr>
          <w:b/>
          <w:bCs/>
          <w:sz w:val="24"/>
          <w:szCs w:val="24"/>
        </w:rPr>
      </w:pPr>
      <w:r>
        <w:rPr>
          <w:b/>
          <w:bCs/>
          <w:sz w:val="24"/>
          <w:szCs w:val="24"/>
        </w:rPr>
        <w:t xml:space="preserve">číslo </w:t>
      </w:r>
      <w:r w:rsidR="00CD5F35">
        <w:rPr>
          <w:b/>
          <w:bCs/>
          <w:sz w:val="24"/>
          <w:szCs w:val="24"/>
        </w:rPr>
        <w:t>99/2021</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3E7D1FAF" w:rsidR="00727960" w:rsidRDefault="00727960" w:rsidP="00727960">
      <w:pPr>
        <w:pStyle w:val="Bezmezer"/>
      </w:pPr>
      <w:r>
        <w:t>zastoupená</w:t>
      </w:r>
      <w:r w:rsidR="005A11BB">
        <w:t>:</w:t>
      </w:r>
      <w:r>
        <w:t xml:space="preserve">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C04871" w14:textId="3D6C303A" w:rsidR="00727960" w:rsidRDefault="003F0791" w:rsidP="00727960">
      <w:pPr>
        <w:pStyle w:val="Bezmezer"/>
      </w:pPr>
      <w:r>
        <w:t>kontaktní osoba</w:t>
      </w:r>
      <w:r w:rsidR="005A11BB">
        <w:t>: referent dopravy</w:t>
      </w: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85C9579" w14:textId="77777777" w:rsidR="00CD5F35" w:rsidRDefault="00CD5F35" w:rsidP="00CD5F35">
      <w:pPr>
        <w:pStyle w:val="Bezmezer"/>
      </w:pPr>
      <w:r>
        <w:t>firma: Okresní autobusová doprava Kolín, s.r.o.</w:t>
      </w:r>
    </w:p>
    <w:p w14:paraId="32DF0AE4" w14:textId="7AE1432B" w:rsidR="00CD5F35" w:rsidRDefault="00CD5F35" w:rsidP="00CD5F35">
      <w:pPr>
        <w:pStyle w:val="Bezmezer"/>
      </w:pPr>
      <w:r>
        <w:t>sídlo: Polepská 867, 280 02 Kolín</w:t>
      </w:r>
    </w:p>
    <w:p w14:paraId="31B18EB1" w14:textId="2824E745" w:rsidR="00CD5F35" w:rsidRDefault="00CD5F35" w:rsidP="00CD5F35">
      <w:pPr>
        <w:pStyle w:val="Bezmezer"/>
      </w:pPr>
      <w:r>
        <w:t>zastoupená:</w:t>
      </w:r>
      <w:r w:rsidR="005A11BB">
        <w:t xml:space="preserve"> </w:t>
      </w:r>
      <w:r>
        <w:t xml:space="preserve">výkonným ředitelem </w:t>
      </w:r>
    </w:p>
    <w:p w14:paraId="03BBE92E" w14:textId="77777777" w:rsidR="00CD5F35" w:rsidRDefault="00CD5F35" w:rsidP="00CD5F35">
      <w:pPr>
        <w:pStyle w:val="Bezmezer"/>
      </w:pPr>
      <w:r>
        <w:t>IČO: 25095251</w:t>
      </w:r>
    </w:p>
    <w:p w14:paraId="5AED4B1F" w14:textId="77777777" w:rsidR="00CD5F35" w:rsidRDefault="00CD5F35" w:rsidP="00CD5F35">
      <w:pPr>
        <w:pStyle w:val="Bezmezer"/>
      </w:pPr>
      <w:r>
        <w:t>DIČ: CZ699005345</w:t>
      </w:r>
    </w:p>
    <w:p w14:paraId="5C67D40E" w14:textId="77777777" w:rsidR="00CD5F35" w:rsidRDefault="00CD5F35" w:rsidP="00CD5F35">
      <w:pPr>
        <w:pStyle w:val="Bezmezer"/>
      </w:pPr>
      <w:r>
        <w:t>bankovní spojení: KB Kolín</w:t>
      </w:r>
    </w:p>
    <w:p w14:paraId="163EF73A" w14:textId="77777777" w:rsidR="00CD5F35" w:rsidRDefault="00CD5F35" w:rsidP="00CD5F35">
      <w:pPr>
        <w:pStyle w:val="Bezmezer"/>
      </w:pPr>
      <w:r>
        <w:t xml:space="preserve">číslo účtu: </w:t>
      </w:r>
      <w:r w:rsidRPr="002A1164">
        <w:t>9287510227/0100</w:t>
      </w:r>
    </w:p>
    <w:p w14:paraId="089F3342" w14:textId="77777777" w:rsidR="00CD5F35" w:rsidRDefault="00CD5F35" w:rsidP="00CD5F35">
      <w:pPr>
        <w:pStyle w:val="Bezmezer"/>
      </w:pPr>
      <w:r>
        <w:t>zapsaná u MS v Praze odd. C vložka 49220</w:t>
      </w:r>
    </w:p>
    <w:p w14:paraId="5E7E0D84" w14:textId="77777777" w:rsidR="00CD5F35" w:rsidRDefault="00CD5F35" w:rsidP="00CD5F35">
      <w:pPr>
        <w:pStyle w:val="Bezmezer"/>
      </w:pPr>
    </w:p>
    <w:p w14:paraId="45B89EA9" w14:textId="48883190" w:rsidR="00CD5F35" w:rsidRDefault="00CD5F35" w:rsidP="00CD5F35">
      <w:pPr>
        <w:pStyle w:val="Bezmezer"/>
      </w:pPr>
      <w:r>
        <w:t>kontaktní osoba</w:t>
      </w:r>
      <w:r w:rsidR="005A11BB">
        <w:t>: výkonný ředitel</w:t>
      </w:r>
    </w:p>
    <w:p w14:paraId="2BE24558" w14:textId="77777777" w:rsidR="005A11BB" w:rsidRDefault="005A11BB" w:rsidP="00CD5F35">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6E953021" w14:textId="6C9C28F0" w:rsidR="00D95591" w:rsidRPr="001B5DB9" w:rsidRDefault="009938E5" w:rsidP="00D95591">
      <w:pPr>
        <w:pStyle w:val="Bezmezer"/>
        <w:jc w:val="both"/>
        <w:rPr>
          <w:color w:val="000000" w:themeColor="text1"/>
        </w:rPr>
      </w:pPr>
      <w:r w:rsidRPr="001B5DB9">
        <w:rPr>
          <w:color w:val="000000" w:themeColor="text1"/>
        </w:rPr>
        <w:lastRenderedPageBreak/>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t xml:space="preserve">schváleno předem </w:t>
      </w:r>
      <w:r w:rsidR="001E3F07">
        <w:t>Společností.</w:t>
      </w:r>
      <w:r w:rsidR="006F083E">
        <w:t xml:space="preserve"> Dopravce je povinen </w:t>
      </w:r>
      <w:r w:rsidR="00570252">
        <w:t xml:space="preserve">projednat se Společností nejpozději 15 dnů před </w:t>
      </w:r>
      <w:r w:rsidR="00570252">
        <w:lastRenderedPageBreak/>
        <w:t>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w:t>
      </w:r>
      <w:r w:rsidR="00B956BB">
        <w:lastRenderedPageBreak/>
        <w:t xml:space="preserve">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lastRenderedPageBreak/>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921B7E7"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r w:rsidR="00830CE8">
        <w:t>2.000, -</w:t>
      </w:r>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6DC93E29"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proofErr w:type="gramStart"/>
      <w:r w:rsidR="001A4C2A" w:rsidRPr="001A4C2A">
        <w:t xml:space="preserve">od  </w:t>
      </w:r>
      <w:r w:rsidR="00CD5F35">
        <w:t>13.6.2021</w:t>
      </w:r>
      <w:proofErr w:type="gramEnd"/>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lastRenderedPageBreak/>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4EAA08A" w:rsidR="00727960" w:rsidRDefault="00727960" w:rsidP="00727960">
      <w:pPr>
        <w:pStyle w:val="Bezmezer"/>
      </w:pPr>
      <w:r>
        <w:t>V Mladé Boleslav</w:t>
      </w:r>
      <w:r w:rsidR="00FB1266">
        <w:t xml:space="preserve">i </w:t>
      </w:r>
      <w:r>
        <w:t>dne      ……………….</w:t>
      </w:r>
      <w:r w:rsidR="00FB1266">
        <w:t xml:space="preserve">    </w:t>
      </w:r>
      <w:r w:rsidR="00FB1266">
        <w:tab/>
      </w:r>
      <w:r w:rsidR="00FB1266">
        <w:tab/>
      </w:r>
      <w:r w:rsidR="00FB1266">
        <w:tab/>
        <w:t>V …………………………  dne …………</w:t>
      </w:r>
      <w:proofErr w:type="gramStart"/>
      <w:r w:rsidR="00FB1266">
        <w:t>…….</w:t>
      </w:r>
      <w:proofErr w:type="gramEnd"/>
      <w:r w:rsidR="00FB1266">
        <w:t>.</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3A45FB52" w14:textId="77777777" w:rsidR="00727960" w:rsidRDefault="00727960" w:rsidP="00727960">
      <w:pPr>
        <w:pStyle w:val="Bezmezer"/>
      </w:pPr>
      <w:r>
        <w:t xml:space="preserve">          jednatel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260D48C5" w:rsidR="0059037F" w:rsidRDefault="0059037F" w:rsidP="00727960">
      <w:pPr>
        <w:pStyle w:val="Bezmezer"/>
      </w:pPr>
    </w:p>
    <w:p w14:paraId="66AD6ADB" w14:textId="228B0741" w:rsidR="0059037F" w:rsidRDefault="0059037F" w:rsidP="00727960">
      <w:pPr>
        <w:pStyle w:val="Bezmezer"/>
      </w:pPr>
    </w:p>
    <w:p w14:paraId="4AA20AA0" w14:textId="457E76F0" w:rsidR="005A11BB" w:rsidRDefault="005A11BB" w:rsidP="00727960">
      <w:pPr>
        <w:pStyle w:val="Bezmezer"/>
      </w:pPr>
    </w:p>
    <w:p w14:paraId="1FA5B4B9" w14:textId="3312E763" w:rsidR="005A11BB" w:rsidRDefault="005A11BB" w:rsidP="00727960">
      <w:pPr>
        <w:pStyle w:val="Bezmezer"/>
      </w:pPr>
    </w:p>
    <w:p w14:paraId="7743940F" w14:textId="77777777" w:rsidR="005A11BB" w:rsidRDefault="005A11BB" w:rsidP="00727960">
      <w:pPr>
        <w:pStyle w:val="Bezmezer"/>
      </w:pPr>
    </w:p>
    <w:p w14:paraId="154F43C7" w14:textId="6D510761" w:rsidR="00D77E3E" w:rsidRDefault="00D77E3E" w:rsidP="00727960">
      <w:pPr>
        <w:pStyle w:val="Bezmezer"/>
      </w:pPr>
    </w:p>
    <w:p w14:paraId="5894F68B" w14:textId="77777777" w:rsidR="00EC5937" w:rsidRDefault="00EC5937"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5969609B" w:rsidR="00D77E3E" w:rsidRPr="00D77E3E"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E0BA7">
              <w:rPr>
                <w:rFonts w:ascii="Calibri" w:eastAsia="Times New Roman" w:hAnsi="Calibri" w:cs="Calibri"/>
                <w:color w:val="000000"/>
                <w:lang w:eastAsia="cs-CZ"/>
              </w:rPr>
              <w:t>OAD Kolín, s r.o.</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CD5F35" w:rsidRPr="00D77E3E" w14:paraId="5CFE6D86" w14:textId="77777777" w:rsidTr="005A11BB">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tcPr>
          <w:p w14:paraId="137FBA1F" w14:textId="1265FF74" w:rsidR="00CD5F35" w:rsidRPr="00D77E3E" w:rsidRDefault="00CD5F35" w:rsidP="00CD5F35">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tcPr>
          <w:p w14:paraId="2613FA53" w14:textId="2423F475" w:rsidR="00CD5F35" w:rsidRPr="00D77E3E" w:rsidRDefault="00CD5F35" w:rsidP="00CD5F35">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tcPr>
          <w:p w14:paraId="67770B6E" w14:textId="7693EE25" w:rsidR="00CD5F35" w:rsidRPr="00D77E3E" w:rsidRDefault="00CD5F35" w:rsidP="00CD5F35">
            <w:pPr>
              <w:spacing w:after="0" w:line="240" w:lineRule="auto"/>
              <w:rPr>
                <w:rFonts w:ascii="Calibri" w:eastAsia="Times New Roman" w:hAnsi="Calibri" w:cs="Calibri"/>
                <w:color w:val="000000"/>
                <w:lang w:eastAsia="cs-CZ"/>
              </w:rPr>
            </w:pPr>
          </w:p>
        </w:tc>
      </w:tr>
      <w:tr w:rsidR="00D77E3E" w:rsidRPr="00D77E3E" w14:paraId="238BA4D5"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37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D7FAC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ABB6E8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161954AC"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33C92">
              <w:rPr>
                <w:rFonts w:ascii="Calibri" w:eastAsia="Times New Roman" w:hAnsi="Calibri" w:cs="Calibri"/>
                <w:color w:val="000000"/>
                <w:lang w:eastAsia="cs-CZ"/>
              </w:rPr>
              <w:t>26</w:t>
            </w:r>
            <w:r w:rsidR="009E0BA7">
              <w:rPr>
                <w:rFonts w:ascii="Calibri" w:eastAsia="Times New Roman" w:hAnsi="Calibri" w:cs="Calibri"/>
                <w:color w:val="000000"/>
                <w:lang w:eastAsia="cs-CZ"/>
              </w:rPr>
              <w:t>1417</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43504594"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E0BA7">
              <w:rPr>
                <w:rFonts w:ascii="Calibri" w:eastAsia="Times New Roman" w:hAnsi="Calibri" w:cs="Calibri"/>
                <w:color w:val="000000"/>
                <w:lang w:eastAsia="cs-CZ"/>
              </w:rPr>
              <w:t>15</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148CBBF9"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D5F35">
              <w:rPr>
                <w:rFonts w:ascii="Calibri" w:eastAsia="Times New Roman" w:hAnsi="Calibri" w:cs="Calibri"/>
                <w:color w:val="000000"/>
                <w:lang w:eastAsia="cs-CZ"/>
              </w:rPr>
              <w:t>30.11.2024</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0E4F6E2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45C5B848" w14:textId="4187AB5C" w:rsidR="006D7542"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p w14:paraId="53E03120" w14:textId="22979E72" w:rsidR="0065618F" w:rsidRPr="00D77E3E" w:rsidRDefault="0065618F" w:rsidP="00D77E3E">
            <w:pPr>
              <w:spacing w:after="0" w:line="240" w:lineRule="auto"/>
              <w:rPr>
                <w:rFonts w:ascii="Calibri" w:eastAsia="Times New Roman" w:hAnsi="Calibri" w:cs="Calibri"/>
                <w:color w:val="000000"/>
                <w:lang w:eastAsia="cs-CZ"/>
              </w:rPr>
            </w:pPr>
          </w:p>
        </w:tc>
      </w:tr>
      <w:tr w:rsidR="00D77E3E" w:rsidRPr="00D77E3E" w14:paraId="044A9EB6"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3FC558A5"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9E0BA7">
              <w:rPr>
                <w:rFonts w:ascii="Calibri" w:eastAsia="Times New Roman" w:hAnsi="Calibri" w:cs="Calibri"/>
                <w:color w:val="000000"/>
                <w:lang w:eastAsia="cs-CZ"/>
              </w:rPr>
              <w:t>261463</w:t>
            </w:r>
          </w:p>
        </w:tc>
        <w:tc>
          <w:tcPr>
            <w:tcW w:w="1056" w:type="dxa"/>
            <w:tcBorders>
              <w:top w:val="nil"/>
              <w:left w:val="nil"/>
              <w:bottom w:val="single" w:sz="4" w:space="0" w:color="auto"/>
              <w:right w:val="single" w:sz="4" w:space="0" w:color="auto"/>
            </w:tcBorders>
            <w:shd w:val="clear" w:color="auto" w:fill="auto"/>
            <w:noWrap/>
            <w:vAlign w:val="bottom"/>
            <w:hideMark/>
          </w:tcPr>
          <w:p w14:paraId="4FBB43BE" w14:textId="0CD69644"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33C92">
              <w:rPr>
                <w:rFonts w:ascii="Calibri" w:eastAsia="Times New Roman" w:hAnsi="Calibri" w:cs="Calibri"/>
                <w:color w:val="000000"/>
                <w:lang w:eastAsia="cs-CZ"/>
              </w:rPr>
              <w:t>2</w:t>
            </w:r>
            <w:r w:rsidR="00CD5F35">
              <w:rPr>
                <w:rFonts w:ascii="Calibri" w:eastAsia="Times New Roman" w:hAnsi="Calibri" w:cs="Calibri"/>
                <w:color w:val="000000"/>
                <w:lang w:eastAsia="cs-CZ"/>
              </w:rPr>
              <w:t>6</w:t>
            </w:r>
          </w:p>
        </w:tc>
        <w:tc>
          <w:tcPr>
            <w:tcW w:w="1424" w:type="dxa"/>
            <w:tcBorders>
              <w:top w:val="nil"/>
              <w:left w:val="nil"/>
              <w:bottom w:val="single" w:sz="4" w:space="0" w:color="auto"/>
              <w:right w:val="single" w:sz="4" w:space="0" w:color="auto"/>
            </w:tcBorders>
            <w:shd w:val="clear" w:color="auto" w:fill="auto"/>
            <w:noWrap/>
            <w:vAlign w:val="bottom"/>
            <w:hideMark/>
          </w:tcPr>
          <w:p w14:paraId="5E229E2C" w14:textId="6D2D943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D5F35">
              <w:rPr>
                <w:rFonts w:ascii="Calibri" w:eastAsia="Times New Roman" w:hAnsi="Calibri" w:cs="Calibri"/>
                <w:color w:val="000000"/>
                <w:lang w:eastAsia="cs-CZ"/>
              </w:rPr>
              <w:t>30.11.2024</w:t>
            </w:r>
          </w:p>
        </w:tc>
        <w:tc>
          <w:tcPr>
            <w:tcW w:w="1508" w:type="dxa"/>
            <w:tcBorders>
              <w:top w:val="nil"/>
              <w:left w:val="nil"/>
              <w:bottom w:val="single" w:sz="4" w:space="0" w:color="auto"/>
              <w:right w:val="single" w:sz="4" w:space="0" w:color="auto"/>
            </w:tcBorders>
            <w:shd w:val="clear" w:color="auto" w:fill="auto"/>
            <w:noWrap/>
            <w:vAlign w:val="bottom"/>
            <w:hideMark/>
          </w:tcPr>
          <w:p w14:paraId="711AF498" w14:textId="681572A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C33C9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3DB75853" w14:textId="774C8C46" w:rsidR="00D77E3E" w:rsidRPr="00D77E3E" w:rsidRDefault="009E0BA7"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270432</w:t>
            </w:r>
          </w:p>
        </w:tc>
        <w:tc>
          <w:tcPr>
            <w:tcW w:w="1056" w:type="dxa"/>
            <w:tcBorders>
              <w:top w:val="nil"/>
              <w:left w:val="nil"/>
              <w:bottom w:val="single" w:sz="4" w:space="0" w:color="auto"/>
              <w:right w:val="single" w:sz="4" w:space="0" w:color="auto"/>
            </w:tcBorders>
            <w:shd w:val="clear" w:color="auto" w:fill="auto"/>
            <w:noWrap/>
            <w:vAlign w:val="bottom"/>
          </w:tcPr>
          <w:p w14:paraId="3DC44870" w14:textId="46DA6954" w:rsidR="00D77E3E" w:rsidRPr="00D77E3E" w:rsidRDefault="009E0BA7"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w:t>
            </w:r>
            <w:r w:rsidR="00CD5F35">
              <w:rPr>
                <w:rFonts w:ascii="Calibri" w:eastAsia="Times New Roman" w:hAnsi="Calibri" w:cs="Calibri"/>
                <w:color w:val="000000"/>
                <w:lang w:eastAsia="cs-CZ"/>
              </w:rPr>
              <w:t>4</w:t>
            </w:r>
          </w:p>
        </w:tc>
        <w:tc>
          <w:tcPr>
            <w:tcW w:w="1424" w:type="dxa"/>
            <w:tcBorders>
              <w:top w:val="nil"/>
              <w:left w:val="nil"/>
              <w:bottom w:val="single" w:sz="4" w:space="0" w:color="auto"/>
              <w:right w:val="single" w:sz="4" w:space="0" w:color="auto"/>
            </w:tcBorders>
            <w:shd w:val="clear" w:color="auto" w:fill="auto"/>
            <w:noWrap/>
            <w:vAlign w:val="bottom"/>
          </w:tcPr>
          <w:p w14:paraId="2E1BB3D3" w14:textId="152D51BE" w:rsidR="00D77E3E" w:rsidRPr="00D77E3E" w:rsidRDefault="00CD5F35"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30.11.2024</w:t>
            </w:r>
          </w:p>
        </w:tc>
        <w:tc>
          <w:tcPr>
            <w:tcW w:w="1508" w:type="dxa"/>
            <w:tcBorders>
              <w:top w:val="nil"/>
              <w:left w:val="nil"/>
              <w:bottom w:val="single" w:sz="4" w:space="0" w:color="auto"/>
              <w:right w:val="single" w:sz="4" w:space="0" w:color="auto"/>
            </w:tcBorders>
            <w:shd w:val="clear" w:color="auto" w:fill="auto"/>
            <w:noWrap/>
            <w:vAlign w:val="bottom"/>
          </w:tcPr>
          <w:p w14:paraId="77CE75E6" w14:textId="3D97DEA9" w:rsidR="00D77E3E" w:rsidRPr="00D77E3E" w:rsidRDefault="009B64D1"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ZVS</w:t>
            </w: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3359F503"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CD5F35">
              <w:rPr>
                <w:rFonts w:ascii="Calibri" w:eastAsia="Times New Roman" w:hAnsi="Calibri" w:cs="Calibri"/>
                <w:color w:val="000000"/>
                <w:lang w:eastAsia="cs-CZ"/>
              </w:rPr>
              <w:t>Kloubový autobus</w:t>
            </w:r>
          </w:p>
        </w:tc>
      </w:tr>
      <w:tr w:rsidR="00D77E3E" w:rsidRPr="00D77E3E" w14:paraId="5EFFDCD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5787CED9" w14:textId="72F6F94E" w:rsidR="00D77E3E" w:rsidRPr="00D77E3E" w:rsidRDefault="009E0BA7"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270499</w:t>
            </w:r>
          </w:p>
        </w:tc>
        <w:tc>
          <w:tcPr>
            <w:tcW w:w="1056" w:type="dxa"/>
            <w:tcBorders>
              <w:top w:val="nil"/>
              <w:left w:val="nil"/>
              <w:bottom w:val="single" w:sz="4" w:space="0" w:color="auto"/>
              <w:right w:val="single" w:sz="4" w:space="0" w:color="auto"/>
            </w:tcBorders>
            <w:shd w:val="clear" w:color="auto" w:fill="auto"/>
            <w:noWrap/>
            <w:vAlign w:val="bottom"/>
          </w:tcPr>
          <w:p w14:paraId="10173B1E" w14:textId="58FEC8D5" w:rsidR="00D77E3E" w:rsidRPr="00D77E3E" w:rsidRDefault="009E0BA7"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15</w:t>
            </w:r>
          </w:p>
        </w:tc>
        <w:tc>
          <w:tcPr>
            <w:tcW w:w="1424" w:type="dxa"/>
            <w:tcBorders>
              <w:top w:val="nil"/>
              <w:left w:val="nil"/>
              <w:bottom w:val="single" w:sz="4" w:space="0" w:color="auto"/>
              <w:right w:val="single" w:sz="4" w:space="0" w:color="auto"/>
            </w:tcBorders>
            <w:shd w:val="clear" w:color="auto" w:fill="auto"/>
            <w:noWrap/>
            <w:vAlign w:val="bottom"/>
          </w:tcPr>
          <w:p w14:paraId="6643B108" w14:textId="4A49E7F8" w:rsidR="00D77E3E" w:rsidRPr="00D77E3E" w:rsidRDefault="00CD5F35"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30.11.2024</w:t>
            </w:r>
          </w:p>
        </w:tc>
        <w:tc>
          <w:tcPr>
            <w:tcW w:w="1508" w:type="dxa"/>
            <w:tcBorders>
              <w:top w:val="nil"/>
              <w:left w:val="nil"/>
              <w:bottom w:val="single" w:sz="4" w:space="0" w:color="auto"/>
              <w:right w:val="single" w:sz="4" w:space="0" w:color="auto"/>
            </w:tcBorders>
            <w:shd w:val="clear" w:color="auto" w:fill="auto"/>
            <w:noWrap/>
            <w:vAlign w:val="bottom"/>
          </w:tcPr>
          <w:p w14:paraId="4DEB7684" w14:textId="21553FC6" w:rsidR="00D77E3E" w:rsidRPr="00D77E3E" w:rsidRDefault="009B64D1"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ZVS</w:t>
            </w:r>
          </w:p>
        </w:tc>
        <w:tc>
          <w:tcPr>
            <w:tcW w:w="3055" w:type="dxa"/>
            <w:tcBorders>
              <w:top w:val="nil"/>
              <w:left w:val="nil"/>
              <w:bottom w:val="single" w:sz="4" w:space="0" w:color="auto"/>
              <w:right w:val="single" w:sz="4" w:space="0" w:color="auto"/>
            </w:tcBorders>
            <w:shd w:val="clear" w:color="auto" w:fill="auto"/>
            <w:noWrap/>
            <w:vAlign w:val="bottom"/>
          </w:tcPr>
          <w:p w14:paraId="5D2E9465" w14:textId="255A24AF"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6289EFDB"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8C88232" w14:textId="3A99019A"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5F377A53" w14:textId="15F6DD6B"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6E5CAAE6" w14:textId="0EE8D9C4"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4153735" w14:textId="67504EB8"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CF3DD9E" w14:textId="2C878D9B"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C5F24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60C38F54" w14:textId="14783EB2"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495E8380" w14:textId="6C9E6AE8"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49E79440" w14:textId="76CB3432"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542F316B" w14:textId="0192C63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3187AB5E" w14:textId="1ADF3F79"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03FDB0"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0ECE31E" w14:textId="25D5EEE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6AD1AE64" w14:textId="3A568FC3"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091C30E3" w14:textId="331150D3"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198C2000" w14:textId="6A394B7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2FB467EF" w14:textId="6409E23E"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CD5F35">
        <w:trPr>
          <w:trHeight w:val="288"/>
        </w:trPr>
        <w:tc>
          <w:tcPr>
            <w:tcW w:w="2481" w:type="dxa"/>
            <w:tcBorders>
              <w:top w:val="nil"/>
              <w:left w:val="single" w:sz="4" w:space="0" w:color="auto"/>
              <w:bottom w:val="nil"/>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nil"/>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nil"/>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nil"/>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nil"/>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CD5F35" w:rsidRPr="00D77E3E" w14:paraId="1913A28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77C9C92C" w14:textId="77777777" w:rsidR="00CD5F35" w:rsidRPr="00D77E3E" w:rsidRDefault="00CD5F35"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13378955" w14:textId="77777777" w:rsidR="00CD5F35" w:rsidRPr="00D77E3E" w:rsidRDefault="00CD5F35"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549C4E88" w14:textId="77777777" w:rsidR="00CD5F35" w:rsidRPr="00D77E3E" w:rsidRDefault="00CD5F35"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0B7D8A48" w14:textId="77777777" w:rsidR="00CD5F35" w:rsidRPr="00D77E3E" w:rsidRDefault="00CD5F35"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A2E9B95" w14:textId="77777777" w:rsidR="00CD5F35" w:rsidRPr="00D77E3E" w:rsidRDefault="00CD5F35" w:rsidP="00D77E3E">
            <w:pPr>
              <w:spacing w:after="0" w:line="240" w:lineRule="auto"/>
              <w:rPr>
                <w:rFonts w:ascii="Calibri" w:eastAsia="Times New Roman" w:hAnsi="Calibri" w:cs="Calibri"/>
                <w:color w:val="000000"/>
                <w:lang w:eastAsia="cs-CZ"/>
              </w:rPr>
            </w:pPr>
          </w:p>
        </w:tc>
      </w:tr>
    </w:tbl>
    <w:p w14:paraId="74F02980" w14:textId="77777777" w:rsidR="00C33C92" w:rsidRDefault="00C33C92" w:rsidP="00727960">
      <w:pPr>
        <w:pStyle w:val="Bezmezer"/>
        <w:rPr>
          <w:b/>
          <w:bCs/>
          <w:u w:val="single"/>
        </w:rPr>
      </w:pPr>
    </w:p>
    <w:p w14:paraId="0E1AFF6A" w14:textId="79CAD23B" w:rsidR="00727960" w:rsidRPr="00D77E3E" w:rsidRDefault="00D77E3E" w:rsidP="00727960">
      <w:pPr>
        <w:pStyle w:val="Bezmezer"/>
        <w:rPr>
          <w:b/>
          <w:bCs/>
          <w:u w:val="single"/>
        </w:rPr>
      </w:pPr>
      <w:r w:rsidRPr="00D77E3E">
        <w:rPr>
          <w:b/>
          <w:bCs/>
          <w:u w:val="single"/>
        </w:rPr>
        <w:lastRenderedPageBreak/>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6CF87206"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 a.s.</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 xml:space="preserve">V Mladé </w:t>
      </w:r>
      <w:proofErr w:type="gramStart"/>
      <w:r>
        <w:t>Boleslavi  dne</w:t>
      </w:r>
      <w:proofErr w:type="gramEnd"/>
      <w:r>
        <w:t xml:space="preserv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123B48BE" w:rsidR="007B774A" w:rsidRDefault="007B774A" w:rsidP="00727960">
      <w:pPr>
        <w:pStyle w:val="Bezmezer"/>
      </w:pPr>
    </w:p>
    <w:p w14:paraId="07625E8B" w14:textId="63D1B2D7" w:rsidR="005A11BB" w:rsidRDefault="005A11BB" w:rsidP="00727960">
      <w:pPr>
        <w:pStyle w:val="Bezmezer"/>
      </w:pPr>
    </w:p>
    <w:p w14:paraId="7EC6D2B8" w14:textId="77777777" w:rsidR="005A11BB" w:rsidRDefault="005A11BB"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41F9382E" w14:textId="3B5AA3C1" w:rsidR="007B774A" w:rsidRPr="007B774A" w:rsidRDefault="007B774A" w:rsidP="00727960">
      <w:pPr>
        <w:pStyle w:val="Bezmezer"/>
        <w:rPr>
          <w:b/>
          <w:bCs/>
          <w:u w:val="single"/>
        </w:rPr>
      </w:pPr>
      <w:r w:rsidRPr="007B774A">
        <w:rPr>
          <w:b/>
          <w:bCs/>
          <w:u w:val="single"/>
        </w:rPr>
        <w:lastRenderedPageBreak/>
        <w:t xml:space="preserve">Příloha </w:t>
      </w:r>
      <w:proofErr w:type="gramStart"/>
      <w:r w:rsidRPr="007B774A">
        <w:rPr>
          <w:b/>
          <w:bCs/>
          <w:u w:val="single"/>
        </w:rPr>
        <w:t>č.3  Ceník</w:t>
      </w:r>
      <w:proofErr w:type="gramEnd"/>
      <w:r w:rsidRPr="007B774A">
        <w:rPr>
          <w:b/>
          <w:bCs/>
          <w:u w:val="single"/>
        </w:rPr>
        <w:t xml:space="preserve">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30DD40A1"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004D22A7">
        <w:t>70</w:t>
      </w:r>
      <w:r w:rsidRPr="007B774A">
        <w:t>,-- Kč</w:t>
      </w:r>
    </w:p>
    <w:p w14:paraId="6D55E282" w14:textId="5452B587"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004D22A7">
        <w:t>70</w:t>
      </w:r>
      <w:r w:rsidRPr="007B774A">
        <w:t>,-- Kč</w:t>
      </w:r>
    </w:p>
    <w:p w14:paraId="24AB6333" w14:textId="5B43D2E9"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004D22A7">
        <w:t>70</w:t>
      </w:r>
      <w:r w:rsidRPr="007B774A">
        <w:t>,--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DC62" w14:textId="77777777" w:rsidR="00E6151C" w:rsidRDefault="00E6151C">
      <w:pPr>
        <w:spacing w:after="0" w:line="240" w:lineRule="auto"/>
      </w:pPr>
      <w:r>
        <w:separator/>
      </w:r>
    </w:p>
  </w:endnote>
  <w:endnote w:type="continuationSeparator" w:id="0">
    <w:p w14:paraId="5055BF53" w14:textId="77777777" w:rsidR="00E6151C" w:rsidRDefault="00E6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84D8" w14:textId="77777777" w:rsidR="00E6151C" w:rsidRDefault="00E6151C">
      <w:pPr>
        <w:spacing w:after="0" w:line="240" w:lineRule="auto"/>
      </w:pPr>
      <w:r>
        <w:separator/>
      </w:r>
    </w:p>
  </w:footnote>
  <w:footnote w:type="continuationSeparator" w:id="0">
    <w:p w14:paraId="422D1A6E" w14:textId="77777777" w:rsidR="00E6151C" w:rsidRDefault="00E61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35A7"/>
    <w:rsid w:val="00074809"/>
    <w:rsid w:val="000822EC"/>
    <w:rsid w:val="000A6F3A"/>
    <w:rsid w:val="000B013F"/>
    <w:rsid w:val="000B54A7"/>
    <w:rsid w:val="000D3C7A"/>
    <w:rsid w:val="000D76BC"/>
    <w:rsid w:val="001202F6"/>
    <w:rsid w:val="00126893"/>
    <w:rsid w:val="00142571"/>
    <w:rsid w:val="00171BE5"/>
    <w:rsid w:val="00174064"/>
    <w:rsid w:val="00192CDA"/>
    <w:rsid w:val="001A4C2A"/>
    <w:rsid w:val="001B5DB9"/>
    <w:rsid w:val="001C6E65"/>
    <w:rsid w:val="001E3F07"/>
    <w:rsid w:val="001F28E6"/>
    <w:rsid w:val="001F4718"/>
    <w:rsid w:val="002357C5"/>
    <w:rsid w:val="0023641D"/>
    <w:rsid w:val="002A7E52"/>
    <w:rsid w:val="002E2E01"/>
    <w:rsid w:val="0034114B"/>
    <w:rsid w:val="00347104"/>
    <w:rsid w:val="00354C5D"/>
    <w:rsid w:val="00356448"/>
    <w:rsid w:val="00380245"/>
    <w:rsid w:val="003969FF"/>
    <w:rsid w:val="003A195E"/>
    <w:rsid w:val="003A6CBD"/>
    <w:rsid w:val="003C1E98"/>
    <w:rsid w:val="003F0791"/>
    <w:rsid w:val="0040166C"/>
    <w:rsid w:val="00432907"/>
    <w:rsid w:val="0044024F"/>
    <w:rsid w:val="0044461B"/>
    <w:rsid w:val="00477C62"/>
    <w:rsid w:val="00495D1A"/>
    <w:rsid w:val="00497733"/>
    <w:rsid w:val="004B2AE5"/>
    <w:rsid w:val="004D22A7"/>
    <w:rsid w:val="004E75C5"/>
    <w:rsid w:val="0051096F"/>
    <w:rsid w:val="00511218"/>
    <w:rsid w:val="0052242A"/>
    <w:rsid w:val="00527400"/>
    <w:rsid w:val="00551DFF"/>
    <w:rsid w:val="00553E06"/>
    <w:rsid w:val="0055413C"/>
    <w:rsid w:val="00563B95"/>
    <w:rsid w:val="00570252"/>
    <w:rsid w:val="005726D2"/>
    <w:rsid w:val="005902DD"/>
    <w:rsid w:val="0059037F"/>
    <w:rsid w:val="00594561"/>
    <w:rsid w:val="005A11BB"/>
    <w:rsid w:val="005A4B9D"/>
    <w:rsid w:val="005C288C"/>
    <w:rsid w:val="005E4578"/>
    <w:rsid w:val="00651ECB"/>
    <w:rsid w:val="0065618F"/>
    <w:rsid w:val="00660D3D"/>
    <w:rsid w:val="006A30C9"/>
    <w:rsid w:val="006B0085"/>
    <w:rsid w:val="006B53DA"/>
    <w:rsid w:val="006C3E26"/>
    <w:rsid w:val="006C4F16"/>
    <w:rsid w:val="006D7542"/>
    <w:rsid w:val="006D788D"/>
    <w:rsid w:val="006F083E"/>
    <w:rsid w:val="006F267F"/>
    <w:rsid w:val="00705A0E"/>
    <w:rsid w:val="00727960"/>
    <w:rsid w:val="00737D69"/>
    <w:rsid w:val="00744762"/>
    <w:rsid w:val="00775D8C"/>
    <w:rsid w:val="007A7755"/>
    <w:rsid w:val="007B774A"/>
    <w:rsid w:val="007C4C3A"/>
    <w:rsid w:val="007E6550"/>
    <w:rsid w:val="008205E1"/>
    <w:rsid w:val="00821AAB"/>
    <w:rsid w:val="00830CE8"/>
    <w:rsid w:val="00834007"/>
    <w:rsid w:val="008628FC"/>
    <w:rsid w:val="00872F25"/>
    <w:rsid w:val="0087551E"/>
    <w:rsid w:val="0088417D"/>
    <w:rsid w:val="008C6ABD"/>
    <w:rsid w:val="008E6FE8"/>
    <w:rsid w:val="008F4919"/>
    <w:rsid w:val="00937286"/>
    <w:rsid w:val="00944ACF"/>
    <w:rsid w:val="00963B17"/>
    <w:rsid w:val="00967380"/>
    <w:rsid w:val="009855F8"/>
    <w:rsid w:val="009938E5"/>
    <w:rsid w:val="009B64D1"/>
    <w:rsid w:val="009D5725"/>
    <w:rsid w:val="009E0BA7"/>
    <w:rsid w:val="00A050EB"/>
    <w:rsid w:val="00A366E2"/>
    <w:rsid w:val="00AE645C"/>
    <w:rsid w:val="00B01511"/>
    <w:rsid w:val="00B029DC"/>
    <w:rsid w:val="00B868F4"/>
    <w:rsid w:val="00B956BB"/>
    <w:rsid w:val="00B97ED6"/>
    <w:rsid w:val="00BA523E"/>
    <w:rsid w:val="00BD51ED"/>
    <w:rsid w:val="00BE2B83"/>
    <w:rsid w:val="00C0347D"/>
    <w:rsid w:val="00C22CEE"/>
    <w:rsid w:val="00C33C92"/>
    <w:rsid w:val="00C758C1"/>
    <w:rsid w:val="00C85309"/>
    <w:rsid w:val="00C870CC"/>
    <w:rsid w:val="00CC49C7"/>
    <w:rsid w:val="00CC72B8"/>
    <w:rsid w:val="00CD36A4"/>
    <w:rsid w:val="00CD443B"/>
    <w:rsid w:val="00CD5F35"/>
    <w:rsid w:val="00D32877"/>
    <w:rsid w:val="00D337A7"/>
    <w:rsid w:val="00D33CA0"/>
    <w:rsid w:val="00D35BE5"/>
    <w:rsid w:val="00D438D8"/>
    <w:rsid w:val="00D51289"/>
    <w:rsid w:val="00D51E95"/>
    <w:rsid w:val="00D67447"/>
    <w:rsid w:val="00D77E3E"/>
    <w:rsid w:val="00D95591"/>
    <w:rsid w:val="00DA3912"/>
    <w:rsid w:val="00DC60B7"/>
    <w:rsid w:val="00DC6884"/>
    <w:rsid w:val="00DE38E0"/>
    <w:rsid w:val="00E123EA"/>
    <w:rsid w:val="00E5152A"/>
    <w:rsid w:val="00E6151C"/>
    <w:rsid w:val="00E62AEF"/>
    <w:rsid w:val="00E6782E"/>
    <w:rsid w:val="00E8383A"/>
    <w:rsid w:val="00E91700"/>
    <w:rsid w:val="00E977CB"/>
    <w:rsid w:val="00EB15EC"/>
    <w:rsid w:val="00EC2DEB"/>
    <w:rsid w:val="00EC5937"/>
    <w:rsid w:val="00EC6074"/>
    <w:rsid w:val="00ED42DF"/>
    <w:rsid w:val="00EE59E9"/>
    <w:rsid w:val="00F22ECF"/>
    <w:rsid w:val="00F30451"/>
    <w:rsid w:val="00F52879"/>
    <w:rsid w:val="00F5534E"/>
    <w:rsid w:val="00F76ED5"/>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3433</Words>
  <Characters>20256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7</cp:revision>
  <dcterms:created xsi:type="dcterms:W3CDTF">2021-03-16T07:32:00Z</dcterms:created>
  <dcterms:modified xsi:type="dcterms:W3CDTF">2021-06-24T09:22:00Z</dcterms:modified>
</cp:coreProperties>
</file>