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6665" w:tblpY="497"/>
        <w:tblOverlap w:val="never"/>
        <w:tblW w:w="2434" w:type="dxa"/>
        <w:tblInd w:w="0" w:type="dxa"/>
        <w:tblCellMar>
          <w:top w:w="65" w:type="dxa"/>
          <w:left w:w="60" w:type="dxa"/>
          <w:bottom w:w="0" w:type="dxa"/>
          <w:right w:w="48" w:type="dxa"/>
        </w:tblCellMar>
        <w:tblLook w:val="04A0" w:firstRow="1" w:lastRow="0" w:firstColumn="1" w:lastColumn="0" w:noHBand="0" w:noVBand="1"/>
      </w:tblPr>
      <w:tblGrid>
        <w:gridCol w:w="2434"/>
      </w:tblGrid>
      <w:tr w:rsidR="00075F2E" w14:paraId="4F97AABE" w14:textId="77777777">
        <w:trPr>
          <w:trHeight w:val="1581"/>
        </w:trPr>
        <w:tc>
          <w:tcPr>
            <w:tcW w:w="2434" w:type="dxa"/>
            <w:tcBorders>
              <w:top w:val="single" w:sz="2" w:space="0" w:color="000000"/>
              <w:left w:val="single" w:sz="2" w:space="0" w:color="000000"/>
              <w:bottom w:val="single" w:sz="2" w:space="0" w:color="000000"/>
              <w:right w:val="single" w:sz="2" w:space="0" w:color="000000"/>
            </w:tcBorders>
          </w:tcPr>
          <w:p w14:paraId="0525F12F" w14:textId="77777777" w:rsidR="00075F2E" w:rsidRDefault="003620D7" w:rsidP="003620D7">
            <w:pPr>
              <w:pStyle w:val="Nadpis2"/>
            </w:pPr>
            <w:r>
              <w:t>Jihlava</w:t>
            </w:r>
          </w:p>
          <w:p w14:paraId="1BA25717" w14:textId="77777777" w:rsidR="00075F2E" w:rsidRDefault="003620D7">
            <w:pPr>
              <w:spacing w:after="297"/>
              <w:ind w:left="511"/>
              <w:jc w:val="center"/>
            </w:pPr>
            <w:r>
              <w:t>06, 2021</w:t>
            </w:r>
          </w:p>
          <w:p w14:paraId="3DF3DDFB" w14:textId="77777777" w:rsidR="00075F2E" w:rsidRDefault="003620D7">
            <w:pPr>
              <w:spacing w:after="0"/>
            </w:pPr>
            <w:r>
              <w:rPr>
                <w:sz w:val="30"/>
              </w:rPr>
              <w:t>č.j. /644 ô20čf,</w:t>
            </w:r>
          </w:p>
        </w:tc>
      </w:tr>
    </w:tbl>
    <w:p w14:paraId="087E1C95" w14:textId="77777777" w:rsidR="00075F2E" w:rsidRDefault="003620D7">
      <w:pPr>
        <w:spacing w:after="0"/>
        <w:ind w:left="22"/>
      </w:pPr>
      <w:r>
        <w:rPr>
          <w:noProof/>
        </w:rPr>
        <w:drawing>
          <wp:inline distT="0" distB="0" distL="0" distR="0" wp14:anchorId="7FEA796F" wp14:editId="6141A756">
            <wp:extent cx="1604772" cy="1901952"/>
            <wp:effectExtent l="0" t="0" r="0" b="0"/>
            <wp:docPr id="1659" name="Picture 1659"/>
            <wp:cNvGraphicFramePr/>
            <a:graphic xmlns:a="http://schemas.openxmlformats.org/drawingml/2006/main">
              <a:graphicData uri="http://schemas.openxmlformats.org/drawingml/2006/picture">
                <pic:pic xmlns:pic="http://schemas.openxmlformats.org/drawingml/2006/picture">
                  <pic:nvPicPr>
                    <pic:cNvPr id="1659" name="Picture 1659"/>
                    <pic:cNvPicPr/>
                  </pic:nvPicPr>
                  <pic:blipFill>
                    <a:blip r:embed="rId5"/>
                    <a:stretch>
                      <a:fillRect/>
                    </a:stretch>
                  </pic:blipFill>
                  <pic:spPr>
                    <a:xfrm>
                      <a:off x="0" y="0"/>
                      <a:ext cx="1604772" cy="1901952"/>
                    </a:xfrm>
                    <a:prstGeom prst="rect">
                      <a:avLst/>
                    </a:prstGeom>
                  </pic:spPr>
                </pic:pic>
              </a:graphicData>
            </a:graphic>
          </wp:inline>
        </w:drawing>
      </w:r>
      <w:r>
        <w:rPr>
          <w:sz w:val="48"/>
        </w:rPr>
        <w:t xml:space="preserve"> JIHLAVSKÉ KOTELNY, s.r.o.</w:t>
      </w:r>
    </w:p>
    <w:p w14:paraId="691B46A2" w14:textId="77777777" w:rsidR="00075F2E" w:rsidRDefault="003620D7">
      <w:pPr>
        <w:spacing w:after="278"/>
        <w:ind w:left="144"/>
      </w:pPr>
      <w:r>
        <w:rPr>
          <w:noProof/>
        </w:rPr>
        <mc:AlternateContent>
          <mc:Choice Requires="wpg">
            <w:drawing>
              <wp:inline distT="0" distB="0" distL="0" distR="0" wp14:anchorId="2EBD6C94" wp14:editId="33FB378B">
                <wp:extent cx="5728716" cy="27432"/>
                <wp:effectExtent l="0" t="0" r="0" b="0"/>
                <wp:docPr id="5551" name="Group 5551"/>
                <wp:cNvGraphicFramePr/>
                <a:graphic xmlns:a="http://schemas.openxmlformats.org/drawingml/2006/main">
                  <a:graphicData uri="http://schemas.microsoft.com/office/word/2010/wordprocessingGroup">
                    <wpg:wgp>
                      <wpg:cNvGrpSpPr/>
                      <wpg:grpSpPr>
                        <a:xfrm>
                          <a:off x="0" y="0"/>
                          <a:ext cx="5728716" cy="27432"/>
                          <a:chOff x="0" y="0"/>
                          <a:chExt cx="5728716" cy="27432"/>
                        </a:xfrm>
                      </wpg:grpSpPr>
                      <wps:wsp>
                        <wps:cNvPr id="5550" name="Shape 5550"/>
                        <wps:cNvSpPr/>
                        <wps:spPr>
                          <a:xfrm>
                            <a:off x="0" y="0"/>
                            <a:ext cx="5728716" cy="27432"/>
                          </a:xfrm>
                          <a:custGeom>
                            <a:avLst/>
                            <a:gdLst/>
                            <a:ahLst/>
                            <a:cxnLst/>
                            <a:rect l="0" t="0" r="0" b="0"/>
                            <a:pathLst>
                              <a:path w="5728716" h="27432">
                                <a:moveTo>
                                  <a:pt x="0" y="13716"/>
                                </a:moveTo>
                                <a:lnTo>
                                  <a:pt x="5728716" y="13716"/>
                                </a:lnTo>
                              </a:path>
                            </a:pathLst>
                          </a:custGeom>
                          <a:ln w="2743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1" style="width:451.08pt;height:2.15999pt;mso-position-horizontal-relative:char;mso-position-vertical-relative:line" coordsize="57287,274">
                <v:shape id="Shape 5550" style="position:absolute;width:57287;height:274;left:0;top:0;" coordsize="5728716,27432" path="m0,13716l5728716,13716">
                  <v:stroke weight="2.15999pt" endcap="flat" joinstyle="miter" miterlimit="1" on="true" color="#000000"/>
                  <v:fill on="false" color="#000000"/>
                </v:shape>
              </v:group>
            </w:pict>
          </mc:Fallback>
        </mc:AlternateContent>
      </w:r>
    </w:p>
    <w:p w14:paraId="5671B221" w14:textId="77777777" w:rsidR="00075F2E" w:rsidRDefault="003620D7">
      <w:pPr>
        <w:tabs>
          <w:tab w:val="center" w:pos="6163"/>
          <w:tab w:val="center" w:pos="8557"/>
        </w:tabs>
        <w:spacing w:after="546"/>
      </w:pPr>
      <w:r>
        <w:tab/>
      </w:r>
      <w:r>
        <w:t>Klimentová Ivana</w:t>
      </w:r>
      <w:r>
        <w:tab/>
        <w:t>17.6.2021</w:t>
      </w:r>
    </w:p>
    <w:p w14:paraId="62CB90CD" w14:textId="77777777" w:rsidR="00075F2E" w:rsidRDefault="003620D7">
      <w:pPr>
        <w:pStyle w:val="Nadpis1"/>
        <w:spacing w:after="890"/>
        <w:ind w:left="310"/>
      </w:pPr>
      <w:r>
        <w:t xml:space="preserve">Smlouva o dodávce a odběru </w:t>
      </w:r>
      <w:proofErr w:type="gramStart"/>
      <w:r>
        <w:t>tepla - dodatek</w:t>
      </w:r>
      <w:proofErr w:type="gramEnd"/>
    </w:p>
    <w:p w14:paraId="367EE922" w14:textId="77777777" w:rsidR="00075F2E" w:rsidRDefault="003620D7">
      <w:pPr>
        <w:spacing w:after="113" w:line="227" w:lineRule="auto"/>
        <w:ind w:left="302" w:right="705" w:firstLine="691"/>
        <w:jc w:val="both"/>
      </w:pPr>
      <w:r>
        <w:rPr>
          <w:sz w:val="24"/>
        </w:rPr>
        <w:t>Studená a dlouhá letošní zima měla za následek zvýšenou spotřebu tepla ve Vašem objektu. Je pravděpodobné, že zálohy stanovené na rok 2021 nebudou dostatečné, což by mělo za následek nemalé nedoplatky za dodávku tepla a teplé vody.</w:t>
      </w:r>
    </w:p>
    <w:p w14:paraId="3DC27CF7" w14:textId="77777777" w:rsidR="00075F2E" w:rsidRDefault="003620D7">
      <w:pPr>
        <w:spacing w:after="186" w:line="227" w:lineRule="auto"/>
        <w:ind w:left="302" w:right="705" w:firstLine="691"/>
        <w:jc w:val="both"/>
      </w:pPr>
      <w:r>
        <w:rPr>
          <w:sz w:val="24"/>
        </w:rPr>
        <w:t>Z tohoto důvodu Vám v příloze zasíláme dodatek ke smlouvě o dodávce a odběru tepla a TUV platný od 1.7.2021, ve kterém je záloha upravena. Kalkulovaná cena pro r. 2021 se nemění.</w:t>
      </w:r>
    </w:p>
    <w:p w14:paraId="6940F1BC" w14:textId="77777777" w:rsidR="00075F2E" w:rsidRDefault="003620D7">
      <w:pPr>
        <w:spacing w:after="329" w:line="227" w:lineRule="auto"/>
        <w:ind w:left="1025" w:right="705" w:hanging="10"/>
        <w:jc w:val="both"/>
      </w:pPr>
      <w:r>
        <w:rPr>
          <w:sz w:val="24"/>
        </w:rPr>
        <w:t>Žádáme o podpis dodatku a zaslání jednoho vyhotovení na naši adresu.</w:t>
      </w:r>
    </w:p>
    <w:p w14:paraId="7B86A99C" w14:textId="77777777" w:rsidR="00075F2E" w:rsidRDefault="003620D7">
      <w:pPr>
        <w:spacing w:after="247" w:line="227" w:lineRule="auto"/>
        <w:ind w:left="1040" w:right="705" w:hanging="10"/>
        <w:jc w:val="both"/>
      </w:pPr>
      <w:r>
        <w:rPr>
          <w:sz w:val="24"/>
        </w:rPr>
        <w:t>S pozdra</w:t>
      </w:r>
      <w:r>
        <w:rPr>
          <w:sz w:val="24"/>
        </w:rPr>
        <w:t>vem</w:t>
      </w:r>
    </w:p>
    <w:p w14:paraId="7D51999F" w14:textId="115A4493" w:rsidR="00075F2E" w:rsidRDefault="00075F2E">
      <w:pPr>
        <w:spacing w:after="1850"/>
        <w:ind w:left="5278" w:right="-425"/>
      </w:pPr>
    </w:p>
    <w:p w14:paraId="3E7F52A3" w14:textId="77777777" w:rsidR="00075F2E" w:rsidRDefault="003620D7">
      <w:pPr>
        <w:spacing w:after="196"/>
        <w:ind w:left="382"/>
      </w:pPr>
      <w:r>
        <w:rPr>
          <w:noProof/>
        </w:rPr>
        <mc:AlternateContent>
          <mc:Choice Requires="wpg">
            <w:drawing>
              <wp:inline distT="0" distB="0" distL="0" distR="0" wp14:anchorId="10A934FC" wp14:editId="46626AD5">
                <wp:extent cx="5527549" cy="9144"/>
                <wp:effectExtent l="0" t="0" r="0" b="0"/>
                <wp:docPr id="5553" name="Group 5553"/>
                <wp:cNvGraphicFramePr/>
                <a:graphic xmlns:a="http://schemas.openxmlformats.org/drawingml/2006/main">
                  <a:graphicData uri="http://schemas.microsoft.com/office/word/2010/wordprocessingGroup">
                    <wpg:wgp>
                      <wpg:cNvGrpSpPr/>
                      <wpg:grpSpPr>
                        <a:xfrm>
                          <a:off x="0" y="0"/>
                          <a:ext cx="5527549" cy="9144"/>
                          <a:chOff x="0" y="0"/>
                          <a:chExt cx="5527549" cy="9144"/>
                        </a:xfrm>
                      </wpg:grpSpPr>
                      <wps:wsp>
                        <wps:cNvPr id="5552" name="Shape 5552"/>
                        <wps:cNvSpPr/>
                        <wps:spPr>
                          <a:xfrm>
                            <a:off x="0" y="0"/>
                            <a:ext cx="5527549" cy="9144"/>
                          </a:xfrm>
                          <a:custGeom>
                            <a:avLst/>
                            <a:gdLst/>
                            <a:ahLst/>
                            <a:cxnLst/>
                            <a:rect l="0" t="0" r="0" b="0"/>
                            <a:pathLst>
                              <a:path w="5527549" h="9144">
                                <a:moveTo>
                                  <a:pt x="0" y="4572"/>
                                </a:moveTo>
                                <a:lnTo>
                                  <a:pt x="552754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3" style="width:435.24pt;height:0.720032pt;mso-position-horizontal-relative:char;mso-position-vertical-relative:line" coordsize="55275,91">
                <v:shape id="Shape 5552" style="position:absolute;width:55275;height:91;left:0;top:0;" coordsize="5527549,9144" path="m0,4572l5527549,4572">
                  <v:stroke weight="0.720032pt" endcap="flat" joinstyle="miter" miterlimit="1" on="true" color="#000000"/>
                  <v:fill on="false" color="#000000"/>
                </v:shape>
              </v:group>
            </w:pict>
          </mc:Fallback>
        </mc:AlternateContent>
      </w:r>
    </w:p>
    <w:p w14:paraId="35920404" w14:textId="77777777" w:rsidR="00075F2E" w:rsidRDefault="003620D7">
      <w:pPr>
        <w:spacing w:after="0" w:line="223" w:lineRule="auto"/>
        <w:ind w:left="396" w:right="2045" w:hanging="7"/>
        <w:jc w:val="both"/>
      </w:pPr>
      <w:r>
        <w:rPr>
          <w:sz w:val="20"/>
        </w:rPr>
        <w:t xml:space="preserve">JIHLAVSKÉ KOTELNY, </w:t>
      </w:r>
      <w:proofErr w:type="gramStart"/>
      <w:r>
        <w:rPr>
          <w:sz w:val="20"/>
        </w:rPr>
        <w:t>s.r.o. ,</w:t>
      </w:r>
      <w:proofErr w:type="gramEnd"/>
      <w:r>
        <w:rPr>
          <w:sz w:val="20"/>
        </w:rPr>
        <w:t xml:space="preserve"> Havlíčkova 111, 58601 Jihlava, JČ: 60730820, DIČ: cz60730820 zapsány v obchodním rejstříku Krajského soudu v </w:t>
      </w:r>
      <w:r>
        <w:rPr>
          <w:sz w:val="20"/>
        </w:rPr>
        <w:t xml:space="preserve">Brně, </w:t>
      </w:r>
      <w:proofErr w:type="spellStart"/>
      <w:r>
        <w:rPr>
          <w:sz w:val="20"/>
        </w:rPr>
        <w:t>oddil</w:t>
      </w:r>
      <w:proofErr w:type="spellEnd"/>
      <w:r>
        <w:rPr>
          <w:sz w:val="20"/>
        </w:rPr>
        <w:t xml:space="preserve"> C, 17418 tel: +420567563649, e-mail</w:t>
      </w:r>
      <w:r>
        <w:rPr>
          <w:noProof/>
        </w:rPr>
        <w:drawing>
          <wp:inline distT="0" distB="0" distL="0" distR="0" wp14:anchorId="48A94B90" wp14:editId="21C4B984">
            <wp:extent cx="909828" cy="118872"/>
            <wp:effectExtent l="0" t="0" r="0" b="0"/>
            <wp:docPr id="1658" name="Picture 1658"/>
            <wp:cNvGraphicFramePr/>
            <a:graphic xmlns:a="http://schemas.openxmlformats.org/drawingml/2006/main">
              <a:graphicData uri="http://schemas.openxmlformats.org/drawingml/2006/picture">
                <pic:pic xmlns:pic="http://schemas.openxmlformats.org/drawingml/2006/picture">
                  <pic:nvPicPr>
                    <pic:cNvPr id="1658" name="Picture 1658"/>
                    <pic:cNvPicPr/>
                  </pic:nvPicPr>
                  <pic:blipFill>
                    <a:blip r:embed="rId6"/>
                    <a:stretch>
                      <a:fillRect/>
                    </a:stretch>
                  </pic:blipFill>
                  <pic:spPr>
                    <a:xfrm>
                      <a:off x="0" y="0"/>
                      <a:ext cx="909828" cy="118872"/>
                    </a:xfrm>
                    <a:prstGeom prst="rect">
                      <a:avLst/>
                    </a:prstGeom>
                  </pic:spPr>
                </pic:pic>
              </a:graphicData>
            </a:graphic>
          </wp:inline>
        </w:drawing>
      </w:r>
      <w:proofErr w:type="spellStart"/>
      <w:r>
        <w:rPr>
          <w:sz w:val="20"/>
        </w:rPr>
        <w:t>cz</w:t>
      </w:r>
      <w:proofErr w:type="spellEnd"/>
      <w:r>
        <w:rPr>
          <w:sz w:val="20"/>
        </w:rPr>
        <w:t xml:space="preserve">, internet: </w:t>
      </w:r>
      <w:r>
        <w:rPr>
          <w:sz w:val="20"/>
          <w:u w:val="single" w:color="000000"/>
        </w:rPr>
        <w:t xml:space="preserve">www </w:t>
      </w:r>
      <w:proofErr w:type="spellStart"/>
      <w:r>
        <w:rPr>
          <w:sz w:val="20"/>
          <w:u w:val="single" w:color="000000"/>
        </w:rPr>
        <w:t>jihlavskekotelny</w:t>
      </w:r>
      <w:proofErr w:type="spellEnd"/>
      <w:r>
        <w:rPr>
          <w:sz w:val="20"/>
          <w:u w:val="single" w:color="000000"/>
        </w:rPr>
        <w:t xml:space="preserve"> .</w:t>
      </w:r>
      <w:proofErr w:type="spellStart"/>
      <w:r>
        <w:rPr>
          <w:sz w:val="20"/>
          <w:u w:val="single" w:color="000000"/>
        </w:rPr>
        <w:t>cz</w:t>
      </w:r>
      <w:proofErr w:type="spellEnd"/>
      <w:r>
        <w:rPr>
          <w:sz w:val="20"/>
        </w:rPr>
        <w:t>, bankovní spojení: Česká spořitelna, a.s., pobočka Jihlava, č. á. 944482/0800</w:t>
      </w:r>
    </w:p>
    <w:p w14:paraId="3DB0EE43" w14:textId="77777777" w:rsidR="00075F2E" w:rsidRDefault="003620D7">
      <w:pPr>
        <w:spacing w:after="187"/>
        <w:jc w:val="right"/>
      </w:pPr>
      <w:proofErr w:type="spellStart"/>
      <w:r>
        <w:rPr>
          <w:sz w:val="24"/>
        </w:rPr>
        <w:t>Integr</w:t>
      </w:r>
      <w:proofErr w:type="spellEnd"/>
      <w:r>
        <w:rPr>
          <w:sz w:val="24"/>
        </w:rPr>
        <w:t>. Centrum soc. služeb</w:t>
      </w:r>
    </w:p>
    <w:p w14:paraId="47B14DE4" w14:textId="77777777" w:rsidR="00075F2E" w:rsidRDefault="003620D7">
      <w:pPr>
        <w:pStyle w:val="Nadpis1"/>
        <w:tabs>
          <w:tab w:val="center" w:pos="3636"/>
          <w:tab w:val="center" w:pos="5299"/>
        </w:tabs>
        <w:spacing w:after="483"/>
        <w:ind w:left="0"/>
      </w:pPr>
      <w:r>
        <w:rPr>
          <w:sz w:val="46"/>
          <w:u w:val="none"/>
        </w:rPr>
        <w:lastRenderedPageBreak/>
        <w:tab/>
        <w:t xml:space="preserve">DODATEK </w:t>
      </w:r>
      <w:r>
        <w:rPr>
          <w:sz w:val="46"/>
          <w:u w:val="none"/>
        </w:rPr>
        <w:t>č.</w:t>
      </w:r>
      <w:r>
        <w:rPr>
          <w:sz w:val="46"/>
          <w:u w:val="none"/>
        </w:rPr>
        <w:tab/>
        <w:t>2</w:t>
      </w:r>
    </w:p>
    <w:p w14:paraId="7805FD97" w14:textId="77777777" w:rsidR="00075F2E" w:rsidRDefault="003620D7">
      <w:pPr>
        <w:spacing w:after="586" w:line="263" w:lineRule="auto"/>
        <w:ind w:left="17" w:right="4226" w:hanging="3"/>
      </w:pPr>
      <w:r>
        <w:rPr>
          <w:sz w:val="24"/>
        </w:rPr>
        <w:t>ke smlouvě o dodávce a odběru tepla č.:</w:t>
      </w:r>
      <w:r>
        <w:rPr>
          <w:sz w:val="24"/>
        </w:rPr>
        <w:tab/>
      </w:r>
      <w:r>
        <w:rPr>
          <w:sz w:val="24"/>
        </w:rPr>
        <w:t xml:space="preserve">187001/20 </w:t>
      </w:r>
      <w:r>
        <w:rPr>
          <w:sz w:val="24"/>
        </w:rPr>
        <w:t>číslo přihlášky:</w:t>
      </w:r>
      <w:r>
        <w:rPr>
          <w:sz w:val="24"/>
        </w:rPr>
        <w:tab/>
      </w:r>
      <w:r>
        <w:rPr>
          <w:sz w:val="24"/>
        </w:rPr>
        <w:t xml:space="preserve">347 </w:t>
      </w:r>
      <w:r>
        <w:rPr>
          <w:sz w:val="24"/>
        </w:rPr>
        <w:t>číslo dohody o ceně:</w:t>
      </w:r>
      <w:r>
        <w:rPr>
          <w:sz w:val="24"/>
        </w:rPr>
        <w:tab/>
      </w:r>
      <w:r>
        <w:rPr>
          <w:sz w:val="24"/>
        </w:rPr>
        <w:t>1</w:t>
      </w:r>
    </w:p>
    <w:p w14:paraId="18DE7AED" w14:textId="77777777" w:rsidR="00075F2E" w:rsidRDefault="003620D7">
      <w:pPr>
        <w:spacing w:after="3" w:line="263" w:lineRule="auto"/>
        <w:ind w:left="17" w:hanging="3"/>
      </w:pPr>
      <w:r>
        <w:rPr>
          <w:sz w:val="24"/>
        </w:rPr>
        <w:t>S přihlédnutím k dosavadním výsledkům měření spotřeby tepla a s ohledem na předpokládaný vývoj</w:t>
      </w:r>
    </w:p>
    <w:p w14:paraId="2A1E8D52" w14:textId="77777777" w:rsidR="00075F2E" w:rsidRDefault="00075F2E">
      <w:pPr>
        <w:sectPr w:rsidR="00075F2E">
          <w:pgSz w:w="11909" w:h="16848"/>
          <w:pgMar w:top="446" w:right="821" w:bottom="1420" w:left="1310" w:header="708" w:footer="708" w:gutter="0"/>
          <w:cols w:space="708"/>
        </w:sectPr>
      </w:pPr>
    </w:p>
    <w:p w14:paraId="7120579B" w14:textId="77777777" w:rsidR="00075F2E" w:rsidRDefault="003620D7">
      <w:pPr>
        <w:spacing w:after="479"/>
      </w:pPr>
      <w:r>
        <w:t>v této spotřebě se mění s platností od 1. 7. 2021 příloha č. 3 takto:</w:t>
      </w:r>
    </w:p>
    <w:p w14:paraId="00CDC6D4" w14:textId="77777777" w:rsidR="00075F2E" w:rsidRDefault="003620D7">
      <w:pPr>
        <w:spacing w:after="0"/>
        <w:ind w:left="14"/>
      </w:pPr>
      <w:r>
        <w:rPr>
          <w:sz w:val="30"/>
          <w:u w:val="single" w:color="000000"/>
        </w:rPr>
        <w:t>Příloha č. 3 - Dohoda o ceně</w:t>
      </w:r>
    </w:p>
    <w:p w14:paraId="71516DAF" w14:textId="77777777" w:rsidR="00075F2E" w:rsidRDefault="003620D7">
      <w:pPr>
        <w:spacing w:after="3" w:line="263" w:lineRule="auto"/>
        <w:ind w:left="17" w:hanging="3"/>
      </w:pPr>
      <w:r>
        <w:rPr>
          <w:sz w:val="24"/>
        </w:rPr>
        <w:t xml:space="preserve">CI. </w:t>
      </w:r>
      <w:proofErr w:type="gramStart"/>
      <w:r>
        <w:rPr>
          <w:sz w:val="24"/>
        </w:rPr>
        <w:t>I - Dohoda</w:t>
      </w:r>
      <w:proofErr w:type="gramEnd"/>
      <w:r>
        <w:rPr>
          <w:sz w:val="24"/>
        </w:rPr>
        <w:t xml:space="preserve"> o ceně</w:t>
      </w:r>
    </w:p>
    <w:p w14:paraId="5BE9B508" w14:textId="77777777" w:rsidR="00075F2E" w:rsidRDefault="003620D7">
      <w:pPr>
        <w:numPr>
          <w:ilvl w:val="0"/>
          <w:numId w:val="1"/>
        </w:numPr>
        <w:spacing w:after="301"/>
        <w:ind w:hanging="295"/>
      </w:pPr>
      <w:r>
        <w:rPr>
          <w:sz w:val="24"/>
          <w:u w:val="single" w:color="000000"/>
        </w:rPr>
        <w:t>Výpočet zálohových plateb</w:t>
      </w:r>
    </w:p>
    <w:p w14:paraId="2FD2CCD9" w14:textId="77777777" w:rsidR="00075F2E" w:rsidRDefault="003620D7">
      <w:pPr>
        <w:spacing w:after="144" w:line="263" w:lineRule="auto"/>
        <w:ind w:left="17" w:hanging="3"/>
      </w:pPr>
      <w:r>
        <w:rPr>
          <w:sz w:val="24"/>
        </w:rPr>
        <w:t>4.1. Předpokládané roční náklady za odebrané teplo a TUV vč. DPH</w:t>
      </w:r>
    </w:p>
    <w:p w14:paraId="45096B9C" w14:textId="77777777" w:rsidR="00075F2E" w:rsidRDefault="003620D7">
      <w:pPr>
        <w:pStyle w:val="Nadpis2"/>
        <w:spacing w:after="631"/>
        <w:ind w:left="7" w:right="0"/>
      </w:pPr>
      <w:r>
        <w:t>4.2. Výše měsíční zálohy</w:t>
      </w:r>
    </w:p>
    <w:p w14:paraId="15722427" w14:textId="0DEDBA30" w:rsidR="00075F2E" w:rsidRDefault="003620D7" w:rsidP="003620D7">
      <w:pPr>
        <w:spacing w:after="549" w:line="263" w:lineRule="auto"/>
        <w:ind w:left="367"/>
      </w:pPr>
      <w:r>
        <w:rPr>
          <w:sz w:val="24"/>
          <w:u w:val="single" w:color="000000"/>
        </w:rPr>
        <w:t xml:space="preserve">roční </w:t>
      </w:r>
      <w:proofErr w:type="gramStart"/>
      <w:r>
        <w:rPr>
          <w:sz w:val="24"/>
          <w:u w:val="single" w:color="000000"/>
        </w:rPr>
        <w:t>záloha - zap</w:t>
      </w:r>
      <w:r>
        <w:rPr>
          <w:sz w:val="24"/>
          <w:u w:val="single" w:color="000000"/>
        </w:rPr>
        <w:t>lacené</w:t>
      </w:r>
      <w:proofErr w:type="gramEnd"/>
      <w:r>
        <w:rPr>
          <w:sz w:val="24"/>
          <w:u w:val="single" w:color="000000"/>
        </w:rPr>
        <w:t xml:space="preserve"> zálohy 01/2021-06/2021 </w:t>
      </w:r>
      <w:r>
        <w:rPr>
          <w:sz w:val="24"/>
        </w:rPr>
        <w:t>Měsíční záloha = zbývající počet měsíců</w:t>
      </w:r>
    </w:p>
    <w:p w14:paraId="56E1B5E5" w14:textId="77777777" w:rsidR="00075F2E" w:rsidRDefault="003620D7">
      <w:pPr>
        <w:spacing w:after="549" w:line="263" w:lineRule="auto"/>
        <w:ind w:left="17" w:hanging="3"/>
      </w:pPr>
      <w:r>
        <w:rPr>
          <w:sz w:val="24"/>
        </w:rPr>
        <w:t>Ostatní text zůstává beze změny.</w:t>
      </w:r>
    </w:p>
    <w:p w14:paraId="2C0C0834" w14:textId="1525C75A" w:rsidR="00075F2E" w:rsidRDefault="003620D7">
      <w:pPr>
        <w:spacing w:after="3" w:line="263" w:lineRule="auto"/>
        <w:ind w:left="17" w:hanging="3"/>
      </w:pPr>
      <w:r>
        <w:rPr>
          <w:sz w:val="24"/>
        </w:rPr>
        <w:t>V Jihlavě dne 17. 6. 2021                                V Jihlavě dne</w:t>
      </w:r>
    </w:p>
    <w:p w14:paraId="64A38FF3" w14:textId="761E4935" w:rsidR="00075F2E" w:rsidRDefault="003620D7">
      <w:pPr>
        <w:spacing w:after="0" w:line="264" w:lineRule="auto"/>
        <w:ind w:left="742" w:right="2606" w:firstLine="922"/>
      </w:pPr>
      <w:r>
        <w:rPr>
          <w:sz w:val="16"/>
        </w:rPr>
        <w:t xml:space="preserve">Integrované </w:t>
      </w:r>
      <w:r>
        <w:rPr>
          <w:sz w:val="16"/>
        </w:rPr>
        <w:t>c</w:t>
      </w:r>
      <w:r>
        <w:rPr>
          <w:sz w:val="16"/>
        </w:rPr>
        <w:t>e</w:t>
      </w:r>
      <w:r>
        <w:rPr>
          <w:sz w:val="16"/>
        </w:rPr>
        <w:t>n</w:t>
      </w:r>
      <w:r>
        <w:rPr>
          <w:sz w:val="16"/>
        </w:rPr>
        <w:t>t</w:t>
      </w:r>
      <w:r>
        <w:rPr>
          <w:sz w:val="16"/>
        </w:rPr>
        <w:t>r</w:t>
      </w:r>
      <w:r>
        <w:rPr>
          <w:sz w:val="16"/>
        </w:rPr>
        <w:t>u</w:t>
      </w:r>
      <w:r>
        <w:rPr>
          <w:sz w:val="16"/>
        </w:rPr>
        <w:t>m</w:t>
      </w:r>
      <w:r>
        <w:rPr>
          <w:sz w:val="16"/>
        </w:rPr>
        <w:t xml:space="preserve"> </w:t>
      </w:r>
      <w:r>
        <w:rPr>
          <w:sz w:val="16"/>
        </w:rPr>
        <w:t>s</w:t>
      </w:r>
      <w:r>
        <w:rPr>
          <w:sz w:val="16"/>
        </w:rPr>
        <w:t>o</w:t>
      </w:r>
    </w:p>
    <w:p w14:paraId="71D64E0B" w14:textId="7D610445" w:rsidR="00075F2E" w:rsidRDefault="00075F2E">
      <w:pPr>
        <w:spacing w:after="0"/>
        <w:ind w:left="65"/>
      </w:pPr>
    </w:p>
    <w:p w14:paraId="1F62A7DA" w14:textId="77777777" w:rsidR="003620D7" w:rsidRDefault="003620D7">
      <w:pPr>
        <w:tabs>
          <w:tab w:val="right" w:pos="2066"/>
        </w:tabs>
        <w:spacing w:after="326"/>
        <w:rPr>
          <w:sz w:val="24"/>
        </w:rPr>
      </w:pPr>
    </w:p>
    <w:p w14:paraId="457CE3FF" w14:textId="740C854C" w:rsidR="00075F2E" w:rsidRDefault="003620D7">
      <w:pPr>
        <w:tabs>
          <w:tab w:val="right" w:pos="2066"/>
        </w:tabs>
        <w:spacing w:after="326"/>
      </w:pPr>
      <w:r>
        <w:rPr>
          <w:sz w:val="24"/>
        </w:rPr>
        <w:t>1 251 204</w:t>
      </w:r>
      <w:r>
        <w:rPr>
          <w:sz w:val="24"/>
        </w:rPr>
        <w:tab/>
      </w:r>
      <w:r>
        <w:rPr>
          <w:sz w:val="24"/>
        </w:rPr>
        <w:t>Kč/rok</w:t>
      </w:r>
    </w:p>
    <w:p w14:paraId="63438BF8" w14:textId="77777777" w:rsidR="00075F2E" w:rsidRDefault="003620D7">
      <w:pPr>
        <w:tabs>
          <w:tab w:val="right" w:pos="2066"/>
        </w:tabs>
        <w:spacing w:after="3" w:line="263" w:lineRule="auto"/>
      </w:pPr>
      <w:r>
        <w:rPr>
          <w:sz w:val="24"/>
        </w:rPr>
        <w:t>107 000</w:t>
      </w:r>
      <w:r>
        <w:rPr>
          <w:sz w:val="24"/>
        </w:rPr>
        <w:tab/>
      </w:r>
      <w:r>
        <w:rPr>
          <w:sz w:val="24"/>
        </w:rPr>
        <w:t>Kč/</w:t>
      </w:r>
      <w:proofErr w:type="spellStart"/>
      <w:r>
        <w:rPr>
          <w:sz w:val="24"/>
        </w:rPr>
        <w:t>měs</w:t>
      </w:r>
      <w:proofErr w:type="spellEnd"/>
      <w:r>
        <w:rPr>
          <w:sz w:val="24"/>
        </w:rPr>
        <w:t>.</w:t>
      </w:r>
    </w:p>
    <w:p w14:paraId="315D9D3C" w14:textId="77777777" w:rsidR="00075F2E" w:rsidRDefault="00075F2E">
      <w:pPr>
        <w:sectPr w:rsidR="00075F2E">
          <w:type w:val="continuous"/>
          <w:pgSz w:w="11909" w:h="16848"/>
          <w:pgMar w:top="1440" w:right="1411" w:bottom="1440" w:left="1318" w:header="708" w:footer="708" w:gutter="0"/>
          <w:cols w:num="2" w:space="708" w:equalWidth="0">
            <w:col w:w="6595" w:space="518"/>
            <w:col w:w="2066"/>
          </w:cols>
        </w:sectPr>
      </w:pPr>
    </w:p>
    <w:p w14:paraId="6F65CF1A" w14:textId="77777777" w:rsidR="00075F2E" w:rsidRDefault="003620D7">
      <w:pPr>
        <w:spacing w:after="104"/>
        <w:ind w:left="4262" w:right="-1022"/>
      </w:pPr>
      <w:r>
        <w:rPr>
          <w:noProof/>
        </w:rPr>
        <mc:AlternateContent>
          <mc:Choice Requires="wpg">
            <w:drawing>
              <wp:inline distT="0" distB="0" distL="0" distR="0" wp14:anchorId="510405AC" wp14:editId="225A7A9E">
                <wp:extent cx="2318004" cy="4572"/>
                <wp:effectExtent l="0" t="0" r="0" b="0"/>
                <wp:docPr id="5559" name="Group 5559"/>
                <wp:cNvGraphicFramePr/>
                <a:graphic xmlns:a="http://schemas.openxmlformats.org/drawingml/2006/main">
                  <a:graphicData uri="http://schemas.microsoft.com/office/word/2010/wordprocessingGroup">
                    <wpg:wgp>
                      <wpg:cNvGrpSpPr/>
                      <wpg:grpSpPr>
                        <a:xfrm>
                          <a:off x="0" y="0"/>
                          <a:ext cx="2318004" cy="4572"/>
                          <a:chOff x="0" y="0"/>
                          <a:chExt cx="2318004" cy="4572"/>
                        </a:xfrm>
                      </wpg:grpSpPr>
                      <wps:wsp>
                        <wps:cNvPr id="5558" name="Shape 5558"/>
                        <wps:cNvSpPr/>
                        <wps:spPr>
                          <a:xfrm>
                            <a:off x="0" y="0"/>
                            <a:ext cx="2318004" cy="4572"/>
                          </a:xfrm>
                          <a:custGeom>
                            <a:avLst/>
                            <a:gdLst/>
                            <a:ahLst/>
                            <a:cxnLst/>
                            <a:rect l="0" t="0" r="0" b="0"/>
                            <a:pathLst>
                              <a:path w="2318004" h="4572">
                                <a:moveTo>
                                  <a:pt x="0" y="2286"/>
                                </a:moveTo>
                                <a:lnTo>
                                  <a:pt x="23180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59" style="width:182.52pt;height:0.359985pt;mso-position-horizontal-relative:char;mso-position-vertical-relative:line" coordsize="23180,45">
                <v:shape id="Shape 5558" style="position:absolute;width:23180;height:45;left:0;top:0;" coordsize="2318004,4572" path="m0,2286l2318004,2286">
                  <v:stroke weight="0.359985pt" endcap="flat" joinstyle="miter" miterlimit="1" on="true" color="#000000"/>
                  <v:fill on="false" color="#000000"/>
                </v:shape>
              </v:group>
            </w:pict>
          </mc:Fallback>
        </mc:AlternateContent>
      </w:r>
    </w:p>
    <w:p w14:paraId="2FC6FD26" w14:textId="77777777" w:rsidR="00075F2E" w:rsidRDefault="003620D7">
      <w:pPr>
        <w:tabs>
          <w:tab w:val="right" w:pos="6890"/>
        </w:tabs>
        <w:spacing w:after="3" w:line="263" w:lineRule="auto"/>
      </w:pPr>
      <w:r>
        <w:rPr>
          <w:sz w:val="24"/>
        </w:rPr>
        <w:t>Odběratel</w:t>
      </w:r>
      <w:r>
        <w:rPr>
          <w:sz w:val="24"/>
        </w:rPr>
        <w:tab/>
        <w:t>Dodavatel</w:t>
      </w:r>
    </w:p>
    <w:sectPr w:rsidR="00075F2E">
      <w:type w:val="continuous"/>
      <w:pgSz w:w="11909" w:h="16848"/>
      <w:pgMar w:top="824" w:right="2664" w:bottom="4680" w:left="23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5060"/>
    <w:multiLevelType w:val="hybridMultilevel"/>
    <w:tmpl w:val="95E615DE"/>
    <w:lvl w:ilvl="0" w:tplc="264468E4">
      <w:start w:val="4"/>
      <w:numFmt w:val="decimal"/>
      <w:lvlText w:val="%1."/>
      <w:lvlJc w:val="left"/>
      <w:pPr>
        <w:ind w:left="30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58FC30A2">
      <w:start w:val="1"/>
      <w:numFmt w:val="lowerLetter"/>
      <w:lvlText w:val="%2"/>
      <w:lvlJc w:val="left"/>
      <w:pPr>
        <w:ind w:left="108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247AC37A">
      <w:start w:val="1"/>
      <w:numFmt w:val="lowerRoman"/>
      <w:lvlText w:val="%3"/>
      <w:lvlJc w:val="left"/>
      <w:pPr>
        <w:ind w:left="180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DA905046">
      <w:start w:val="1"/>
      <w:numFmt w:val="decimal"/>
      <w:lvlText w:val="%4"/>
      <w:lvlJc w:val="left"/>
      <w:pPr>
        <w:ind w:left="252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0B94A892">
      <w:start w:val="1"/>
      <w:numFmt w:val="lowerLetter"/>
      <w:lvlText w:val="%5"/>
      <w:lvlJc w:val="left"/>
      <w:pPr>
        <w:ind w:left="324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7896A078">
      <w:start w:val="1"/>
      <w:numFmt w:val="lowerRoman"/>
      <w:lvlText w:val="%6"/>
      <w:lvlJc w:val="left"/>
      <w:pPr>
        <w:ind w:left="396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8898B29C">
      <w:start w:val="1"/>
      <w:numFmt w:val="decimal"/>
      <w:lvlText w:val="%7"/>
      <w:lvlJc w:val="left"/>
      <w:pPr>
        <w:ind w:left="468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91B66DE8">
      <w:start w:val="1"/>
      <w:numFmt w:val="lowerLetter"/>
      <w:lvlText w:val="%8"/>
      <w:lvlJc w:val="left"/>
      <w:pPr>
        <w:ind w:left="540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F3BE725A">
      <w:start w:val="1"/>
      <w:numFmt w:val="lowerRoman"/>
      <w:lvlText w:val="%9"/>
      <w:lvlJc w:val="left"/>
      <w:pPr>
        <w:ind w:left="612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2E"/>
    <w:rsid w:val="00075F2E"/>
    <w:rsid w:val="003620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ABA4"/>
  <w15:docId w15:val="{AE705B13-666E-4492-B012-6348F380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301"/>
      <w:ind w:left="7"/>
      <w:outlineLvl w:val="0"/>
    </w:pPr>
    <w:rPr>
      <w:rFonts w:ascii="Calibri" w:eastAsia="Calibri" w:hAnsi="Calibri" w:cs="Calibri"/>
      <w:color w:val="000000"/>
      <w:sz w:val="24"/>
      <w:u w:val="single" w:color="000000"/>
    </w:rPr>
  </w:style>
  <w:style w:type="paragraph" w:styleId="Nadpis2">
    <w:name w:val="heading 2"/>
    <w:next w:val="Normln"/>
    <w:link w:val="Nadpis2Char"/>
    <w:uiPriority w:val="9"/>
    <w:unhideWhenUsed/>
    <w:qFormat/>
    <w:pPr>
      <w:keepNext/>
      <w:keepLines/>
      <w:spacing w:after="0"/>
      <w:ind w:right="958"/>
      <w:outlineLvl w:val="1"/>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u w:val="single" w:color="000000"/>
    </w:rPr>
  </w:style>
  <w:style w:type="character" w:customStyle="1" w:styleId="Nadpis2Char">
    <w:name w:val="Nadpis 2 Char"/>
    <w:link w:val="Nadpis2"/>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1433</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Sobotková</dc:creator>
  <cp:keywords/>
  <cp:lastModifiedBy>Daniela Sobotková</cp:lastModifiedBy>
  <cp:revision>2</cp:revision>
  <dcterms:created xsi:type="dcterms:W3CDTF">2021-06-23T10:30:00Z</dcterms:created>
  <dcterms:modified xsi:type="dcterms:W3CDTF">2021-06-23T10:30:00Z</dcterms:modified>
</cp:coreProperties>
</file>