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6F6AF" w14:textId="77777777" w:rsidR="00E4582B" w:rsidRDefault="0003645A">
      <w:pPr>
        <w:framePr w:w="1520" w:h="193" w:wrap="auto" w:vAnchor="page" w:hAnchor="page" w:x="1160" w:y="3422"/>
        <w:spacing w:line="182" w:lineRule="auto"/>
        <w:rPr>
          <w:rFonts w:ascii="Arial" w:eastAsia="Arial" w:hAnsi="Arial" w:cs="Arial"/>
        </w:rPr>
      </w:pPr>
      <w:bookmarkStart w:id="0" w:name="page1"/>
      <w:bookmarkEnd w:id="0"/>
      <w:r>
        <w:rPr>
          <w:rFonts w:ascii="Arial" w:eastAsia="Arial" w:hAnsi="Arial" w:cs="Arial"/>
        </w:rPr>
        <w:t>Bank. Spojení:</w:t>
      </w:r>
    </w:p>
    <w:p w14:paraId="084265BA" w14:textId="77777777" w:rsidR="00E4582B" w:rsidRDefault="0003645A">
      <w:pPr>
        <w:framePr w:w="1380" w:h="193" w:wrap="auto" w:vAnchor="page" w:hAnchor="page" w:x="1160" w:y="3677"/>
        <w:spacing w:line="182" w:lineRule="auto"/>
        <w:rPr>
          <w:rFonts w:ascii="Arial" w:eastAsia="Arial" w:hAnsi="Arial" w:cs="Arial"/>
        </w:rPr>
      </w:pPr>
      <w:r>
        <w:rPr>
          <w:rFonts w:ascii="Arial" w:eastAsia="Arial" w:hAnsi="Arial" w:cs="Arial"/>
        </w:rPr>
        <w:t>Zastoupená::</w:t>
      </w:r>
    </w:p>
    <w:p w14:paraId="7645555A" w14:textId="77777777" w:rsidR="00E4582B" w:rsidRDefault="0003645A">
      <w:pPr>
        <w:framePr w:w="1120" w:h="447" w:wrap="auto" w:vAnchor="page" w:hAnchor="page" w:x="1160" w:y="2157"/>
        <w:spacing w:line="212" w:lineRule="auto"/>
        <w:rPr>
          <w:rFonts w:ascii="Arial" w:eastAsia="Arial" w:hAnsi="Arial" w:cs="Arial"/>
          <w:color w:val="333333"/>
        </w:rPr>
      </w:pPr>
      <w:r>
        <w:rPr>
          <w:rFonts w:ascii="Arial" w:eastAsia="Arial" w:hAnsi="Arial" w:cs="Arial"/>
        </w:rPr>
        <w:t xml:space="preserve">Se sídlem: </w:t>
      </w:r>
      <w:r>
        <w:rPr>
          <w:rFonts w:ascii="Arial" w:eastAsia="Arial" w:hAnsi="Arial" w:cs="Arial"/>
          <w:color w:val="333333"/>
        </w:rPr>
        <w:t>IČ:</w:t>
      </w:r>
    </w:p>
    <w:p w14:paraId="5CE85428" w14:textId="77777777" w:rsidR="00E4582B" w:rsidRDefault="0003645A">
      <w:pPr>
        <w:ind w:right="-6"/>
        <w:jc w:val="center"/>
        <w:rPr>
          <w:sz w:val="20"/>
          <w:szCs w:val="20"/>
        </w:rPr>
      </w:pPr>
      <w:r>
        <w:rPr>
          <w:rFonts w:ascii="Arial" w:eastAsia="Arial" w:hAnsi="Arial" w:cs="Arial"/>
          <w:b/>
          <w:bCs/>
        </w:rPr>
        <w:lastRenderedPageBreak/>
        <w:t>SMLOUVA O PŘÍKAZU</w:t>
      </w:r>
    </w:p>
    <w:p w14:paraId="57F1631D" w14:textId="77777777" w:rsidR="00E4582B" w:rsidRPr="00DE3B37" w:rsidRDefault="00E4582B">
      <w:pPr>
        <w:spacing w:line="200" w:lineRule="exact"/>
        <w:rPr>
          <w:rFonts w:ascii="Arial" w:eastAsia="Arial" w:hAnsi="Arial" w:cs="Arial"/>
          <w:color w:val="333333"/>
        </w:rPr>
      </w:pPr>
    </w:p>
    <w:p w14:paraId="62742E8B" w14:textId="77777777" w:rsidR="00E4582B" w:rsidRPr="00DE3B37" w:rsidRDefault="00E4582B">
      <w:pPr>
        <w:spacing w:line="317" w:lineRule="exact"/>
        <w:rPr>
          <w:rFonts w:ascii="Arial" w:eastAsia="Arial" w:hAnsi="Arial" w:cs="Arial"/>
          <w:color w:val="333333"/>
        </w:rPr>
      </w:pPr>
    </w:p>
    <w:p w14:paraId="1E2A70A0" w14:textId="77777777" w:rsidR="00E4582B" w:rsidRPr="00DE3B37" w:rsidRDefault="0003645A">
      <w:pPr>
        <w:spacing w:line="238" w:lineRule="auto"/>
        <w:ind w:left="2487" w:right="3280"/>
        <w:rPr>
          <w:sz w:val="20"/>
          <w:szCs w:val="20"/>
        </w:rPr>
      </w:pPr>
      <w:r w:rsidRPr="00DE3B37">
        <w:rPr>
          <w:rFonts w:ascii="Arial" w:eastAsia="Arial" w:hAnsi="Arial" w:cs="Arial"/>
          <w:bCs/>
          <w:color w:val="333333"/>
        </w:rPr>
        <w:t xml:space="preserve">Vodovody a kanalizace Břeclav, a.s. </w:t>
      </w:r>
      <w:r w:rsidRPr="00DE3B37">
        <w:rPr>
          <w:rFonts w:ascii="Arial" w:eastAsia="Arial" w:hAnsi="Arial" w:cs="Arial"/>
          <w:color w:val="333333"/>
        </w:rPr>
        <w:t>Čechova 1300/23, PSČ 690 02, Břeclav 49455168,</w:t>
      </w:r>
    </w:p>
    <w:p w14:paraId="5D2F73B4" w14:textId="77777777" w:rsidR="00E4582B" w:rsidRPr="00DE3B37" w:rsidRDefault="00E4582B">
      <w:pPr>
        <w:spacing w:line="8" w:lineRule="exact"/>
        <w:rPr>
          <w:rFonts w:ascii="Arial" w:eastAsia="Arial" w:hAnsi="Arial" w:cs="Arial"/>
          <w:color w:val="333333"/>
        </w:rPr>
      </w:pPr>
    </w:p>
    <w:p w14:paraId="0076A878" w14:textId="77777777" w:rsidR="00E4582B" w:rsidRPr="00DE3B37" w:rsidRDefault="0003645A">
      <w:pPr>
        <w:spacing w:line="235" w:lineRule="auto"/>
        <w:ind w:left="2487" w:right="280"/>
        <w:rPr>
          <w:sz w:val="20"/>
          <w:szCs w:val="20"/>
        </w:rPr>
      </w:pPr>
      <w:r w:rsidRPr="00DE3B37">
        <w:rPr>
          <w:rFonts w:ascii="Arial" w:eastAsia="Arial" w:hAnsi="Arial" w:cs="Arial"/>
          <w:color w:val="333333"/>
        </w:rPr>
        <w:t>zapsaná v obchodním rejstříku vedeném rejstříkovým soudem v Brně, oddíl B, vložka číslo 11761</w:t>
      </w:r>
    </w:p>
    <w:p w14:paraId="6329C288" w14:textId="77777777" w:rsidR="00E4582B" w:rsidRPr="00DE3B37" w:rsidRDefault="00E4582B">
      <w:pPr>
        <w:spacing w:line="200" w:lineRule="exact"/>
        <w:rPr>
          <w:rFonts w:ascii="Arial" w:eastAsia="Arial" w:hAnsi="Arial" w:cs="Arial"/>
          <w:color w:val="333333"/>
        </w:rPr>
      </w:pPr>
    </w:p>
    <w:p w14:paraId="5418CB6D" w14:textId="77777777" w:rsidR="00E4582B" w:rsidRPr="00DE3B37" w:rsidRDefault="00E4582B">
      <w:pPr>
        <w:spacing w:line="317" w:lineRule="exact"/>
        <w:rPr>
          <w:rFonts w:ascii="Arial" w:eastAsia="Arial" w:hAnsi="Arial" w:cs="Arial"/>
          <w:color w:val="333333"/>
        </w:rPr>
      </w:pPr>
    </w:p>
    <w:p w14:paraId="1620CDF6" w14:textId="77777777" w:rsidR="00DE3B37" w:rsidRPr="00DE3B37" w:rsidRDefault="00DE3B37">
      <w:pPr>
        <w:spacing w:line="249" w:lineRule="auto"/>
        <w:ind w:left="2487" w:right="1760"/>
        <w:rPr>
          <w:rFonts w:ascii="Arial" w:eastAsia="Arial" w:hAnsi="Arial" w:cs="Arial"/>
          <w:color w:val="333333"/>
        </w:rPr>
      </w:pPr>
      <w:r w:rsidRPr="00DE3B37">
        <w:rPr>
          <w:rFonts w:ascii="Arial" w:eastAsia="Arial" w:hAnsi="Arial" w:cs="Arial"/>
          <w:color w:val="333333"/>
        </w:rPr>
        <w:t xml:space="preserve">Bořivojem </w:t>
      </w:r>
      <w:proofErr w:type="spellStart"/>
      <w:r w:rsidRPr="00DE3B37">
        <w:rPr>
          <w:rFonts w:ascii="Arial" w:eastAsia="Arial" w:hAnsi="Arial" w:cs="Arial"/>
          <w:color w:val="333333"/>
        </w:rPr>
        <w:t>Švástou</w:t>
      </w:r>
      <w:proofErr w:type="spellEnd"/>
      <w:r w:rsidRPr="00DE3B37">
        <w:rPr>
          <w:rFonts w:ascii="Arial" w:eastAsia="Arial" w:hAnsi="Arial" w:cs="Arial"/>
          <w:color w:val="333333"/>
        </w:rPr>
        <w:t>, místo</w:t>
      </w:r>
      <w:r w:rsidR="0003645A" w:rsidRPr="00DE3B37">
        <w:rPr>
          <w:rFonts w:ascii="Arial" w:eastAsia="Arial" w:hAnsi="Arial" w:cs="Arial"/>
          <w:color w:val="333333"/>
        </w:rPr>
        <w:t xml:space="preserve">předsedou představenstva </w:t>
      </w:r>
    </w:p>
    <w:p w14:paraId="5640E8BE" w14:textId="53A6D474" w:rsidR="00E4582B" w:rsidRPr="00DE3B37" w:rsidRDefault="00DE3B37" w:rsidP="00F672D4">
      <w:pPr>
        <w:spacing w:line="249" w:lineRule="auto"/>
        <w:ind w:left="2487" w:right="1277"/>
      </w:pPr>
      <w:r w:rsidRPr="00DE3B37">
        <w:rPr>
          <w:rFonts w:ascii="Arial" w:eastAsia="Arial" w:hAnsi="Arial" w:cs="Arial"/>
          <w:color w:val="333333"/>
        </w:rPr>
        <w:t xml:space="preserve">Ing. Daliborem Nedělou, </w:t>
      </w:r>
      <w:r w:rsidR="0003645A" w:rsidRPr="00DE3B37">
        <w:rPr>
          <w:rFonts w:ascii="Arial" w:eastAsia="Arial" w:hAnsi="Arial" w:cs="Arial"/>
          <w:color w:val="333333"/>
        </w:rPr>
        <w:t>místopředsedou</w:t>
      </w:r>
      <w:r w:rsidR="00F672D4">
        <w:rPr>
          <w:rFonts w:ascii="Arial" w:eastAsia="Arial" w:hAnsi="Arial" w:cs="Arial"/>
          <w:color w:val="333333"/>
        </w:rPr>
        <w:t xml:space="preserve"> </w:t>
      </w:r>
      <w:r w:rsidR="0050003B" w:rsidRPr="00DE3B37">
        <w:rPr>
          <w:rFonts w:ascii="Arial" w:eastAsia="Arial" w:hAnsi="Arial" w:cs="Arial"/>
          <w:color w:val="333333"/>
        </w:rPr>
        <w:t>p</w:t>
      </w:r>
      <w:r w:rsidR="0003645A" w:rsidRPr="00DE3B37">
        <w:rPr>
          <w:rFonts w:ascii="Arial" w:eastAsia="Arial" w:hAnsi="Arial" w:cs="Arial"/>
          <w:color w:val="333333"/>
        </w:rPr>
        <w:t>ředstavenstva</w:t>
      </w:r>
    </w:p>
    <w:p w14:paraId="132D9A31" w14:textId="77777777" w:rsidR="00E4582B" w:rsidRPr="00DE3B37" w:rsidRDefault="0003645A">
      <w:pPr>
        <w:spacing w:line="232" w:lineRule="auto"/>
        <w:ind w:left="7"/>
        <w:rPr>
          <w:sz w:val="20"/>
          <w:szCs w:val="20"/>
        </w:rPr>
      </w:pPr>
      <w:r w:rsidRPr="00DE3B37">
        <w:rPr>
          <w:rFonts w:ascii="Arial" w:eastAsia="Arial" w:hAnsi="Arial" w:cs="Arial"/>
          <w:bCs/>
          <w:color w:val="333333"/>
        </w:rPr>
        <w:t>(</w:t>
      </w:r>
      <w:r w:rsidRPr="00DE3B37">
        <w:rPr>
          <w:rFonts w:ascii="Arial" w:eastAsia="Arial" w:hAnsi="Arial" w:cs="Arial"/>
          <w:color w:val="333333"/>
        </w:rPr>
        <w:t>dále také</w:t>
      </w:r>
      <w:r w:rsidRPr="00DE3B37">
        <w:rPr>
          <w:rFonts w:ascii="Arial" w:eastAsia="Arial" w:hAnsi="Arial" w:cs="Arial"/>
          <w:bCs/>
          <w:color w:val="333333"/>
        </w:rPr>
        <w:t xml:space="preserve"> </w:t>
      </w:r>
      <w:r w:rsidRPr="00DE3B37">
        <w:rPr>
          <w:rFonts w:ascii="Arial" w:eastAsia="Arial" w:hAnsi="Arial" w:cs="Arial"/>
          <w:color w:val="333333"/>
        </w:rPr>
        <w:t>jen</w:t>
      </w:r>
      <w:r w:rsidRPr="00DE3B37">
        <w:rPr>
          <w:rFonts w:ascii="Arial" w:eastAsia="Arial" w:hAnsi="Arial" w:cs="Arial"/>
          <w:bCs/>
          <w:color w:val="333333"/>
        </w:rPr>
        <w:t xml:space="preserve"> „Příkazce“</w:t>
      </w:r>
      <w:r w:rsidRPr="00DE3B37">
        <w:rPr>
          <w:rFonts w:ascii="Arial" w:eastAsia="Arial" w:hAnsi="Arial" w:cs="Arial"/>
          <w:color w:val="000000"/>
        </w:rPr>
        <w:t>)</w:t>
      </w:r>
    </w:p>
    <w:p w14:paraId="5781031F" w14:textId="77777777" w:rsidR="00E4582B" w:rsidRPr="00DE3B37" w:rsidRDefault="00E4582B">
      <w:pPr>
        <w:spacing w:line="256" w:lineRule="exact"/>
        <w:rPr>
          <w:rFonts w:ascii="Arial" w:eastAsia="Arial" w:hAnsi="Arial" w:cs="Arial"/>
          <w:color w:val="333333"/>
        </w:rPr>
      </w:pPr>
      <w:bookmarkStart w:id="1" w:name="_GoBack"/>
      <w:bookmarkEnd w:id="1"/>
    </w:p>
    <w:p w14:paraId="0B619462" w14:textId="77777777" w:rsidR="00E4582B" w:rsidRPr="00DE3B37" w:rsidRDefault="0003645A">
      <w:pPr>
        <w:ind w:left="7"/>
        <w:rPr>
          <w:sz w:val="20"/>
          <w:szCs w:val="20"/>
        </w:rPr>
      </w:pPr>
      <w:r w:rsidRPr="00DE3B37">
        <w:rPr>
          <w:rFonts w:ascii="Arial" w:eastAsia="Arial" w:hAnsi="Arial" w:cs="Arial"/>
        </w:rPr>
        <w:t>a</w:t>
      </w:r>
    </w:p>
    <w:p w14:paraId="39861818" w14:textId="77777777" w:rsidR="00E4582B" w:rsidRPr="00DE3B37" w:rsidRDefault="00E4582B">
      <w:pPr>
        <w:spacing w:line="252" w:lineRule="exact"/>
        <w:rPr>
          <w:rFonts w:ascii="Arial" w:eastAsia="Arial" w:hAnsi="Arial" w:cs="Arial"/>
          <w:color w:val="333333"/>
        </w:rPr>
      </w:pPr>
    </w:p>
    <w:p w14:paraId="685715CD" w14:textId="77777777" w:rsidR="00E4582B" w:rsidRPr="00DE3B37" w:rsidRDefault="0003645A">
      <w:pPr>
        <w:ind w:right="3313"/>
        <w:jc w:val="center"/>
      </w:pPr>
      <w:r w:rsidRPr="00DE3B37">
        <w:rPr>
          <w:rFonts w:ascii="Arial" w:eastAsia="Arial" w:hAnsi="Arial" w:cs="Arial"/>
          <w:bCs/>
        </w:rPr>
        <w:t>CENTIN, a. s.</w:t>
      </w:r>
    </w:p>
    <w:p w14:paraId="6FEC4571" w14:textId="77777777" w:rsidR="00E4582B" w:rsidRPr="00DE3B37" w:rsidRDefault="00E4582B">
      <w:pPr>
        <w:spacing w:line="1" w:lineRule="exact"/>
        <w:rPr>
          <w:rFonts w:ascii="Arial" w:eastAsia="Arial" w:hAnsi="Arial" w:cs="Arial"/>
          <w:color w:val="333333"/>
        </w:rPr>
      </w:pPr>
    </w:p>
    <w:p w14:paraId="5630F670" w14:textId="77777777" w:rsidR="00E4582B" w:rsidRPr="00DE3B37" w:rsidRDefault="0003645A">
      <w:pPr>
        <w:tabs>
          <w:tab w:val="left" w:pos="2467"/>
        </w:tabs>
        <w:ind w:left="67"/>
      </w:pPr>
      <w:r w:rsidRPr="00DE3B37">
        <w:rPr>
          <w:rFonts w:ascii="Arial" w:eastAsia="Arial" w:hAnsi="Arial" w:cs="Arial"/>
        </w:rPr>
        <w:t>Se sídlem:</w:t>
      </w:r>
      <w:r w:rsidRPr="00DE3B37">
        <w:tab/>
      </w:r>
      <w:r w:rsidRPr="00DE3B37">
        <w:rPr>
          <w:rFonts w:ascii="Arial" w:eastAsia="Arial" w:hAnsi="Arial" w:cs="Arial"/>
        </w:rPr>
        <w:t xml:space="preserve">K Botiči 1453/6, Praha </w:t>
      </w:r>
      <w:proofErr w:type="gramStart"/>
      <w:r w:rsidRPr="00DE3B37">
        <w:rPr>
          <w:rFonts w:ascii="Arial" w:eastAsia="Arial" w:hAnsi="Arial" w:cs="Arial"/>
        </w:rPr>
        <w:t>10, , PSČ</w:t>
      </w:r>
      <w:proofErr w:type="gramEnd"/>
      <w:r w:rsidRPr="00DE3B37">
        <w:rPr>
          <w:rFonts w:ascii="Arial" w:eastAsia="Arial" w:hAnsi="Arial" w:cs="Arial"/>
        </w:rPr>
        <w:t xml:space="preserve"> 101 00,</w:t>
      </w:r>
    </w:p>
    <w:p w14:paraId="2F6B003A" w14:textId="77777777" w:rsidR="00E4582B" w:rsidRPr="00DE3B37" w:rsidRDefault="00E4582B">
      <w:pPr>
        <w:spacing w:line="1" w:lineRule="exact"/>
        <w:rPr>
          <w:rFonts w:ascii="Arial" w:eastAsia="Arial" w:hAnsi="Arial" w:cs="Arial"/>
          <w:color w:val="333333"/>
        </w:rPr>
      </w:pPr>
    </w:p>
    <w:p w14:paraId="36F48D3C" w14:textId="77777777" w:rsidR="00E4582B" w:rsidRPr="00DE3B37" w:rsidRDefault="0003645A">
      <w:pPr>
        <w:tabs>
          <w:tab w:val="left" w:pos="2467"/>
        </w:tabs>
        <w:ind w:left="67"/>
      </w:pPr>
      <w:r w:rsidRPr="00DE3B37">
        <w:rPr>
          <w:rFonts w:ascii="Arial" w:eastAsia="Arial" w:hAnsi="Arial" w:cs="Arial"/>
        </w:rPr>
        <w:t>IČ:</w:t>
      </w:r>
      <w:r w:rsidRPr="00DE3B37">
        <w:tab/>
      </w:r>
      <w:r w:rsidRPr="00DE3B37">
        <w:rPr>
          <w:rFonts w:ascii="Arial" w:eastAsia="Arial" w:hAnsi="Arial" w:cs="Arial"/>
        </w:rPr>
        <w:t>63999897,</w:t>
      </w:r>
    </w:p>
    <w:p w14:paraId="5EDAFA4E" w14:textId="77777777" w:rsidR="00E4582B" w:rsidRPr="00DE3B37" w:rsidRDefault="0003645A">
      <w:pPr>
        <w:ind w:left="2487"/>
      </w:pPr>
      <w:r w:rsidRPr="00DE3B37">
        <w:rPr>
          <w:rFonts w:ascii="Arial" w:eastAsia="Arial" w:hAnsi="Arial" w:cs="Arial"/>
        </w:rPr>
        <w:t>zapsaná u MS v Praze, oddíl B, vložka 3594</w:t>
      </w:r>
    </w:p>
    <w:p w14:paraId="11C1756E" w14:textId="77777777" w:rsidR="00E4582B" w:rsidRPr="00DE3B37" w:rsidRDefault="0003645A">
      <w:pPr>
        <w:tabs>
          <w:tab w:val="left" w:pos="2467"/>
        </w:tabs>
        <w:ind w:left="67"/>
      </w:pPr>
      <w:r w:rsidRPr="00DE3B37">
        <w:rPr>
          <w:rFonts w:ascii="Arial" w:eastAsia="Arial" w:hAnsi="Arial" w:cs="Arial"/>
        </w:rPr>
        <w:t xml:space="preserve">Bank. </w:t>
      </w:r>
      <w:proofErr w:type="gramStart"/>
      <w:r w:rsidRPr="00DE3B37">
        <w:rPr>
          <w:rFonts w:ascii="Arial" w:eastAsia="Arial" w:hAnsi="Arial" w:cs="Arial"/>
        </w:rPr>
        <w:t>spojení</w:t>
      </w:r>
      <w:proofErr w:type="gramEnd"/>
      <w:r w:rsidRPr="00DE3B37">
        <w:tab/>
      </w:r>
      <w:r w:rsidRPr="00DE3B37">
        <w:rPr>
          <w:rFonts w:ascii="Arial" w:eastAsia="Arial" w:hAnsi="Arial" w:cs="Arial"/>
        </w:rPr>
        <w:t>115-3059680227/0100, KB, a.s.</w:t>
      </w:r>
    </w:p>
    <w:p w14:paraId="45C2B070" w14:textId="77777777" w:rsidR="00E4582B" w:rsidRPr="00DE3B37" w:rsidRDefault="0003645A">
      <w:pPr>
        <w:tabs>
          <w:tab w:val="left" w:pos="2467"/>
        </w:tabs>
        <w:ind w:left="67"/>
      </w:pPr>
      <w:r w:rsidRPr="00DE3B37">
        <w:rPr>
          <w:rFonts w:ascii="Arial" w:eastAsia="Arial" w:hAnsi="Arial" w:cs="Arial"/>
        </w:rPr>
        <w:t>Zastoupená::</w:t>
      </w:r>
      <w:r w:rsidRPr="00DE3B37">
        <w:tab/>
      </w:r>
      <w:r w:rsidRPr="00DE3B37">
        <w:rPr>
          <w:rFonts w:ascii="Arial" w:eastAsia="Arial" w:hAnsi="Arial" w:cs="Arial"/>
        </w:rPr>
        <w:t>Ing. Alešem Baborem, MBA, předsedou představenstva</w:t>
      </w:r>
    </w:p>
    <w:p w14:paraId="58F78A5C" w14:textId="77777777" w:rsidR="00E4582B" w:rsidRPr="00DE3B37" w:rsidRDefault="0003645A">
      <w:pPr>
        <w:spacing w:line="235" w:lineRule="auto"/>
        <w:ind w:left="7"/>
      </w:pPr>
      <w:r w:rsidRPr="00DE3B37">
        <w:rPr>
          <w:rFonts w:ascii="Arial" w:eastAsia="Arial" w:hAnsi="Arial" w:cs="Arial"/>
        </w:rPr>
        <w:t>(dále také jen „</w:t>
      </w:r>
      <w:r w:rsidRPr="00DE3B37">
        <w:rPr>
          <w:rFonts w:ascii="Arial" w:eastAsia="Arial" w:hAnsi="Arial" w:cs="Arial"/>
          <w:bCs/>
        </w:rPr>
        <w:t>Příkazník</w:t>
      </w:r>
      <w:r w:rsidRPr="00DE3B37">
        <w:rPr>
          <w:rFonts w:ascii="Arial" w:eastAsia="Arial" w:hAnsi="Arial" w:cs="Arial"/>
        </w:rPr>
        <w:t>“)</w:t>
      </w:r>
    </w:p>
    <w:p w14:paraId="2B83C4D0" w14:textId="77777777" w:rsidR="00E4582B" w:rsidRPr="00DE3B37" w:rsidRDefault="00E4582B">
      <w:pPr>
        <w:spacing w:line="200" w:lineRule="exact"/>
        <w:rPr>
          <w:rFonts w:ascii="Arial" w:eastAsia="Arial" w:hAnsi="Arial" w:cs="Arial"/>
          <w:color w:val="333333"/>
        </w:rPr>
      </w:pPr>
    </w:p>
    <w:p w14:paraId="79222DC9" w14:textId="77777777" w:rsidR="00E4582B" w:rsidRPr="00DE3B37" w:rsidRDefault="00E4582B">
      <w:pPr>
        <w:spacing w:line="294" w:lineRule="exact"/>
        <w:rPr>
          <w:rFonts w:ascii="Arial" w:eastAsia="Arial" w:hAnsi="Arial" w:cs="Arial"/>
          <w:color w:val="333333"/>
        </w:rPr>
      </w:pPr>
    </w:p>
    <w:p w14:paraId="2F436A23" w14:textId="77777777" w:rsidR="00E4582B" w:rsidRPr="00DE3B37" w:rsidRDefault="0003645A">
      <w:pPr>
        <w:numPr>
          <w:ilvl w:val="0"/>
          <w:numId w:val="1"/>
        </w:numPr>
        <w:tabs>
          <w:tab w:val="left" w:pos="4607"/>
        </w:tabs>
        <w:ind w:left="4607" w:hanging="711"/>
        <w:rPr>
          <w:rFonts w:ascii="Arial" w:eastAsia="Arial" w:hAnsi="Arial" w:cs="Arial"/>
          <w:bCs/>
        </w:rPr>
      </w:pPr>
      <w:r w:rsidRPr="00DE3B37">
        <w:rPr>
          <w:rFonts w:ascii="Arial" w:eastAsia="Arial" w:hAnsi="Arial" w:cs="Arial"/>
          <w:bCs/>
        </w:rPr>
        <w:t>Preambule</w:t>
      </w:r>
    </w:p>
    <w:p w14:paraId="484B8CC4" w14:textId="77777777" w:rsidR="00E4582B" w:rsidRPr="00DE3B37" w:rsidRDefault="00E4582B">
      <w:pPr>
        <w:spacing w:line="132" w:lineRule="exact"/>
        <w:rPr>
          <w:rFonts w:ascii="Arial" w:eastAsia="Arial" w:hAnsi="Arial" w:cs="Arial"/>
          <w:color w:val="333333"/>
        </w:rPr>
      </w:pPr>
    </w:p>
    <w:p w14:paraId="1564230F" w14:textId="13BAFFBD" w:rsidR="00E4582B" w:rsidRPr="00DE3B37" w:rsidRDefault="0003645A">
      <w:pPr>
        <w:spacing w:line="237" w:lineRule="auto"/>
        <w:ind w:left="7"/>
        <w:jc w:val="both"/>
        <w:rPr>
          <w:sz w:val="20"/>
          <w:szCs w:val="20"/>
        </w:rPr>
      </w:pPr>
      <w:r w:rsidRPr="00DE3B37">
        <w:rPr>
          <w:rFonts w:ascii="Arial" w:eastAsia="Arial" w:hAnsi="Arial" w:cs="Arial"/>
        </w:rPr>
        <w:t xml:space="preserve">Příkazce má zájem nabýt své akcie na majitele, tedy zaknihované kmenové akcie, ISIN CZ0009064952 emitované společností </w:t>
      </w:r>
      <w:r w:rsidRPr="00DE3B37">
        <w:rPr>
          <w:rFonts w:ascii="Arial" w:eastAsia="Arial" w:hAnsi="Arial" w:cs="Arial"/>
          <w:bCs/>
          <w:color w:val="333333"/>
        </w:rPr>
        <w:t>Vodovody a kanalizace Břeclav, a.s.</w:t>
      </w:r>
      <w:r w:rsidRPr="00DE3B37">
        <w:rPr>
          <w:rFonts w:ascii="Arial" w:eastAsia="Arial" w:hAnsi="Arial" w:cs="Arial"/>
        </w:rPr>
        <w:t xml:space="preserve"> (dále také jen „</w:t>
      </w:r>
      <w:r w:rsidRPr="00DE3B37">
        <w:rPr>
          <w:rFonts w:ascii="Arial" w:eastAsia="Arial" w:hAnsi="Arial" w:cs="Arial"/>
          <w:bCs/>
        </w:rPr>
        <w:t>Cílová společnost</w:t>
      </w:r>
      <w:r w:rsidRPr="00DE3B37">
        <w:rPr>
          <w:rFonts w:ascii="Arial" w:eastAsia="Arial" w:hAnsi="Arial" w:cs="Arial"/>
        </w:rPr>
        <w:t>“ nebo „</w:t>
      </w:r>
      <w:r w:rsidRPr="00DE3B37">
        <w:rPr>
          <w:rFonts w:ascii="Arial" w:eastAsia="Arial" w:hAnsi="Arial" w:cs="Arial"/>
          <w:bCs/>
        </w:rPr>
        <w:t>Emitent</w:t>
      </w:r>
      <w:r w:rsidRPr="00DE3B37">
        <w:rPr>
          <w:rFonts w:ascii="Arial" w:eastAsia="Arial" w:hAnsi="Arial" w:cs="Arial"/>
        </w:rPr>
        <w:t>“), každá o jmenovité hodnotě =1.000,- Kč (dále také jen „</w:t>
      </w:r>
      <w:r w:rsidRPr="00DE3B37">
        <w:rPr>
          <w:rFonts w:ascii="Arial" w:eastAsia="Arial" w:hAnsi="Arial" w:cs="Arial"/>
          <w:bCs/>
        </w:rPr>
        <w:t>Akcie</w:t>
      </w:r>
      <w:r w:rsidR="00717E2D" w:rsidRPr="00DE3B37">
        <w:rPr>
          <w:rFonts w:ascii="Arial" w:eastAsia="Arial" w:hAnsi="Arial" w:cs="Arial"/>
        </w:rPr>
        <w:t>“), které nejsou ve vlastnictví měst a obcí.</w:t>
      </w:r>
    </w:p>
    <w:p w14:paraId="3DA1A07C" w14:textId="77777777" w:rsidR="00E4582B" w:rsidRPr="00DE3B37" w:rsidRDefault="00E4582B">
      <w:pPr>
        <w:spacing w:line="12" w:lineRule="exact"/>
        <w:rPr>
          <w:rFonts w:ascii="Arial" w:eastAsia="Arial" w:hAnsi="Arial" w:cs="Arial"/>
          <w:color w:val="333333"/>
        </w:rPr>
      </w:pPr>
    </w:p>
    <w:p w14:paraId="7C968B10" w14:textId="77777777" w:rsidR="00E4582B" w:rsidRPr="00DE3B37" w:rsidRDefault="0003645A">
      <w:pPr>
        <w:spacing w:line="236" w:lineRule="auto"/>
        <w:ind w:left="7"/>
        <w:jc w:val="both"/>
        <w:rPr>
          <w:sz w:val="20"/>
          <w:szCs w:val="20"/>
        </w:rPr>
      </w:pPr>
      <w:r w:rsidRPr="00DE3B37">
        <w:rPr>
          <w:rFonts w:ascii="Arial" w:eastAsia="Arial" w:hAnsi="Arial" w:cs="Arial"/>
        </w:rPr>
        <w:t>Příkazník je obchodní společnost CENTIN, a.s., pověřená, aby provedla jménem Příkazce veškeré administrativní úkony spojené s nákupem cenných papírů Emitenta</w:t>
      </w:r>
    </w:p>
    <w:p w14:paraId="3661D2BC" w14:textId="77777777" w:rsidR="00E4582B" w:rsidRPr="00DE3B37" w:rsidRDefault="00E4582B">
      <w:pPr>
        <w:spacing w:line="238" w:lineRule="exact"/>
        <w:rPr>
          <w:rFonts w:ascii="Arial" w:eastAsia="Arial" w:hAnsi="Arial" w:cs="Arial"/>
          <w:color w:val="333333"/>
        </w:rPr>
      </w:pPr>
    </w:p>
    <w:p w14:paraId="61DE3BC1" w14:textId="77777777" w:rsidR="00E4582B" w:rsidRPr="00DE3B37" w:rsidRDefault="0003645A">
      <w:pPr>
        <w:numPr>
          <w:ilvl w:val="0"/>
          <w:numId w:val="2"/>
        </w:numPr>
        <w:tabs>
          <w:tab w:val="left" w:pos="4267"/>
        </w:tabs>
        <w:ind w:left="4267" w:hanging="724"/>
        <w:rPr>
          <w:rFonts w:ascii="Arial" w:eastAsia="Arial" w:hAnsi="Arial" w:cs="Arial"/>
          <w:bCs/>
        </w:rPr>
      </w:pPr>
      <w:r w:rsidRPr="00DE3B37">
        <w:rPr>
          <w:rFonts w:ascii="Arial" w:eastAsia="Arial" w:hAnsi="Arial" w:cs="Arial"/>
          <w:bCs/>
        </w:rPr>
        <w:t>Předmět smlouvy</w:t>
      </w:r>
    </w:p>
    <w:p w14:paraId="25A74391" w14:textId="77777777" w:rsidR="00E4582B" w:rsidRPr="00DE3B37" w:rsidRDefault="00E4582B">
      <w:pPr>
        <w:spacing w:line="132" w:lineRule="exact"/>
        <w:rPr>
          <w:rFonts w:ascii="Arial" w:eastAsia="Arial" w:hAnsi="Arial" w:cs="Arial"/>
          <w:color w:val="333333"/>
        </w:rPr>
      </w:pPr>
    </w:p>
    <w:p w14:paraId="1CD7CD19" w14:textId="77777777" w:rsidR="00E4582B" w:rsidRPr="00DE3B37" w:rsidRDefault="0003645A">
      <w:pPr>
        <w:spacing w:line="238" w:lineRule="auto"/>
        <w:ind w:left="7"/>
        <w:jc w:val="both"/>
        <w:rPr>
          <w:sz w:val="20"/>
          <w:szCs w:val="20"/>
        </w:rPr>
      </w:pPr>
      <w:r w:rsidRPr="00DE3B37">
        <w:rPr>
          <w:rFonts w:ascii="Arial" w:eastAsia="Arial" w:hAnsi="Arial" w:cs="Arial"/>
        </w:rPr>
        <w:t>Příkazník se zavazuje, jménem příkazce a na jeho účet zajistit uzavření kupních smluv týkajících se Akcií emitovaných Příkazcem. Příkazce prohlašuje, že veškeré aktivity vedoucí k uzavírání těchto smluv, jakož i jejich vlastní uzavírání, jsou a budou prováděny v souladu se zákonem, za což nese plnou odpovědnost. Kupní smlouvy budou uzavírány výhradně ve znění odsouhlaseném příkazcem.</w:t>
      </w:r>
    </w:p>
    <w:p w14:paraId="1DE3ED22" w14:textId="77777777" w:rsidR="00E4582B" w:rsidRPr="00DE3B37" w:rsidRDefault="00E4582B">
      <w:pPr>
        <w:spacing w:line="263" w:lineRule="exact"/>
        <w:rPr>
          <w:rFonts w:ascii="Arial" w:eastAsia="Arial" w:hAnsi="Arial" w:cs="Arial"/>
          <w:color w:val="333333"/>
        </w:rPr>
      </w:pPr>
    </w:p>
    <w:p w14:paraId="4C0CFBE8" w14:textId="77777777" w:rsidR="00E4582B" w:rsidRPr="00DE3B37" w:rsidRDefault="0003645A">
      <w:pPr>
        <w:spacing w:line="235" w:lineRule="auto"/>
        <w:ind w:left="7"/>
        <w:jc w:val="both"/>
        <w:rPr>
          <w:sz w:val="20"/>
          <w:szCs w:val="20"/>
        </w:rPr>
      </w:pPr>
      <w:r w:rsidRPr="00DE3B37">
        <w:rPr>
          <w:rFonts w:ascii="Arial" w:eastAsia="Arial" w:hAnsi="Arial" w:cs="Arial"/>
        </w:rPr>
        <w:t>Jedná se konkrétně o cílené oslovení stávající majitelů cenných papírů Emitenta a vypořádání realizace kupních smluv o koupi Akcií, kdy</w:t>
      </w:r>
    </w:p>
    <w:p w14:paraId="2928C2DB" w14:textId="67EF34E4" w:rsidR="00E4582B" w:rsidRPr="00DE3B37" w:rsidRDefault="0003645A">
      <w:pPr>
        <w:numPr>
          <w:ilvl w:val="0"/>
          <w:numId w:val="3"/>
        </w:numPr>
        <w:tabs>
          <w:tab w:val="left" w:pos="727"/>
        </w:tabs>
        <w:spacing w:line="238" w:lineRule="auto"/>
        <w:ind w:left="727" w:hanging="367"/>
        <w:rPr>
          <w:rFonts w:ascii="Symbol" w:eastAsia="Symbol" w:hAnsi="Symbol" w:cs="Symbol"/>
        </w:rPr>
      </w:pPr>
      <w:r w:rsidRPr="00DE3B37">
        <w:rPr>
          <w:rFonts w:ascii="Arial" w:eastAsia="Arial" w:hAnsi="Arial" w:cs="Arial"/>
        </w:rPr>
        <w:t xml:space="preserve">kupní cena za jeden kus Akcie činí </w:t>
      </w:r>
      <w:r w:rsidR="0050003B" w:rsidRPr="00DE3B37">
        <w:rPr>
          <w:rFonts w:ascii="Arial" w:eastAsia="Arial" w:hAnsi="Arial" w:cs="Arial"/>
          <w:bCs/>
        </w:rPr>
        <w:t>6</w:t>
      </w:r>
      <w:r w:rsidRPr="00DE3B37">
        <w:rPr>
          <w:rFonts w:ascii="Arial" w:eastAsia="Arial" w:hAnsi="Arial" w:cs="Arial"/>
          <w:bCs/>
        </w:rPr>
        <w:t>00,-</w:t>
      </w:r>
      <w:r w:rsidRPr="00DE3B37">
        <w:rPr>
          <w:rFonts w:ascii="Arial" w:eastAsia="Arial" w:hAnsi="Arial" w:cs="Arial"/>
        </w:rPr>
        <w:t xml:space="preserve"> </w:t>
      </w:r>
      <w:r w:rsidRPr="00DE3B37">
        <w:rPr>
          <w:rFonts w:ascii="Arial" w:eastAsia="Arial" w:hAnsi="Arial" w:cs="Arial"/>
          <w:bCs/>
        </w:rPr>
        <w:t>Kč</w:t>
      </w:r>
      <w:r w:rsidRPr="00DE3B37">
        <w:rPr>
          <w:rFonts w:ascii="Arial" w:eastAsia="Arial" w:hAnsi="Arial" w:cs="Arial"/>
        </w:rPr>
        <w:t xml:space="preserve"> </w:t>
      </w:r>
      <w:r w:rsidRPr="00DE3B37">
        <w:rPr>
          <w:rFonts w:ascii="Arial" w:eastAsia="Arial" w:hAnsi="Arial" w:cs="Arial"/>
          <w:bCs/>
        </w:rPr>
        <w:t>(slovy</w:t>
      </w:r>
      <w:r w:rsidRPr="00DE3B37">
        <w:rPr>
          <w:rFonts w:ascii="Arial" w:eastAsia="Arial" w:hAnsi="Arial" w:cs="Arial"/>
        </w:rPr>
        <w:t xml:space="preserve"> </w:t>
      </w:r>
      <w:r w:rsidR="0050003B" w:rsidRPr="00DE3B37">
        <w:rPr>
          <w:rFonts w:ascii="Arial" w:eastAsia="Arial" w:hAnsi="Arial" w:cs="Arial"/>
          <w:bCs/>
        </w:rPr>
        <w:t>šest</w:t>
      </w:r>
      <w:r w:rsidRPr="00DE3B37">
        <w:rPr>
          <w:rFonts w:ascii="Arial" w:eastAsia="Arial" w:hAnsi="Arial" w:cs="Arial"/>
          <w:bCs/>
        </w:rPr>
        <w:t>setkorun českých</w:t>
      </w:r>
      <w:r w:rsidRPr="00DE3B37">
        <w:rPr>
          <w:rFonts w:ascii="Arial" w:eastAsia="Arial" w:hAnsi="Arial" w:cs="Arial"/>
        </w:rPr>
        <w:t>)</w:t>
      </w:r>
    </w:p>
    <w:p w14:paraId="1BC821A7" w14:textId="77777777" w:rsidR="00E4582B" w:rsidRPr="00DE3B37" w:rsidRDefault="00E4582B">
      <w:pPr>
        <w:spacing w:line="255" w:lineRule="exact"/>
        <w:rPr>
          <w:rFonts w:ascii="Arial" w:eastAsia="Arial" w:hAnsi="Arial" w:cs="Arial"/>
          <w:color w:val="333333"/>
        </w:rPr>
      </w:pPr>
    </w:p>
    <w:p w14:paraId="67BFD231" w14:textId="77777777" w:rsidR="00E4582B" w:rsidRPr="00DE3B37" w:rsidRDefault="0003645A">
      <w:pPr>
        <w:ind w:left="7"/>
        <w:rPr>
          <w:sz w:val="20"/>
          <w:szCs w:val="20"/>
        </w:rPr>
      </w:pPr>
      <w:r w:rsidRPr="00DE3B37">
        <w:rPr>
          <w:rFonts w:ascii="Arial" w:eastAsia="Arial" w:hAnsi="Arial" w:cs="Arial"/>
        </w:rPr>
        <w:t>Příkazník se dále zavazuje uskutečnit pro příkazce tyto činnosti k dosažení tohoto výsledku:</w:t>
      </w:r>
    </w:p>
    <w:p w14:paraId="44EF896D" w14:textId="77777777" w:rsidR="00E4582B" w:rsidRPr="00DE3B37" w:rsidRDefault="00E4582B">
      <w:pPr>
        <w:spacing w:line="23" w:lineRule="exact"/>
        <w:rPr>
          <w:rFonts w:ascii="Arial" w:eastAsia="Arial" w:hAnsi="Arial" w:cs="Arial"/>
          <w:color w:val="333333"/>
        </w:rPr>
      </w:pPr>
    </w:p>
    <w:p w14:paraId="3477FC74" w14:textId="77777777" w:rsidR="00E4582B" w:rsidRPr="00DE3B37" w:rsidRDefault="0003645A">
      <w:pPr>
        <w:numPr>
          <w:ilvl w:val="0"/>
          <w:numId w:val="4"/>
        </w:numPr>
        <w:tabs>
          <w:tab w:val="left" w:pos="367"/>
        </w:tabs>
        <w:spacing w:line="232" w:lineRule="auto"/>
        <w:ind w:left="367" w:hanging="367"/>
        <w:jc w:val="both"/>
        <w:rPr>
          <w:rFonts w:ascii="Symbol" w:eastAsia="Symbol" w:hAnsi="Symbol" w:cs="Symbol"/>
        </w:rPr>
      </w:pPr>
      <w:r w:rsidRPr="00DE3B37">
        <w:rPr>
          <w:rFonts w:ascii="Arial" w:eastAsia="Arial" w:hAnsi="Arial" w:cs="Arial"/>
        </w:rPr>
        <w:t>zajištění vlastních převodů cenných papírů v Centrálním depozitáři cenných papírů, a.s. (dále také jen „</w:t>
      </w:r>
      <w:r w:rsidRPr="00DE3B37">
        <w:rPr>
          <w:rFonts w:ascii="Arial" w:eastAsia="Arial" w:hAnsi="Arial" w:cs="Arial"/>
          <w:bCs/>
        </w:rPr>
        <w:t>CDCP</w:t>
      </w:r>
      <w:r w:rsidRPr="00DE3B37">
        <w:rPr>
          <w:rFonts w:ascii="Arial" w:eastAsia="Arial" w:hAnsi="Arial" w:cs="Arial"/>
        </w:rPr>
        <w:t>“) prostřednictvím účastníka CDCP na základě řádně uzavřených kupních smluv a smluv/pokynů Zájemců (prodávajících) Příkazníkovi</w:t>
      </w:r>
    </w:p>
    <w:p w14:paraId="7A1CD085" w14:textId="77777777" w:rsidR="00E4582B" w:rsidRPr="00DE3B37" w:rsidRDefault="00E4582B">
      <w:pPr>
        <w:spacing w:line="25" w:lineRule="exact"/>
        <w:rPr>
          <w:rFonts w:ascii="Symbol" w:eastAsia="Symbol" w:hAnsi="Symbol" w:cs="Symbol"/>
        </w:rPr>
      </w:pPr>
    </w:p>
    <w:p w14:paraId="3E786B1D" w14:textId="77777777" w:rsidR="00E4582B" w:rsidRPr="00DE3B37" w:rsidRDefault="0003645A">
      <w:pPr>
        <w:numPr>
          <w:ilvl w:val="0"/>
          <w:numId w:val="4"/>
        </w:numPr>
        <w:tabs>
          <w:tab w:val="left" w:pos="367"/>
        </w:tabs>
        <w:spacing w:line="228" w:lineRule="auto"/>
        <w:ind w:left="367" w:hanging="367"/>
        <w:rPr>
          <w:rFonts w:ascii="Symbol" w:eastAsia="Symbol" w:hAnsi="Symbol" w:cs="Symbol"/>
        </w:rPr>
      </w:pPr>
      <w:r w:rsidRPr="00DE3B37">
        <w:rPr>
          <w:rFonts w:ascii="Arial" w:eastAsia="Arial" w:hAnsi="Arial" w:cs="Arial"/>
        </w:rPr>
        <w:t>informovat příkazce do 3 pracovních dnů o provedeném převodu cenných papírů na jeho účet v CDCP</w:t>
      </w:r>
    </w:p>
    <w:p w14:paraId="2CB2077C" w14:textId="77777777" w:rsidR="00E4582B" w:rsidRPr="00DE3B37" w:rsidRDefault="0003645A">
      <w:pPr>
        <w:numPr>
          <w:ilvl w:val="0"/>
          <w:numId w:val="4"/>
        </w:numPr>
        <w:tabs>
          <w:tab w:val="left" w:pos="367"/>
        </w:tabs>
        <w:ind w:left="367" w:hanging="367"/>
        <w:rPr>
          <w:rFonts w:ascii="Symbol" w:eastAsia="Symbol" w:hAnsi="Symbol" w:cs="Symbol"/>
        </w:rPr>
      </w:pPr>
      <w:r w:rsidRPr="00DE3B37">
        <w:rPr>
          <w:rFonts w:ascii="Arial" w:eastAsia="Arial" w:hAnsi="Arial" w:cs="Arial"/>
        </w:rPr>
        <w:t>vyúčtování převodů, nákladů a odměny a předání originálů kupních smluv Příkazci</w:t>
      </w:r>
    </w:p>
    <w:p w14:paraId="44D5F29E" w14:textId="77777777" w:rsidR="00E4582B" w:rsidRPr="00DE3B37" w:rsidRDefault="00E4582B">
      <w:pPr>
        <w:spacing w:line="261" w:lineRule="exact"/>
        <w:rPr>
          <w:rFonts w:ascii="Arial" w:eastAsia="Arial" w:hAnsi="Arial" w:cs="Arial"/>
          <w:color w:val="333333"/>
        </w:rPr>
      </w:pPr>
    </w:p>
    <w:p w14:paraId="5EC977AE" w14:textId="77777777" w:rsidR="00E4582B" w:rsidRPr="00DE3B37" w:rsidRDefault="0003645A">
      <w:pPr>
        <w:spacing w:line="237" w:lineRule="auto"/>
        <w:ind w:left="7"/>
        <w:jc w:val="both"/>
        <w:rPr>
          <w:sz w:val="20"/>
          <w:szCs w:val="20"/>
        </w:rPr>
      </w:pPr>
      <w:r w:rsidRPr="00DE3B37">
        <w:rPr>
          <w:rFonts w:ascii="Arial" w:eastAsia="Arial" w:hAnsi="Arial" w:cs="Arial"/>
        </w:rPr>
        <w:t>Příkazce se zavazuje zaplatit Příkazníkovi za tuto činnost odměnu a uhradit náklady ve výši dle bodu III. této smlouvy. Příkazce se dále zavazuje poskytnout Příkazníkovi veškerou potřebnou součinnost potřebnou k plnění dle této smlouvy, zejména vystavit speciální plné moci pro jednání s účastníkem CDCP a ke všem úkonům potřebným pro plnění dle této smlouvy.</w:t>
      </w:r>
    </w:p>
    <w:p w14:paraId="720137B5" w14:textId="77777777" w:rsidR="00E4582B" w:rsidRPr="00DE3B37" w:rsidRDefault="00E4582B">
      <w:pPr>
        <w:sectPr w:rsidR="00E4582B" w:rsidRPr="00DE3B37">
          <w:pgSz w:w="11900" w:h="16838"/>
          <w:pgMar w:top="1127" w:right="1126" w:bottom="149" w:left="1133" w:header="0" w:footer="0" w:gutter="0"/>
          <w:cols w:space="708" w:equalWidth="0">
            <w:col w:w="9647"/>
          </w:cols>
        </w:sectPr>
      </w:pPr>
    </w:p>
    <w:p w14:paraId="33C3115E" w14:textId="77777777" w:rsidR="00E4582B" w:rsidRPr="00DE3B37" w:rsidRDefault="00E4582B">
      <w:pPr>
        <w:spacing w:line="325" w:lineRule="exact"/>
        <w:rPr>
          <w:rFonts w:ascii="Arial" w:eastAsia="Arial" w:hAnsi="Arial" w:cs="Arial"/>
          <w:color w:val="333333"/>
        </w:rPr>
      </w:pPr>
    </w:p>
    <w:p w14:paraId="5D7E0B4E" w14:textId="77777777" w:rsidR="00E4582B" w:rsidRPr="00DE3B37" w:rsidRDefault="0003645A">
      <w:pPr>
        <w:ind w:right="-6"/>
        <w:jc w:val="center"/>
        <w:rPr>
          <w:sz w:val="20"/>
          <w:szCs w:val="20"/>
        </w:rPr>
      </w:pPr>
      <w:r w:rsidRPr="00DE3B37">
        <w:rPr>
          <w:rFonts w:eastAsia="Times New Roman"/>
          <w:sz w:val="20"/>
          <w:szCs w:val="20"/>
        </w:rPr>
        <w:t xml:space="preserve">Strana 1 </w:t>
      </w:r>
      <w:proofErr w:type="gramStart"/>
      <w:r w:rsidRPr="00DE3B37">
        <w:rPr>
          <w:rFonts w:eastAsia="Times New Roman"/>
          <w:sz w:val="20"/>
          <w:szCs w:val="20"/>
        </w:rPr>
        <w:t>ze</w:t>
      </w:r>
      <w:proofErr w:type="gramEnd"/>
      <w:r w:rsidRPr="00DE3B37">
        <w:rPr>
          <w:rFonts w:eastAsia="Times New Roman"/>
          <w:sz w:val="20"/>
          <w:szCs w:val="20"/>
        </w:rPr>
        <w:t xml:space="preserve"> 2</w:t>
      </w:r>
    </w:p>
    <w:p w14:paraId="4784861A" w14:textId="77777777" w:rsidR="00E4582B" w:rsidRPr="00DE3B37" w:rsidRDefault="00E4582B"/>
    <w:p w14:paraId="3BED5866" w14:textId="77777777" w:rsidR="00B425AD" w:rsidRPr="00DE3B37" w:rsidRDefault="00B425AD"/>
    <w:p w14:paraId="1B65167A" w14:textId="77777777" w:rsidR="00B425AD" w:rsidRPr="00DE3B37" w:rsidRDefault="00B425AD">
      <w:pPr>
        <w:sectPr w:rsidR="00B425AD" w:rsidRPr="00DE3B37">
          <w:type w:val="continuous"/>
          <w:pgSz w:w="11900" w:h="16838"/>
          <w:pgMar w:top="1127" w:right="1126" w:bottom="149" w:left="1133" w:header="0" w:footer="0" w:gutter="0"/>
          <w:cols w:space="708" w:equalWidth="0">
            <w:col w:w="9647"/>
          </w:cols>
        </w:sectPr>
      </w:pPr>
    </w:p>
    <w:p w14:paraId="42197A52" w14:textId="77777777" w:rsidR="00E4582B" w:rsidRPr="00DE3B37" w:rsidRDefault="0003645A">
      <w:pPr>
        <w:numPr>
          <w:ilvl w:val="0"/>
          <w:numId w:val="5"/>
        </w:numPr>
        <w:tabs>
          <w:tab w:val="left" w:pos="4200"/>
        </w:tabs>
        <w:ind w:left="4200" w:hanging="719"/>
        <w:rPr>
          <w:rFonts w:ascii="Arial" w:eastAsia="Arial" w:hAnsi="Arial" w:cs="Arial"/>
          <w:bCs/>
        </w:rPr>
      </w:pPr>
      <w:bookmarkStart w:id="2" w:name="page2"/>
      <w:bookmarkEnd w:id="2"/>
      <w:r w:rsidRPr="00DE3B37">
        <w:rPr>
          <w:rFonts w:ascii="Arial" w:eastAsia="Arial" w:hAnsi="Arial" w:cs="Arial"/>
          <w:bCs/>
        </w:rPr>
        <w:lastRenderedPageBreak/>
        <w:t>Odměna a náklady</w:t>
      </w:r>
    </w:p>
    <w:p w14:paraId="667684B0" w14:textId="77777777" w:rsidR="00E4582B" w:rsidRPr="00DE3B37" w:rsidRDefault="00E4582B">
      <w:pPr>
        <w:spacing w:line="132" w:lineRule="exact"/>
        <w:rPr>
          <w:sz w:val="20"/>
          <w:szCs w:val="20"/>
        </w:rPr>
      </w:pPr>
    </w:p>
    <w:p w14:paraId="6BCD392A" w14:textId="7938A641" w:rsidR="00E4582B" w:rsidRPr="00DE3B37" w:rsidRDefault="0003645A">
      <w:pPr>
        <w:spacing w:line="235" w:lineRule="auto"/>
        <w:jc w:val="both"/>
        <w:rPr>
          <w:sz w:val="20"/>
          <w:szCs w:val="20"/>
        </w:rPr>
      </w:pPr>
      <w:r w:rsidRPr="00DE3B37">
        <w:rPr>
          <w:rFonts w:ascii="Arial" w:eastAsia="Arial" w:hAnsi="Arial" w:cs="Arial"/>
        </w:rPr>
        <w:t xml:space="preserve">Odměna Příkazníkovi je stanovena dohodou smluvních stran a činí </w:t>
      </w:r>
      <w:r w:rsidR="00C157B9" w:rsidRPr="00C157B9">
        <w:rPr>
          <w:rFonts w:ascii="Arial" w:eastAsia="Arial" w:hAnsi="Arial" w:cs="Arial"/>
          <w:highlight w:val="black"/>
        </w:rPr>
        <w:t>………</w:t>
      </w:r>
      <w:r w:rsidRPr="00DE3B37">
        <w:rPr>
          <w:rFonts w:ascii="Arial" w:eastAsia="Arial" w:hAnsi="Arial" w:cs="Arial"/>
        </w:rPr>
        <w:t xml:space="preserve"> z kupní ceny realizovaných (převedených) Akcíí Emitenta.</w:t>
      </w:r>
    </w:p>
    <w:p w14:paraId="3B16E94F" w14:textId="77777777" w:rsidR="00E4582B" w:rsidRPr="00DE3B37" w:rsidRDefault="00E4582B">
      <w:pPr>
        <w:spacing w:line="11" w:lineRule="exact"/>
        <w:rPr>
          <w:sz w:val="20"/>
          <w:szCs w:val="20"/>
        </w:rPr>
      </w:pPr>
    </w:p>
    <w:p w14:paraId="790148A6" w14:textId="10C1D65D" w:rsidR="00E4582B" w:rsidRPr="00DE3B37" w:rsidRDefault="0003645A">
      <w:pPr>
        <w:spacing w:line="237" w:lineRule="auto"/>
        <w:jc w:val="both"/>
        <w:rPr>
          <w:sz w:val="20"/>
          <w:szCs w:val="20"/>
        </w:rPr>
      </w:pPr>
      <w:r w:rsidRPr="00DE3B37">
        <w:rPr>
          <w:rFonts w:ascii="Arial" w:eastAsia="Arial" w:hAnsi="Arial" w:cs="Arial"/>
        </w:rPr>
        <w:t xml:space="preserve">Náklady za vypracování sdělení akcionářům držícím akcie na majitele včetně návrhu na uzavření smlouvy o převodu akcií odeslané doporučeným dopisem s dodejkou se sjednávají ve výši </w:t>
      </w:r>
      <w:r w:rsidR="00C157B9" w:rsidRPr="00C157B9">
        <w:rPr>
          <w:rFonts w:ascii="Arial" w:eastAsia="Arial" w:hAnsi="Arial" w:cs="Arial"/>
          <w:highlight w:val="black"/>
        </w:rPr>
        <w:t>………</w:t>
      </w:r>
      <w:proofErr w:type="gramStart"/>
      <w:r w:rsidR="00C157B9" w:rsidRPr="00C157B9">
        <w:rPr>
          <w:rFonts w:ascii="Arial" w:eastAsia="Arial" w:hAnsi="Arial" w:cs="Arial"/>
          <w:highlight w:val="black"/>
        </w:rPr>
        <w:t>…..</w:t>
      </w:r>
      <w:r w:rsidR="00C157B9">
        <w:rPr>
          <w:rFonts w:ascii="Arial" w:eastAsia="Arial" w:hAnsi="Arial" w:cs="Arial"/>
        </w:rPr>
        <w:t xml:space="preserve"> </w:t>
      </w:r>
      <w:r w:rsidRPr="00DE3B37">
        <w:rPr>
          <w:rFonts w:ascii="Arial" w:eastAsia="Arial" w:hAnsi="Arial" w:cs="Arial"/>
        </w:rPr>
        <w:t xml:space="preserve"> za</w:t>
      </w:r>
      <w:proofErr w:type="gramEnd"/>
      <w:r w:rsidRPr="00DE3B37">
        <w:rPr>
          <w:rFonts w:ascii="Arial" w:eastAsia="Arial" w:hAnsi="Arial" w:cs="Arial"/>
        </w:rPr>
        <w:t xml:space="preserve"> každého obeslaného akcionáře.</w:t>
      </w:r>
    </w:p>
    <w:p w14:paraId="414CF70D" w14:textId="77777777" w:rsidR="00E4582B" w:rsidRPr="00DE3B37" w:rsidRDefault="00E4582B">
      <w:pPr>
        <w:spacing w:line="9" w:lineRule="exact"/>
        <w:rPr>
          <w:sz w:val="20"/>
          <w:szCs w:val="20"/>
        </w:rPr>
      </w:pPr>
    </w:p>
    <w:p w14:paraId="40AE732E" w14:textId="26E3050B" w:rsidR="00E4582B" w:rsidRPr="00DE3B37" w:rsidRDefault="0003645A">
      <w:pPr>
        <w:spacing w:line="235" w:lineRule="auto"/>
        <w:jc w:val="both"/>
        <w:rPr>
          <w:sz w:val="20"/>
          <w:szCs w:val="20"/>
        </w:rPr>
      </w:pPr>
      <w:r w:rsidRPr="00DE3B37">
        <w:rPr>
          <w:rFonts w:ascii="Arial" w:eastAsia="Arial" w:hAnsi="Arial" w:cs="Arial"/>
        </w:rPr>
        <w:t xml:space="preserve">Náklady za realizaci uzavření kupní smlouvy každého akcionáře se sjednávají ve výši </w:t>
      </w:r>
      <w:r w:rsidR="00C157B9" w:rsidRPr="00C157B9">
        <w:rPr>
          <w:rFonts w:ascii="Arial" w:eastAsia="Arial" w:hAnsi="Arial" w:cs="Arial"/>
          <w:highlight w:val="black"/>
        </w:rPr>
        <w:t>…………….</w:t>
      </w:r>
    </w:p>
    <w:p w14:paraId="7F859428" w14:textId="77777777" w:rsidR="00E4582B" w:rsidRPr="00DE3B37" w:rsidRDefault="00E4582B">
      <w:pPr>
        <w:spacing w:line="11" w:lineRule="exact"/>
        <w:rPr>
          <w:sz w:val="20"/>
          <w:szCs w:val="20"/>
        </w:rPr>
      </w:pPr>
    </w:p>
    <w:p w14:paraId="4291CAAD" w14:textId="74F364C9" w:rsidR="00E4582B" w:rsidRPr="00DE3B37" w:rsidRDefault="0003645A">
      <w:pPr>
        <w:spacing w:line="237" w:lineRule="auto"/>
        <w:rPr>
          <w:rFonts w:ascii="Arial" w:eastAsia="Arial" w:hAnsi="Arial" w:cs="Arial"/>
        </w:rPr>
      </w:pPr>
      <w:r w:rsidRPr="00DE3B37">
        <w:rPr>
          <w:rFonts w:ascii="Arial" w:eastAsia="Arial" w:hAnsi="Arial" w:cs="Arial"/>
        </w:rPr>
        <w:t xml:space="preserve">Náklady na vypořádání převodu Akcií v CDCP prostřednictvím účastníka CDCP činí </w:t>
      </w:r>
      <w:r w:rsidR="00C157B9" w:rsidRPr="00C157B9">
        <w:rPr>
          <w:rFonts w:ascii="Arial" w:eastAsia="Arial" w:hAnsi="Arial" w:cs="Arial"/>
          <w:highlight w:val="black"/>
        </w:rPr>
        <w:t>………………</w:t>
      </w:r>
      <w:r w:rsidRPr="00DE3B37">
        <w:rPr>
          <w:rFonts w:ascii="Arial" w:eastAsia="Arial" w:hAnsi="Arial" w:cs="Arial"/>
        </w:rPr>
        <w:t xml:space="preserve"> a za zajištění převodu každého jednoho akcionáře. K výše uvedeným cenám bude připočteno DPH v zákonné výši.</w:t>
      </w:r>
    </w:p>
    <w:p w14:paraId="126BD3EC" w14:textId="4DADC4CC" w:rsidR="0058731F" w:rsidRPr="00DE3B37" w:rsidRDefault="0058731F">
      <w:pPr>
        <w:spacing w:line="237" w:lineRule="auto"/>
        <w:rPr>
          <w:rFonts w:ascii="Arial" w:eastAsia="Arial" w:hAnsi="Arial" w:cs="Arial"/>
        </w:rPr>
      </w:pPr>
    </w:p>
    <w:p w14:paraId="1E63AB91" w14:textId="1EEC0C72" w:rsidR="0058731F" w:rsidRPr="00DE3B37" w:rsidRDefault="0058731F">
      <w:pPr>
        <w:spacing w:line="237" w:lineRule="auto"/>
        <w:rPr>
          <w:rFonts w:ascii="Arial" w:eastAsia="Arial" w:hAnsi="Arial" w:cs="Arial"/>
        </w:rPr>
      </w:pPr>
      <w:r w:rsidRPr="00DE3B37">
        <w:rPr>
          <w:rFonts w:ascii="Arial" w:eastAsia="Arial" w:hAnsi="Arial" w:cs="Arial"/>
        </w:rPr>
        <w:t>Odměna Příkazníka a náklady budou vyúčtovány vždy měsíčně do 10 dnů od skončení měsíce, kterého se odměna a náklady týkají.</w:t>
      </w:r>
    </w:p>
    <w:p w14:paraId="6E192A55" w14:textId="77777777" w:rsidR="00E4582B" w:rsidRPr="00DE3B37" w:rsidRDefault="00E4582B">
      <w:pPr>
        <w:spacing w:line="238" w:lineRule="exact"/>
        <w:rPr>
          <w:sz w:val="20"/>
          <w:szCs w:val="20"/>
        </w:rPr>
      </w:pPr>
    </w:p>
    <w:p w14:paraId="5679F6C3" w14:textId="77777777" w:rsidR="00E4582B" w:rsidRPr="00DE3B37" w:rsidRDefault="0003645A">
      <w:pPr>
        <w:tabs>
          <w:tab w:val="left" w:pos="4080"/>
        </w:tabs>
        <w:ind w:left="3380"/>
        <w:rPr>
          <w:sz w:val="20"/>
          <w:szCs w:val="20"/>
        </w:rPr>
      </w:pPr>
      <w:r w:rsidRPr="00DE3B37">
        <w:rPr>
          <w:rFonts w:ascii="Arial" w:eastAsia="Arial" w:hAnsi="Arial" w:cs="Arial"/>
          <w:bCs/>
        </w:rPr>
        <w:t>IV.</w:t>
      </w:r>
      <w:r w:rsidRPr="00DE3B37">
        <w:rPr>
          <w:sz w:val="20"/>
          <w:szCs w:val="20"/>
        </w:rPr>
        <w:tab/>
      </w:r>
      <w:r w:rsidRPr="00DE3B37">
        <w:rPr>
          <w:rFonts w:ascii="Arial" w:eastAsia="Arial" w:hAnsi="Arial" w:cs="Arial"/>
          <w:bCs/>
        </w:rPr>
        <w:t>Zálohy a vypořádání</w:t>
      </w:r>
    </w:p>
    <w:p w14:paraId="1FFC88A8" w14:textId="77777777" w:rsidR="00E4582B" w:rsidRPr="00DE3B37" w:rsidRDefault="00E4582B">
      <w:pPr>
        <w:spacing w:line="130" w:lineRule="exact"/>
        <w:rPr>
          <w:sz w:val="20"/>
          <w:szCs w:val="20"/>
        </w:rPr>
      </w:pPr>
    </w:p>
    <w:p w14:paraId="36136B80" w14:textId="20DDAB31" w:rsidR="00E4582B" w:rsidRPr="00DE3B37" w:rsidRDefault="0003645A">
      <w:pPr>
        <w:spacing w:line="237" w:lineRule="auto"/>
        <w:jc w:val="both"/>
        <w:rPr>
          <w:rFonts w:ascii="Arial" w:eastAsia="Arial" w:hAnsi="Arial" w:cs="Arial"/>
        </w:rPr>
      </w:pPr>
      <w:r w:rsidRPr="00DE3B37">
        <w:rPr>
          <w:rFonts w:ascii="Arial" w:eastAsia="Arial" w:hAnsi="Arial" w:cs="Arial"/>
        </w:rPr>
        <w:t xml:space="preserve">Příkazce poskytne zálohu Příkazníkovi ve výši </w:t>
      </w:r>
      <w:r w:rsidR="00C157B9" w:rsidRPr="00C157B9">
        <w:rPr>
          <w:rFonts w:ascii="Arial" w:eastAsia="Arial" w:hAnsi="Arial" w:cs="Arial"/>
          <w:highlight w:val="black"/>
        </w:rPr>
        <w:t>…………………………</w:t>
      </w:r>
      <w:r w:rsidRPr="00DE3B37">
        <w:rPr>
          <w:rFonts w:ascii="Arial" w:eastAsia="Arial" w:hAnsi="Arial" w:cs="Arial"/>
        </w:rPr>
        <w:t xml:space="preserve"> českých) na transakce a administrativu Příkazníka, která bude uhrazena do 30 dnů po </w:t>
      </w:r>
      <w:r w:rsidR="0058731F" w:rsidRPr="00DE3B37">
        <w:rPr>
          <w:rFonts w:ascii="Arial" w:eastAsia="Arial" w:hAnsi="Arial" w:cs="Arial"/>
        </w:rPr>
        <w:t>nabytí účinnosti této smlouvy</w:t>
      </w:r>
      <w:r w:rsidRPr="00DE3B37">
        <w:rPr>
          <w:rFonts w:ascii="Arial" w:eastAsia="Arial" w:hAnsi="Arial" w:cs="Arial"/>
        </w:rPr>
        <w:t xml:space="preserve"> na základě zálohové faktury vystavené příkazníkem.</w:t>
      </w:r>
    </w:p>
    <w:p w14:paraId="63A8108E" w14:textId="4B65DC92" w:rsidR="0058731F" w:rsidRPr="00DE3B37" w:rsidRDefault="0058731F">
      <w:pPr>
        <w:spacing w:line="237" w:lineRule="auto"/>
        <w:jc w:val="both"/>
        <w:rPr>
          <w:sz w:val="20"/>
          <w:szCs w:val="20"/>
        </w:rPr>
      </w:pPr>
      <w:r w:rsidRPr="00DE3B37">
        <w:rPr>
          <w:rFonts w:ascii="Arial" w:eastAsia="Arial" w:hAnsi="Arial" w:cs="Arial"/>
        </w:rPr>
        <w:t>Záloha bude zúčtována v rámci měsíčního vyúčtování dle čl. III. této smlouvy, a to do 100% účtovaných částek.</w:t>
      </w:r>
    </w:p>
    <w:p w14:paraId="220FD881" w14:textId="77777777" w:rsidR="00E4582B" w:rsidRPr="00DE3B37" w:rsidRDefault="00E4582B">
      <w:pPr>
        <w:spacing w:line="241" w:lineRule="exact"/>
        <w:rPr>
          <w:sz w:val="20"/>
          <w:szCs w:val="20"/>
        </w:rPr>
      </w:pPr>
    </w:p>
    <w:p w14:paraId="54F19FE2" w14:textId="77777777" w:rsidR="00E4582B" w:rsidRPr="00DE3B37" w:rsidRDefault="0003645A">
      <w:pPr>
        <w:numPr>
          <w:ilvl w:val="0"/>
          <w:numId w:val="6"/>
        </w:numPr>
        <w:tabs>
          <w:tab w:val="left" w:pos="2500"/>
        </w:tabs>
        <w:ind w:left="2500" w:hanging="714"/>
        <w:rPr>
          <w:rFonts w:ascii="Arial" w:eastAsia="Arial" w:hAnsi="Arial" w:cs="Arial"/>
          <w:bCs/>
        </w:rPr>
      </w:pPr>
      <w:r w:rsidRPr="00DE3B37">
        <w:rPr>
          <w:rFonts w:ascii="Arial" w:eastAsia="Arial" w:hAnsi="Arial" w:cs="Arial"/>
          <w:bCs/>
        </w:rPr>
        <w:t>Vady plnění a porušení povinností smluvních stran</w:t>
      </w:r>
    </w:p>
    <w:p w14:paraId="548F84D5" w14:textId="77777777" w:rsidR="00E4582B" w:rsidRPr="00DE3B37" w:rsidRDefault="00E4582B">
      <w:pPr>
        <w:spacing w:line="130" w:lineRule="exact"/>
        <w:rPr>
          <w:sz w:val="20"/>
          <w:szCs w:val="20"/>
        </w:rPr>
      </w:pPr>
    </w:p>
    <w:p w14:paraId="20E7B027" w14:textId="77777777" w:rsidR="00E4582B" w:rsidRPr="00DE3B37" w:rsidRDefault="0003645A">
      <w:pPr>
        <w:spacing w:line="237" w:lineRule="auto"/>
        <w:ind w:right="20"/>
        <w:jc w:val="both"/>
        <w:rPr>
          <w:sz w:val="20"/>
          <w:szCs w:val="20"/>
        </w:rPr>
      </w:pPr>
      <w:r w:rsidRPr="00DE3B37">
        <w:rPr>
          <w:rFonts w:ascii="Arial" w:eastAsia="Arial" w:hAnsi="Arial" w:cs="Arial"/>
        </w:rPr>
        <w:t>Jestliže se smluvní strany dohodly, že splnění povinností jedné strany je podmíněno splněním povinnosti strany druhé, nedostane se tato druhá strana do prodlení se splněním svých povinností, jestliže druhá strana nesplnila včas a řádně své povinnosti dle této smlouvy.</w:t>
      </w:r>
    </w:p>
    <w:p w14:paraId="735D9AA9" w14:textId="77777777" w:rsidR="00E4582B" w:rsidRPr="00DE3B37" w:rsidRDefault="00E4582B">
      <w:pPr>
        <w:spacing w:line="200" w:lineRule="exact"/>
        <w:rPr>
          <w:sz w:val="20"/>
          <w:szCs w:val="20"/>
        </w:rPr>
      </w:pPr>
    </w:p>
    <w:p w14:paraId="69034512" w14:textId="77777777" w:rsidR="00E4582B" w:rsidRPr="00DE3B37" w:rsidRDefault="00E4582B">
      <w:pPr>
        <w:spacing w:line="293" w:lineRule="exact"/>
        <w:rPr>
          <w:sz w:val="20"/>
          <w:szCs w:val="20"/>
        </w:rPr>
      </w:pPr>
    </w:p>
    <w:p w14:paraId="3D7DB129" w14:textId="77777777" w:rsidR="00E4582B" w:rsidRPr="00DE3B37" w:rsidRDefault="0003645A">
      <w:pPr>
        <w:tabs>
          <w:tab w:val="left" w:pos="3400"/>
        </w:tabs>
        <w:ind w:left="2700"/>
        <w:rPr>
          <w:sz w:val="20"/>
          <w:szCs w:val="20"/>
        </w:rPr>
      </w:pPr>
      <w:r w:rsidRPr="00DE3B37">
        <w:rPr>
          <w:rFonts w:ascii="Arial" w:eastAsia="Arial" w:hAnsi="Arial" w:cs="Arial"/>
          <w:bCs/>
        </w:rPr>
        <w:t>VI.</w:t>
      </w:r>
      <w:r w:rsidRPr="00DE3B37">
        <w:rPr>
          <w:sz w:val="20"/>
          <w:szCs w:val="20"/>
        </w:rPr>
        <w:tab/>
      </w:r>
      <w:r w:rsidRPr="00DE3B37">
        <w:rPr>
          <w:rFonts w:ascii="Arial" w:eastAsia="Arial" w:hAnsi="Arial" w:cs="Arial"/>
          <w:bCs/>
        </w:rPr>
        <w:t>Ustanovení společná a závěrečná</w:t>
      </w:r>
    </w:p>
    <w:p w14:paraId="1A0241C5" w14:textId="77777777" w:rsidR="00E4582B" w:rsidRPr="00DE3B37" w:rsidRDefault="00E4582B">
      <w:pPr>
        <w:spacing w:line="130" w:lineRule="exact"/>
        <w:rPr>
          <w:sz w:val="20"/>
          <w:szCs w:val="20"/>
        </w:rPr>
      </w:pPr>
    </w:p>
    <w:p w14:paraId="63A1EE2B" w14:textId="720B2120" w:rsidR="00E4582B" w:rsidRPr="00DE3B37" w:rsidRDefault="0067524D">
      <w:pPr>
        <w:spacing w:line="235" w:lineRule="auto"/>
        <w:ind w:right="20"/>
        <w:jc w:val="both"/>
        <w:rPr>
          <w:rFonts w:ascii="Arial" w:eastAsia="Arial" w:hAnsi="Arial" w:cs="Arial"/>
        </w:rPr>
      </w:pPr>
      <w:r w:rsidRPr="00DE3B37">
        <w:rPr>
          <w:rFonts w:ascii="Arial" w:eastAsia="Arial" w:hAnsi="Arial" w:cs="Arial"/>
        </w:rPr>
        <w:t xml:space="preserve">Platnost této smlouvy je stanovena do </w:t>
      </w:r>
      <w:proofErr w:type="gramStart"/>
      <w:r w:rsidR="00C539A8" w:rsidRPr="00DE3B37">
        <w:rPr>
          <w:rFonts w:ascii="Arial" w:eastAsia="Arial" w:hAnsi="Arial" w:cs="Arial"/>
        </w:rPr>
        <w:t>15</w:t>
      </w:r>
      <w:r w:rsidRPr="00DE3B37">
        <w:rPr>
          <w:rFonts w:ascii="Arial" w:eastAsia="Arial" w:hAnsi="Arial" w:cs="Arial"/>
        </w:rPr>
        <w:t>.2.202</w:t>
      </w:r>
      <w:r w:rsidR="001D359E" w:rsidRPr="00DE3B37">
        <w:rPr>
          <w:rFonts w:ascii="Arial" w:eastAsia="Arial" w:hAnsi="Arial" w:cs="Arial"/>
        </w:rPr>
        <w:t>2</w:t>
      </w:r>
      <w:proofErr w:type="gramEnd"/>
      <w:r w:rsidRPr="00DE3B37">
        <w:rPr>
          <w:rFonts w:ascii="Arial" w:eastAsia="Arial" w:hAnsi="Arial" w:cs="Arial"/>
        </w:rPr>
        <w:t xml:space="preserve">, anebo </w:t>
      </w:r>
      <w:r w:rsidR="0058731F" w:rsidRPr="00DE3B37">
        <w:rPr>
          <w:rFonts w:ascii="Arial" w:eastAsia="Arial" w:hAnsi="Arial" w:cs="Arial"/>
        </w:rPr>
        <w:t>do okamžiku</w:t>
      </w:r>
      <w:r w:rsidRPr="00DE3B37">
        <w:rPr>
          <w:rFonts w:ascii="Arial" w:eastAsia="Arial" w:hAnsi="Arial" w:cs="Arial"/>
        </w:rPr>
        <w:t xml:space="preserve">, kdy odměna </w:t>
      </w:r>
      <w:r w:rsidRPr="00DE3B37">
        <w:rPr>
          <w:rFonts w:ascii="Arial" w:hAnsi="Arial" w:cs="Arial"/>
        </w:rPr>
        <w:t xml:space="preserve">Příkazníka spolu s náklady dosáhne částky 2 000 000,- Kč bez DPH, podle toho, která skutečnost nastane dříve. </w:t>
      </w:r>
    </w:p>
    <w:p w14:paraId="563ACC06" w14:textId="77777777" w:rsidR="00E4582B" w:rsidRPr="00DE3B37" w:rsidRDefault="00E4582B">
      <w:pPr>
        <w:spacing w:line="11" w:lineRule="exact"/>
        <w:rPr>
          <w:sz w:val="20"/>
          <w:szCs w:val="20"/>
        </w:rPr>
      </w:pPr>
    </w:p>
    <w:p w14:paraId="28B1EB4E" w14:textId="77777777" w:rsidR="00E4582B" w:rsidRPr="00DE3B37" w:rsidRDefault="0003645A">
      <w:pPr>
        <w:spacing w:line="237" w:lineRule="auto"/>
        <w:jc w:val="both"/>
        <w:rPr>
          <w:sz w:val="20"/>
          <w:szCs w:val="20"/>
        </w:rPr>
      </w:pPr>
      <w:r w:rsidRPr="00DE3B37">
        <w:rPr>
          <w:rFonts w:ascii="Arial" w:eastAsia="Arial" w:hAnsi="Arial" w:cs="Arial"/>
        </w:rPr>
        <w:t>Právní vztahy, které nebyly v této smlouvě zvlášť upraveny, se řídí ustanoveními § 2430, a násl. Občanského zákoníku, pokud z ustanovení jiných zákonů nebo obchodních zvyklostí nevyplývá něco jiného.</w:t>
      </w:r>
    </w:p>
    <w:p w14:paraId="4C9CE31B" w14:textId="77777777" w:rsidR="00E4582B" w:rsidRPr="00DE3B37" w:rsidRDefault="00E4582B">
      <w:pPr>
        <w:spacing w:line="1" w:lineRule="exact"/>
        <w:rPr>
          <w:sz w:val="20"/>
          <w:szCs w:val="20"/>
        </w:rPr>
      </w:pPr>
    </w:p>
    <w:p w14:paraId="39C15F7F" w14:textId="5BE1AB69" w:rsidR="00E4582B" w:rsidRPr="00DE3B37" w:rsidRDefault="0003645A">
      <w:pPr>
        <w:rPr>
          <w:rFonts w:ascii="Arial" w:eastAsia="Arial" w:hAnsi="Arial" w:cs="Arial"/>
        </w:rPr>
      </w:pPr>
      <w:r w:rsidRPr="00DE3B37">
        <w:rPr>
          <w:rFonts w:ascii="Arial" w:eastAsia="Arial" w:hAnsi="Arial" w:cs="Arial"/>
        </w:rPr>
        <w:t>Tuto smlouvu lze změnit či doplnit jen písemně se souhlasem obou smluvních stran.</w:t>
      </w:r>
    </w:p>
    <w:p w14:paraId="7B79D50D" w14:textId="20259A92" w:rsidR="005A100B" w:rsidRPr="00DE3B37" w:rsidRDefault="005A100B">
      <w:pPr>
        <w:rPr>
          <w:sz w:val="20"/>
          <w:szCs w:val="20"/>
        </w:rPr>
      </w:pPr>
      <w:r w:rsidRPr="00DE3B37">
        <w:rPr>
          <w:rFonts w:ascii="Arial" w:eastAsia="Arial" w:hAnsi="Arial" w:cs="Arial"/>
        </w:rPr>
        <w:t>Tato smlouva nabývá účinnosti dnem uveřejnění prostřednictvím registru smluv dle zák. č. 340/2015 Sb. Příkazce se zavazuje zaslat tuto smlouvu správci registru smluv</w:t>
      </w:r>
      <w:r w:rsidR="00243121" w:rsidRPr="00DE3B37">
        <w:rPr>
          <w:rFonts w:ascii="Arial" w:eastAsia="Arial" w:hAnsi="Arial" w:cs="Arial"/>
        </w:rPr>
        <w:t>.</w:t>
      </w:r>
    </w:p>
    <w:p w14:paraId="4A795910" w14:textId="77777777" w:rsidR="00E4582B" w:rsidRPr="00DE3B37" w:rsidRDefault="00E4582B">
      <w:pPr>
        <w:spacing w:line="10" w:lineRule="exact"/>
        <w:rPr>
          <w:sz w:val="20"/>
          <w:szCs w:val="20"/>
        </w:rPr>
      </w:pPr>
    </w:p>
    <w:p w14:paraId="2C5A910E" w14:textId="77777777" w:rsidR="00E4582B" w:rsidRPr="00DE3B37" w:rsidRDefault="0003645A">
      <w:pPr>
        <w:spacing w:line="235" w:lineRule="auto"/>
        <w:jc w:val="both"/>
        <w:rPr>
          <w:sz w:val="20"/>
          <w:szCs w:val="20"/>
        </w:rPr>
      </w:pPr>
      <w:r w:rsidRPr="00DE3B37">
        <w:rPr>
          <w:rFonts w:ascii="Arial" w:eastAsia="Arial" w:hAnsi="Arial" w:cs="Arial"/>
        </w:rPr>
        <w:t>Tato smlouva byla vyhotovena ve dvou stejnopisech, z nichž každý je originálem. Každá ze stran obdrží jeden z nich.</w:t>
      </w:r>
    </w:p>
    <w:p w14:paraId="297BA28D" w14:textId="77777777" w:rsidR="00E4582B" w:rsidRPr="00DE3B37" w:rsidRDefault="00E4582B">
      <w:pPr>
        <w:spacing w:line="255" w:lineRule="exact"/>
        <w:rPr>
          <w:sz w:val="20"/>
          <w:szCs w:val="20"/>
        </w:rPr>
      </w:pPr>
    </w:p>
    <w:p w14:paraId="0717B43F" w14:textId="77777777" w:rsidR="00E4582B" w:rsidRPr="00DE3B37" w:rsidRDefault="0003645A">
      <w:pPr>
        <w:rPr>
          <w:sz w:val="20"/>
          <w:szCs w:val="20"/>
        </w:rPr>
      </w:pPr>
      <w:r w:rsidRPr="00DE3B37">
        <w:rPr>
          <w:rFonts w:ascii="Arial" w:eastAsia="Arial" w:hAnsi="Arial" w:cs="Arial"/>
        </w:rPr>
        <w:t>V Břeclavi dne</w:t>
      </w:r>
    </w:p>
    <w:p w14:paraId="336A9121" w14:textId="77777777" w:rsidR="00E4582B" w:rsidRPr="00DE3B37" w:rsidRDefault="00E4582B">
      <w:pPr>
        <w:spacing w:line="253" w:lineRule="exact"/>
        <w:rPr>
          <w:sz w:val="20"/>
          <w:szCs w:val="20"/>
        </w:rPr>
      </w:pPr>
    </w:p>
    <w:p w14:paraId="1A4E7A54" w14:textId="77777777" w:rsidR="00E4582B" w:rsidRPr="00DE3B37" w:rsidRDefault="0003645A">
      <w:pPr>
        <w:rPr>
          <w:sz w:val="20"/>
          <w:szCs w:val="20"/>
        </w:rPr>
      </w:pPr>
      <w:r w:rsidRPr="00DE3B37">
        <w:rPr>
          <w:rFonts w:ascii="Arial" w:eastAsia="Arial" w:hAnsi="Arial" w:cs="Arial"/>
        </w:rPr>
        <w:t>Za Příkazce:</w:t>
      </w:r>
    </w:p>
    <w:p w14:paraId="4FB7AC1A" w14:textId="77777777" w:rsidR="00E4582B" w:rsidRPr="00DE3B37" w:rsidRDefault="00E4582B">
      <w:pPr>
        <w:spacing w:line="200" w:lineRule="exact"/>
        <w:rPr>
          <w:sz w:val="20"/>
          <w:szCs w:val="20"/>
        </w:rPr>
      </w:pPr>
    </w:p>
    <w:p w14:paraId="54523524" w14:textId="77777777" w:rsidR="00E4582B" w:rsidRPr="00DE3B37" w:rsidRDefault="00E4582B">
      <w:pPr>
        <w:spacing w:line="305" w:lineRule="exact"/>
        <w:rPr>
          <w:sz w:val="20"/>
          <w:szCs w:val="20"/>
        </w:rPr>
      </w:pPr>
    </w:p>
    <w:p w14:paraId="70CD7BCB" w14:textId="77777777" w:rsidR="00E4582B" w:rsidRPr="00DE3B37" w:rsidRDefault="0003645A">
      <w:pPr>
        <w:tabs>
          <w:tab w:val="left" w:pos="6340"/>
        </w:tabs>
        <w:ind w:left="1400"/>
        <w:rPr>
          <w:sz w:val="20"/>
          <w:szCs w:val="20"/>
        </w:rPr>
      </w:pPr>
      <w:r w:rsidRPr="00DE3B37">
        <w:rPr>
          <w:rFonts w:ascii="Arial" w:eastAsia="Arial" w:hAnsi="Arial" w:cs="Arial"/>
        </w:rPr>
        <w:t>_____________________</w:t>
      </w:r>
      <w:r w:rsidRPr="00DE3B37">
        <w:rPr>
          <w:sz w:val="20"/>
          <w:szCs w:val="20"/>
        </w:rPr>
        <w:tab/>
      </w:r>
      <w:r w:rsidRPr="00DE3B37">
        <w:rPr>
          <w:rFonts w:ascii="Arial" w:eastAsia="Arial" w:hAnsi="Arial" w:cs="Arial"/>
        </w:rPr>
        <w:t>____________________</w:t>
      </w:r>
    </w:p>
    <w:p w14:paraId="16131329" w14:textId="77777777" w:rsidR="00E4582B" w:rsidRPr="00DE3B37" w:rsidRDefault="00E4582B">
      <w:pPr>
        <w:spacing w:line="253" w:lineRule="exact"/>
        <w:rPr>
          <w:sz w:val="20"/>
          <w:szCs w:val="20"/>
        </w:rPr>
      </w:pPr>
    </w:p>
    <w:p w14:paraId="63296F4C" w14:textId="28DFE85D" w:rsidR="00E4582B" w:rsidRPr="00DE3B37" w:rsidRDefault="00DE3B37" w:rsidP="00DE3B37">
      <w:pPr>
        <w:ind w:left="1440" w:firstLine="720"/>
      </w:pPr>
      <w:r w:rsidRPr="00DE3B37">
        <w:rPr>
          <w:rFonts w:ascii="Arial" w:eastAsia="Arial" w:hAnsi="Arial" w:cs="Arial"/>
          <w:color w:val="333333"/>
        </w:rPr>
        <w:t xml:space="preserve">Bořivoj </w:t>
      </w:r>
      <w:proofErr w:type="spellStart"/>
      <w:r w:rsidRPr="00DE3B37">
        <w:rPr>
          <w:rFonts w:ascii="Arial" w:eastAsia="Arial" w:hAnsi="Arial" w:cs="Arial"/>
          <w:color w:val="333333"/>
        </w:rPr>
        <w:t>Švásta</w:t>
      </w:r>
      <w:proofErr w:type="spellEnd"/>
      <w:r w:rsidR="0050003B" w:rsidRPr="00DE3B37">
        <w:tab/>
      </w:r>
      <w:r w:rsidR="0050003B" w:rsidRPr="00DE3B37">
        <w:tab/>
      </w:r>
      <w:r w:rsidR="0050003B" w:rsidRPr="00DE3B37">
        <w:tab/>
      </w:r>
      <w:r w:rsidRPr="00DE3B37">
        <w:tab/>
      </w:r>
      <w:r w:rsidRPr="00DE3B37">
        <w:tab/>
      </w:r>
      <w:r w:rsidRPr="00DE3B37">
        <w:rPr>
          <w:rFonts w:ascii="Arial" w:eastAsia="Arial" w:hAnsi="Arial" w:cs="Arial"/>
          <w:color w:val="333333"/>
        </w:rPr>
        <w:t>Ing. Dalibor Neděla</w:t>
      </w:r>
    </w:p>
    <w:p w14:paraId="479FA5A7" w14:textId="77777777" w:rsidR="00E4582B" w:rsidRPr="00DE3B37" w:rsidRDefault="00E4582B">
      <w:pPr>
        <w:spacing w:line="204" w:lineRule="exact"/>
        <w:rPr>
          <w:sz w:val="20"/>
          <w:szCs w:val="20"/>
        </w:rPr>
      </w:pPr>
    </w:p>
    <w:p w14:paraId="52A2D8D9" w14:textId="77777777" w:rsidR="00E4582B" w:rsidRPr="00DE3B37" w:rsidRDefault="0003645A">
      <w:pPr>
        <w:rPr>
          <w:sz w:val="20"/>
          <w:szCs w:val="20"/>
        </w:rPr>
      </w:pPr>
      <w:r w:rsidRPr="00DE3B37">
        <w:rPr>
          <w:rFonts w:ascii="Arial" w:eastAsia="Arial" w:hAnsi="Arial" w:cs="Arial"/>
        </w:rPr>
        <w:t>V Praze dne</w:t>
      </w:r>
    </w:p>
    <w:p w14:paraId="4C65ED39" w14:textId="77777777" w:rsidR="00E4582B" w:rsidRPr="00DE3B37" w:rsidRDefault="00E4582B">
      <w:pPr>
        <w:spacing w:line="253" w:lineRule="exact"/>
        <w:rPr>
          <w:sz w:val="20"/>
          <w:szCs w:val="20"/>
        </w:rPr>
      </w:pPr>
    </w:p>
    <w:p w14:paraId="7D4A8F3A" w14:textId="77777777" w:rsidR="00E4582B" w:rsidRPr="00DE3B37" w:rsidRDefault="0003645A">
      <w:pPr>
        <w:rPr>
          <w:sz w:val="20"/>
          <w:szCs w:val="20"/>
        </w:rPr>
      </w:pPr>
      <w:r w:rsidRPr="00DE3B37">
        <w:rPr>
          <w:rFonts w:ascii="Arial" w:eastAsia="Arial" w:hAnsi="Arial" w:cs="Arial"/>
        </w:rPr>
        <w:t>za Příkazníka:</w:t>
      </w:r>
    </w:p>
    <w:p w14:paraId="445F1A24" w14:textId="77777777" w:rsidR="00E4582B" w:rsidRPr="00DE3B37" w:rsidRDefault="00E4582B">
      <w:pPr>
        <w:spacing w:line="308" w:lineRule="exact"/>
        <w:rPr>
          <w:sz w:val="20"/>
          <w:szCs w:val="20"/>
        </w:rPr>
      </w:pPr>
    </w:p>
    <w:p w14:paraId="0F7ABEEF" w14:textId="77777777" w:rsidR="00E4582B" w:rsidRPr="00DE3B37" w:rsidRDefault="0003645A">
      <w:pPr>
        <w:ind w:left="1400"/>
        <w:rPr>
          <w:sz w:val="20"/>
          <w:szCs w:val="20"/>
        </w:rPr>
      </w:pPr>
      <w:r w:rsidRPr="00DE3B37">
        <w:rPr>
          <w:rFonts w:ascii="Arial" w:eastAsia="Arial" w:hAnsi="Arial" w:cs="Arial"/>
        </w:rPr>
        <w:t>______________________</w:t>
      </w:r>
    </w:p>
    <w:p w14:paraId="72FB80DB" w14:textId="77777777" w:rsidR="00E4582B" w:rsidRPr="00DE3B37" w:rsidRDefault="00E4582B">
      <w:pPr>
        <w:spacing w:line="251" w:lineRule="exact"/>
        <w:rPr>
          <w:sz w:val="20"/>
          <w:szCs w:val="20"/>
        </w:rPr>
      </w:pPr>
    </w:p>
    <w:p w14:paraId="358B4DF1" w14:textId="77777777" w:rsidR="00E4582B" w:rsidRPr="00DE3B37" w:rsidRDefault="0003645A">
      <w:pPr>
        <w:ind w:left="1400"/>
        <w:rPr>
          <w:sz w:val="20"/>
          <w:szCs w:val="20"/>
        </w:rPr>
      </w:pPr>
      <w:r w:rsidRPr="00DE3B37">
        <w:rPr>
          <w:rFonts w:ascii="Arial" w:eastAsia="Arial" w:hAnsi="Arial" w:cs="Arial"/>
        </w:rPr>
        <w:t>Ing. Aleš Babor, MBA</w:t>
      </w:r>
    </w:p>
    <w:p w14:paraId="45355A6A" w14:textId="77777777" w:rsidR="00E4582B" w:rsidRDefault="0003645A">
      <w:pPr>
        <w:jc w:val="center"/>
        <w:rPr>
          <w:sz w:val="20"/>
          <w:szCs w:val="20"/>
        </w:rPr>
      </w:pPr>
      <w:r>
        <w:rPr>
          <w:rFonts w:eastAsia="Times New Roman"/>
          <w:sz w:val="20"/>
          <w:szCs w:val="20"/>
        </w:rPr>
        <w:t xml:space="preserve">Strana 2 </w:t>
      </w:r>
      <w:proofErr w:type="gramStart"/>
      <w:r>
        <w:rPr>
          <w:rFonts w:eastAsia="Times New Roman"/>
          <w:sz w:val="20"/>
          <w:szCs w:val="20"/>
        </w:rPr>
        <w:t>ze</w:t>
      </w:r>
      <w:proofErr w:type="gramEnd"/>
      <w:r>
        <w:rPr>
          <w:rFonts w:eastAsia="Times New Roman"/>
          <w:sz w:val="20"/>
          <w:szCs w:val="20"/>
        </w:rPr>
        <w:t xml:space="preserve"> 2</w:t>
      </w:r>
    </w:p>
    <w:sectPr w:rsidR="00E4582B">
      <w:type w:val="continuous"/>
      <w:pgSz w:w="11900" w:h="16838"/>
      <w:pgMar w:top="1127" w:right="1126" w:bottom="149" w:left="1140" w:header="0" w:footer="0" w:gutter="0"/>
      <w:cols w:space="708" w:equalWidth="0">
        <w:col w:w="96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E1F29"/>
    <w:multiLevelType w:val="hybridMultilevel"/>
    <w:tmpl w:val="191EE6AC"/>
    <w:lvl w:ilvl="0" w:tplc="0BD437B0">
      <w:start w:val="1"/>
      <w:numFmt w:val="bullet"/>
      <w:lvlText w:val=""/>
      <w:lvlJc w:val="left"/>
    </w:lvl>
    <w:lvl w:ilvl="1" w:tplc="EE14F44C">
      <w:numFmt w:val="decimal"/>
      <w:lvlText w:val=""/>
      <w:lvlJc w:val="left"/>
    </w:lvl>
    <w:lvl w:ilvl="2" w:tplc="C194DF40">
      <w:numFmt w:val="decimal"/>
      <w:lvlText w:val=""/>
      <w:lvlJc w:val="left"/>
    </w:lvl>
    <w:lvl w:ilvl="3" w:tplc="50147E24">
      <w:numFmt w:val="decimal"/>
      <w:lvlText w:val=""/>
      <w:lvlJc w:val="left"/>
    </w:lvl>
    <w:lvl w:ilvl="4" w:tplc="CD98B8C0">
      <w:numFmt w:val="decimal"/>
      <w:lvlText w:val=""/>
      <w:lvlJc w:val="left"/>
    </w:lvl>
    <w:lvl w:ilvl="5" w:tplc="4F167E28">
      <w:numFmt w:val="decimal"/>
      <w:lvlText w:val=""/>
      <w:lvlJc w:val="left"/>
    </w:lvl>
    <w:lvl w:ilvl="6" w:tplc="46E63980">
      <w:numFmt w:val="decimal"/>
      <w:lvlText w:val=""/>
      <w:lvlJc w:val="left"/>
    </w:lvl>
    <w:lvl w:ilvl="7" w:tplc="384E5AD2">
      <w:numFmt w:val="decimal"/>
      <w:lvlText w:val=""/>
      <w:lvlJc w:val="left"/>
    </w:lvl>
    <w:lvl w:ilvl="8" w:tplc="BB80C860">
      <w:numFmt w:val="decimal"/>
      <w:lvlText w:val=""/>
      <w:lvlJc w:val="left"/>
    </w:lvl>
  </w:abstractNum>
  <w:abstractNum w:abstractNumId="1">
    <w:nsid w:val="2AE8944A"/>
    <w:multiLevelType w:val="hybridMultilevel"/>
    <w:tmpl w:val="608413AC"/>
    <w:lvl w:ilvl="0" w:tplc="0B5298D4">
      <w:start w:val="9"/>
      <w:numFmt w:val="upperLetter"/>
      <w:lvlText w:val="%1."/>
      <w:lvlJc w:val="left"/>
    </w:lvl>
    <w:lvl w:ilvl="1" w:tplc="75A47F60">
      <w:numFmt w:val="decimal"/>
      <w:lvlText w:val=""/>
      <w:lvlJc w:val="left"/>
    </w:lvl>
    <w:lvl w:ilvl="2" w:tplc="E842CDBA">
      <w:numFmt w:val="decimal"/>
      <w:lvlText w:val=""/>
      <w:lvlJc w:val="left"/>
    </w:lvl>
    <w:lvl w:ilvl="3" w:tplc="DB5C168E">
      <w:numFmt w:val="decimal"/>
      <w:lvlText w:val=""/>
      <w:lvlJc w:val="left"/>
    </w:lvl>
    <w:lvl w:ilvl="4" w:tplc="B00EB48C">
      <w:numFmt w:val="decimal"/>
      <w:lvlText w:val=""/>
      <w:lvlJc w:val="left"/>
    </w:lvl>
    <w:lvl w:ilvl="5" w:tplc="11B6D1DC">
      <w:numFmt w:val="decimal"/>
      <w:lvlText w:val=""/>
      <w:lvlJc w:val="left"/>
    </w:lvl>
    <w:lvl w:ilvl="6" w:tplc="A1AE2C6C">
      <w:numFmt w:val="decimal"/>
      <w:lvlText w:val=""/>
      <w:lvlJc w:val="left"/>
    </w:lvl>
    <w:lvl w:ilvl="7" w:tplc="8C5642F4">
      <w:numFmt w:val="decimal"/>
      <w:lvlText w:val=""/>
      <w:lvlJc w:val="left"/>
    </w:lvl>
    <w:lvl w:ilvl="8" w:tplc="1FC63D02">
      <w:numFmt w:val="decimal"/>
      <w:lvlText w:val=""/>
      <w:lvlJc w:val="left"/>
    </w:lvl>
  </w:abstractNum>
  <w:abstractNum w:abstractNumId="2">
    <w:nsid w:val="3D1B58BA"/>
    <w:multiLevelType w:val="hybridMultilevel"/>
    <w:tmpl w:val="3BB629A0"/>
    <w:lvl w:ilvl="0" w:tplc="48ECD4B6">
      <w:start w:val="61"/>
      <w:numFmt w:val="upperLetter"/>
      <w:lvlText w:val="%1."/>
      <w:lvlJc w:val="left"/>
    </w:lvl>
    <w:lvl w:ilvl="1" w:tplc="EB04A2E0">
      <w:numFmt w:val="decimal"/>
      <w:lvlText w:val=""/>
      <w:lvlJc w:val="left"/>
    </w:lvl>
    <w:lvl w:ilvl="2" w:tplc="D2943726">
      <w:numFmt w:val="decimal"/>
      <w:lvlText w:val=""/>
      <w:lvlJc w:val="left"/>
    </w:lvl>
    <w:lvl w:ilvl="3" w:tplc="3AAC3A9A">
      <w:numFmt w:val="decimal"/>
      <w:lvlText w:val=""/>
      <w:lvlJc w:val="left"/>
    </w:lvl>
    <w:lvl w:ilvl="4" w:tplc="ABEC20CC">
      <w:numFmt w:val="decimal"/>
      <w:lvlText w:val=""/>
      <w:lvlJc w:val="left"/>
    </w:lvl>
    <w:lvl w:ilvl="5" w:tplc="9368768C">
      <w:numFmt w:val="decimal"/>
      <w:lvlText w:val=""/>
      <w:lvlJc w:val="left"/>
    </w:lvl>
    <w:lvl w:ilvl="6" w:tplc="4D4CCB7C">
      <w:numFmt w:val="decimal"/>
      <w:lvlText w:val=""/>
      <w:lvlJc w:val="left"/>
    </w:lvl>
    <w:lvl w:ilvl="7" w:tplc="DFFE95FE">
      <w:numFmt w:val="decimal"/>
      <w:lvlText w:val=""/>
      <w:lvlJc w:val="left"/>
    </w:lvl>
    <w:lvl w:ilvl="8" w:tplc="ACA00026">
      <w:numFmt w:val="decimal"/>
      <w:lvlText w:val=""/>
      <w:lvlJc w:val="left"/>
    </w:lvl>
  </w:abstractNum>
  <w:abstractNum w:abstractNumId="3">
    <w:nsid w:val="46E87CCD"/>
    <w:multiLevelType w:val="hybridMultilevel"/>
    <w:tmpl w:val="B828449E"/>
    <w:lvl w:ilvl="0" w:tplc="F13E62E6">
      <w:start w:val="1"/>
      <w:numFmt w:val="bullet"/>
      <w:lvlText w:val=""/>
      <w:lvlJc w:val="left"/>
    </w:lvl>
    <w:lvl w:ilvl="1" w:tplc="85E63634">
      <w:numFmt w:val="decimal"/>
      <w:lvlText w:val=""/>
      <w:lvlJc w:val="left"/>
    </w:lvl>
    <w:lvl w:ilvl="2" w:tplc="CDACF12C">
      <w:numFmt w:val="decimal"/>
      <w:lvlText w:val=""/>
      <w:lvlJc w:val="left"/>
    </w:lvl>
    <w:lvl w:ilvl="3" w:tplc="A89E3634">
      <w:numFmt w:val="decimal"/>
      <w:lvlText w:val=""/>
      <w:lvlJc w:val="left"/>
    </w:lvl>
    <w:lvl w:ilvl="4" w:tplc="E46C9FA6">
      <w:numFmt w:val="decimal"/>
      <w:lvlText w:val=""/>
      <w:lvlJc w:val="left"/>
    </w:lvl>
    <w:lvl w:ilvl="5" w:tplc="3A844CF6">
      <w:numFmt w:val="decimal"/>
      <w:lvlText w:val=""/>
      <w:lvlJc w:val="left"/>
    </w:lvl>
    <w:lvl w:ilvl="6" w:tplc="DF185C70">
      <w:numFmt w:val="decimal"/>
      <w:lvlText w:val=""/>
      <w:lvlJc w:val="left"/>
    </w:lvl>
    <w:lvl w:ilvl="7" w:tplc="BD6A24E6">
      <w:numFmt w:val="decimal"/>
      <w:lvlText w:val=""/>
      <w:lvlJc w:val="left"/>
    </w:lvl>
    <w:lvl w:ilvl="8" w:tplc="D50CB9EC">
      <w:numFmt w:val="decimal"/>
      <w:lvlText w:val=""/>
      <w:lvlJc w:val="left"/>
    </w:lvl>
  </w:abstractNum>
  <w:abstractNum w:abstractNumId="4">
    <w:nsid w:val="507ED7AB"/>
    <w:multiLevelType w:val="hybridMultilevel"/>
    <w:tmpl w:val="0E74E62A"/>
    <w:lvl w:ilvl="0" w:tplc="5F72F9DC">
      <w:start w:val="22"/>
      <w:numFmt w:val="upperLetter"/>
      <w:lvlText w:val="%1."/>
      <w:lvlJc w:val="left"/>
    </w:lvl>
    <w:lvl w:ilvl="1" w:tplc="3702B46E">
      <w:numFmt w:val="decimal"/>
      <w:lvlText w:val=""/>
      <w:lvlJc w:val="left"/>
    </w:lvl>
    <w:lvl w:ilvl="2" w:tplc="85C688D6">
      <w:numFmt w:val="decimal"/>
      <w:lvlText w:val=""/>
      <w:lvlJc w:val="left"/>
    </w:lvl>
    <w:lvl w:ilvl="3" w:tplc="139EF1C2">
      <w:numFmt w:val="decimal"/>
      <w:lvlText w:val=""/>
      <w:lvlJc w:val="left"/>
    </w:lvl>
    <w:lvl w:ilvl="4" w:tplc="4266A274">
      <w:numFmt w:val="decimal"/>
      <w:lvlText w:val=""/>
      <w:lvlJc w:val="left"/>
    </w:lvl>
    <w:lvl w:ilvl="5" w:tplc="DF38145C">
      <w:numFmt w:val="decimal"/>
      <w:lvlText w:val=""/>
      <w:lvlJc w:val="left"/>
    </w:lvl>
    <w:lvl w:ilvl="6" w:tplc="75B4F26E">
      <w:numFmt w:val="decimal"/>
      <w:lvlText w:val=""/>
      <w:lvlJc w:val="left"/>
    </w:lvl>
    <w:lvl w:ilvl="7" w:tplc="00AE8884">
      <w:numFmt w:val="decimal"/>
      <w:lvlText w:val=""/>
      <w:lvlJc w:val="left"/>
    </w:lvl>
    <w:lvl w:ilvl="8" w:tplc="BA42F262">
      <w:numFmt w:val="decimal"/>
      <w:lvlText w:val=""/>
      <w:lvlJc w:val="left"/>
    </w:lvl>
  </w:abstractNum>
  <w:abstractNum w:abstractNumId="5">
    <w:nsid w:val="625558EC"/>
    <w:multiLevelType w:val="hybridMultilevel"/>
    <w:tmpl w:val="FDA2CB0E"/>
    <w:lvl w:ilvl="0" w:tplc="699861B4">
      <w:start w:val="35"/>
      <w:numFmt w:val="upperLetter"/>
      <w:lvlText w:val="%1."/>
      <w:lvlJc w:val="left"/>
    </w:lvl>
    <w:lvl w:ilvl="1" w:tplc="960E0AC8">
      <w:numFmt w:val="decimal"/>
      <w:lvlText w:val=""/>
      <w:lvlJc w:val="left"/>
    </w:lvl>
    <w:lvl w:ilvl="2" w:tplc="DEBA291A">
      <w:numFmt w:val="decimal"/>
      <w:lvlText w:val=""/>
      <w:lvlJc w:val="left"/>
    </w:lvl>
    <w:lvl w:ilvl="3" w:tplc="52C0E272">
      <w:numFmt w:val="decimal"/>
      <w:lvlText w:val=""/>
      <w:lvlJc w:val="left"/>
    </w:lvl>
    <w:lvl w:ilvl="4" w:tplc="DC2E4DD0">
      <w:numFmt w:val="decimal"/>
      <w:lvlText w:val=""/>
      <w:lvlJc w:val="left"/>
    </w:lvl>
    <w:lvl w:ilvl="5" w:tplc="B0D0CAD8">
      <w:numFmt w:val="decimal"/>
      <w:lvlText w:val=""/>
      <w:lvlJc w:val="left"/>
    </w:lvl>
    <w:lvl w:ilvl="6" w:tplc="7046A3B6">
      <w:numFmt w:val="decimal"/>
      <w:lvlText w:val=""/>
      <w:lvlJc w:val="left"/>
    </w:lvl>
    <w:lvl w:ilvl="7" w:tplc="2F0AE77C">
      <w:numFmt w:val="decimal"/>
      <w:lvlText w:val=""/>
      <w:lvlJc w:val="left"/>
    </w:lvl>
    <w:lvl w:ilvl="8" w:tplc="1F58FDBE">
      <w:numFmt w:val="decimal"/>
      <w:lvlText w:val=""/>
      <w:lvlJc w:val="left"/>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82B"/>
    <w:rsid w:val="0003645A"/>
    <w:rsid w:val="001D359E"/>
    <w:rsid w:val="00243121"/>
    <w:rsid w:val="0050003B"/>
    <w:rsid w:val="0058731F"/>
    <w:rsid w:val="005A100B"/>
    <w:rsid w:val="0067524D"/>
    <w:rsid w:val="00717E2D"/>
    <w:rsid w:val="00837089"/>
    <w:rsid w:val="00B425AD"/>
    <w:rsid w:val="00C157B9"/>
    <w:rsid w:val="00C539A8"/>
    <w:rsid w:val="00DE3B37"/>
    <w:rsid w:val="00E4582B"/>
    <w:rsid w:val="00F67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D7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425AD"/>
    <w:rPr>
      <w:rFonts w:ascii="Tahoma" w:hAnsi="Tahoma" w:cs="Tahoma"/>
      <w:sz w:val="16"/>
      <w:szCs w:val="16"/>
    </w:rPr>
  </w:style>
  <w:style w:type="character" w:customStyle="1" w:styleId="TextbublinyChar">
    <w:name w:val="Text bubliny Char"/>
    <w:basedOn w:val="Standardnpsmoodstavce"/>
    <w:link w:val="Textbubliny"/>
    <w:uiPriority w:val="99"/>
    <w:semiHidden/>
    <w:rsid w:val="00B425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425AD"/>
    <w:rPr>
      <w:rFonts w:ascii="Tahoma" w:hAnsi="Tahoma" w:cs="Tahoma"/>
      <w:sz w:val="16"/>
      <w:szCs w:val="16"/>
    </w:rPr>
  </w:style>
  <w:style w:type="character" w:customStyle="1" w:styleId="TextbublinyChar">
    <w:name w:val="Text bubliny Char"/>
    <w:basedOn w:val="Standardnpsmoodstavce"/>
    <w:link w:val="Textbubliny"/>
    <w:uiPriority w:val="99"/>
    <w:semiHidden/>
    <w:rsid w:val="00B425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736</Words>
  <Characters>4346</Characters>
  <Application>Microsoft Office Word</Application>
  <DocSecurity>0</DocSecurity>
  <Lines>36</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novotnyv</cp:lastModifiedBy>
  <cp:revision>4</cp:revision>
  <cp:lastPrinted>2021-06-13T15:19:00Z</cp:lastPrinted>
  <dcterms:created xsi:type="dcterms:W3CDTF">2021-06-23T18:20:00Z</dcterms:created>
  <dcterms:modified xsi:type="dcterms:W3CDTF">2021-06-23T18:23:00Z</dcterms:modified>
</cp:coreProperties>
</file>