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58" w:rsidRPr="00764958" w:rsidRDefault="00764958" w:rsidP="00764958">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64958">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958">
        <w:rPr>
          <w:rFonts w:ascii="Arial" w:eastAsia="Times New Roman" w:hAnsi="Arial" w:cs="Arial"/>
          <w:b/>
          <w:bCs/>
          <w:szCs w:val="24"/>
          <w:lang w:eastAsia="cs-CZ"/>
        </w:rPr>
        <w:t>Číslo spisu: S/01717/JC/21</w:t>
      </w:r>
    </w:p>
    <w:p w:rsidR="00764958" w:rsidRPr="00764958" w:rsidRDefault="00764958" w:rsidP="00764958">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Číslo jednací: 01717/JC/21</w:t>
      </w:r>
    </w:p>
    <w:p w:rsidR="00764958" w:rsidRPr="00764958" w:rsidRDefault="00764958" w:rsidP="00764958">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PPK-629b/31/21 </w:t>
      </w:r>
    </w:p>
    <w:p w:rsidR="00764958" w:rsidRPr="00764958" w:rsidRDefault="00764958" w:rsidP="00764958">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Dotační titul: A1 </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SMLOUVA O DÍLO</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UZAVŘENÁ DLE USTANOVENÍ § 2586 A NÁSL. ZÁK. Č. 89/2012 SB., OBČANSKÉHO ZÁKONÍKU, VE ZNĚNÍ POZDĚJŠÍCH PŘEDPISŮ</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I. Smluvní strany</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1.1 Objednatel</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Česká republika - Agentura ochrany přírody a krajiny ČR</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Sídlo: Kaplanova 1931/1, 148 00 Praha 11 - Chodov </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Zastoupený: RNDr. Jan Flašar </w:t>
      </w:r>
      <w:r w:rsidRPr="00764958">
        <w:rPr>
          <w:rFonts w:ascii="Arial" w:eastAsia="Times New Roman" w:hAnsi="Arial" w:cs="Arial"/>
          <w:szCs w:val="24"/>
          <w:lang w:eastAsia="cs-CZ"/>
        </w:rPr>
        <w:br/>
        <w:t xml:space="preserve">vedoucí oddělení SCHKO Blanský les - RP Jižní Čechy </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Bankovní spojení: ČNB Praha, Číslo účtu: 18228011/0710</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IČO: 629 335 91</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DIČ: neplátce DPH</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Telefon: 380 301 039</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V rozsahu této smlouvy osoba zmocněná k jednání se zhotovitelem, k věcným úkonům a k převzetí díla: Petr Lepší </w:t>
      </w:r>
      <w:proofErr w:type="spellStart"/>
      <w:r w:rsidRPr="00764958">
        <w:rPr>
          <w:rFonts w:ascii="Arial" w:eastAsia="Times New Roman" w:hAnsi="Arial" w:cs="Arial"/>
          <w:szCs w:val="24"/>
          <w:lang w:eastAsia="cs-CZ"/>
        </w:rPr>
        <w:t>DiS</w:t>
      </w:r>
      <w:proofErr w:type="spellEnd"/>
      <w:r w:rsidRPr="00764958">
        <w:rPr>
          <w:rFonts w:ascii="Arial" w:eastAsia="Times New Roman" w:hAnsi="Arial" w:cs="Arial"/>
          <w:szCs w:val="24"/>
          <w:lang w:eastAsia="cs-CZ"/>
        </w:rPr>
        <w:t>.</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(dále jen </w:t>
      </w:r>
      <w:r w:rsidRPr="00764958">
        <w:rPr>
          <w:rFonts w:ascii="Arial" w:eastAsia="Times New Roman" w:hAnsi="Arial" w:cs="Arial"/>
        </w:rPr>
        <w:t>„</w:t>
      </w:r>
      <w:r w:rsidRPr="00764958">
        <w:rPr>
          <w:rFonts w:ascii="Arial" w:eastAsia="Times New Roman" w:hAnsi="Arial" w:cs="Arial"/>
          <w:szCs w:val="24"/>
          <w:lang w:eastAsia="cs-CZ"/>
        </w:rPr>
        <w:t>objednatel”)</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a</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1.2 Zhotovitel</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 xml:space="preserve">Fencl Aleš </w:t>
      </w:r>
    </w:p>
    <w:p w:rsidR="00764958" w:rsidRPr="00764958" w:rsidRDefault="00764958" w:rsidP="00764958">
      <w:pPr>
        <w:spacing w:before="100" w:beforeAutospacing="1" w:after="24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Sídlo: </w:t>
      </w:r>
      <w:r w:rsidRPr="00764958">
        <w:rPr>
          <w:rFonts w:ascii="Arial" w:eastAsia="Times New Roman" w:hAnsi="Arial" w:cs="Arial"/>
          <w:szCs w:val="24"/>
          <w:lang w:eastAsia="cs-CZ"/>
        </w:rPr>
        <w:br/>
        <w:t xml:space="preserve">Zastoupený: </w:t>
      </w:r>
      <w:r w:rsidRPr="00764958">
        <w:rPr>
          <w:rFonts w:ascii="Arial" w:eastAsia="Times New Roman" w:hAnsi="Arial" w:cs="Arial"/>
          <w:szCs w:val="24"/>
          <w:lang w:eastAsia="cs-CZ"/>
        </w:rPr>
        <w:br/>
        <w:t xml:space="preserve">Bankovní spojení:, Číslo účtu: </w:t>
      </w:r>
      <w:bookmarkStart w:id="0" w:name="_GoBack"/>
      <w:bookmarkEnd w:id="0"/>
      <w:r w:rsidRPr="00764958">
        <w:rPr>
          <w:rFonts w:ascii="Arial" w:eastAsia="Times New Roman" w:hAnsi="Arial" w:cs="Arial"/>
          <w:szCs w:val="24"/>
          <w:lang w:eastAsia="cs-CZ"/>
        </w:rPr>
        <w:br/>
        <w:t>IČO: 68392702</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(dále jen </w:t>
      </w:r>
      <w:r w:rsidRPr="00764958">
        <w:rPr>
          <w:rFonts w:ascii="Arial" w:eastAsia="Times New Roman" w:hAnsi="Arial" w:cs="Arial"/>
        </w:rPr>
        <w:t>„</w:t>
      </w:r>
      <w:r w:rsidRPr="00764958">
        <w:rPr>
          <w:rFonts w:ascii="Arial" w:eastAsia="Times New Roman" w:hAnsi="Arial" w:cs="Arial"/>
          <w:szCs w:val="24"/>
          <w:lang w:eastAsia="cs-CZ"/>
        </w:rPr>
        <w:t xml:space="preserve">zhotovitel”) </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II. Předmět smlouvy</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lastRenderedPageBreak/>
        <w:t xml:space="preserve">2.2 Dílem se rozumí: </w:t>
      </w:r>
    </w:p>
    <w:p w:rsidR="00764958" w:rsidRPr="00764958" w:rsidRDefault="00764958" w:rsidP="00764958">
      <w:pPr>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(1) Řízená rotační pastva ovcí na čtyřech pastvinách – č. 1, 2, 3 a 5 (k. </w:t>
      </w:r>
      <w:proofErr w:type="spellStart"/>
      <w:r w:rsidRPr="00764958">
        <w:rPr>
          <w:rFonts w:ascii="Arial" w:eastAsia="Times New Roman" w:hAnsi="Arial" w:cs="Arial"/>
          <w:szCs w:val="24"/>
          <w:lang w:eastAsia="cs-CZ"/>
        </w:rPr>
        <w:t>ú.</w:t>
      </w:r>
      <w:proofErr w:type="spellEnd"/>
      <w:r w:rsidRPr="00764958">
        <w:rPr>
          <w:rFonts w:ascii="Arial" w:eastAsia="Times New Roman" w:hAnsi="Arial" w:cs="Arial"/>
          <w:szCs w:val="24"/>
          <w:lang w:eastAsia="cs-CZ"/>
        </w:rPr>
        <w:t xml:space="preserve"> Kladné-Dobrkovice p. č. 900/1, 1030/13, 1030/16, k. </w:t>
      </w:r>
      <w:proofErr w:type="spellStart"/>
      <w:r w:rsidRPr="00764958">
        <w:rPr>
          <w:rFonts w:ascii="Arial" w:eastAsia="Times New Roman" w:hAnsi="Arial" w:cs="Arial"/>
          <w:szCs w:val="24"/>
          <w:lang w:eastAsia="cs-CZ"/>
        </w:rPr>
        <w:t>ú.</w:t>
      </w:r>
      <w:proofErr w:type="spellEnd"/>
      <w:r w:rsidRPr="00764958">
        <w:rPr>
          <w:rFonts w:ascii="Arial" w:eastAsia="Times New Roman" w:hAnsi="Arial" w:cs="Arial"/>
          <w:szCs w:val="24"/>
          <w:lang w:eastAsia="cs-CZ"/>
        </w:rPr>
        <w:t xml:space="preserve"> Vyšný 7, 97/1, 97/6), jejichž celková rozloha je 8,9 ha. Všechny pastviny leží na území NPR Vyšenské kopce. Opatření je za účelem udržení a podpory druhově bohatých trávníků s výskytem vzácných a chráněných druhů rostlin a hmyzu. Pastva bude zahájena 10. 5. ukončena nejpozději 30. 10. Jako první bude pasena pastvina č. 2 (počet zvířat bude minimálně 30 ks) dále bude pasena pastvina č. 5, následovat bude 3, dále 1 a poslední opět pastvina 3. Po skončení smluveného pastevního cyklu přemístí zhotovitel stádo na pastviny mimo NPR Vyšenské kopce. Intenzita a délka trvání pastvy v jednotlivých pastevních plochách bude určována pracovníkem Správy. Zhotovitel se zavazuje na základě pokynů pracovníka Správy se stádem ovcí neprodleně manipulovat (přehnání z pastviny na pastvinu, ukončení pastvy atp.). </w:t>
      </w:r>
      <w:r w:rsidRPr="00764958">
        <w:rPr>
          <w:rFonts w:ascii="Arial" w:eastAsia="Times New Roman" w:hAnsi="Arial" w:cs="Arial"/>
          <w:szCs w:val="24"/>
          <w:lang w:eastAsia="cs-CZ"/>
        </w:rPr>
        <w:br/>
        <w:t xml:space="preserve">(2) Oprava oplocení v NPR Vyšenské kopce pro pastvu ovcí příp. koz (p. č. 900/1 k. </w:t>
      </w:r>
      <w:proofErr w:type="spellStart"/>
      <w:r w:rsidRPr="00764958">
        <w:rPr>
          <w:rFonts w:ascii="Arial" w:eastAsia="Times New Roman" w:hAnsi="Arial" w:cs="Arial"/>
          <w:szCs w:val="24"/>
          <w:lang w:eastAsia="cs-CZ"/>
        </w:rPr>
        <w:t>ú.</w:t>
      </w:r>
      <w:proofErr w:type="spellEnd"/>
      <w:r w:rsidRPr="00764958">
        <w:rPr>
          <w:rFonts w:ascii="Arial" w:eastAsia="Times New Roman" w:hAnsi="Arial" w:cs="Arial"/>
          <w:szCs w:val="24"/>
          <w:lang w:eastAsia="cs-CZ"/>
        </w:rPr>
        <w:t xml:space="preserve"> Vyšný); segmenty 6–7. Oprava spočívá ve výměně vysloužilých 80 kůlů, tj. délce 160 m oplocení za nové (vodorovné latě budou použity zdravé stávající). Kůly budou provedeny ze zdravé smrkové tyčoviny, kůly (nepůlené) o průměru 10–15 cm a délce 1,5–2 m, budou zakopány/zatlučeny ve vzdálenosti 2 m. Kůly budou zapuštěny cca 40 cm v zemi, zakopaná/zatlučená část kůlu bude před instalací opálena ohněm, nad zemí bude délka kůlu minimálně 1,5 m. V místech, kde nelze kůl zapustit do země dostatečně hluboko bude zpevněn </w:t>
      </w:r>
      <w:proofErr w:type="spellStart"/>
      <w:r w:rsidRPr="00764958">
        <w:rPr>
          <w:rFonts w:ascii="Arial" w:eastAsia="Times New Roman" w:hAnsi="Arial" w:cs="Arial"/>
          <w:szCs w:val="24"/>
          <w:lang w:eastAsia="cs-CZ"/>
        </w:rPr>
        <w:t>oplůtkovou</w:t>
      </w:r>
      <w:proofErr w:type="spellEnd"/>
      <w:r w:rsidRPr="00764958">
        <w:rPr>
          <w:rFonts w:ascii="Arial" w:eastAsia="Times New Roman" w:hAnsi="Arial" w:cs="Arial"/>
          <w:szCs w:val="24"/>
          <w:lang w:eastAsia="cs-CZ"/>
        </w:rPr>
        <w:t xml:space="preserve"> opěrkou. Vodorovné tyče budou připevněny hřeby, o dostatečné délce a nosnosti. Na opravenou část bude zpět nainstalováno pletivo. Na segmentu 8 a 9 bude provedeno podepření kůlů a jejich stabilizace a to v délce 60 m (tj. stabilizováno bude 30 kůlů). </w:t>
      </w:r>
      <w:r w:rsidRPr="00764958">
        <w:rPr>
          <w:rFonts w:ascii="Arial" w:eastAsia="Times New Roman" w:hAnsi="Arial" w:cs="Arial"/>
          <w:szCs w:val="24"/>
          <w:lang w:eastAsia="cs-CZ"/>
        </w:rPr>
        <w:br/>
        <w:t>(3) Výroba nové brány pro pastevní ohradu v počtu 2 ks. Brána bude vyrobena ze zdravé smrkové tyčoviny - min. 4 podélné a kolmé žerdě doplněné pletivem. Vyrobeny budou 2 ks.</w:t>
      </w:r>
      <w:r w:rsidRPr="00764958">
        <w:rPr>
          <w:rFonts w:ascii="Arial" w:eastAsia="Times New Roman" w:hAnsi="Arial" w:cs="Arial"/>
          <w:szCs w:val="24"/>
          <w:lang w:eastAsia="cs-CZ"/>
        </w:rPr>
        <w:br/>
        <w:t>Rozlohy, vzdálenosti, počty a bližší specifikace jednotlivých dílčích ploch a prací jsou uvedeny v přílohách č. 1 a 2, které jsou nedílnou součástí této smlouvy</w:t>
      </w:r>
      <w:r w:rsidRPr="00764958">
        <w:rPr>
          <w:rFonts w:ascii="Times New Roman" w:eastAsia="Times New Roman" w:hAnsi="Times New Roman" w:cs="Times New Roman"/>
          <w:sz w:val="24"/>
          <w:szCs w:val="24"/>
          <w:lang w:eastAsia="cs-CZ"/>
        </w:rPr>
        <w:t>.</w:t>
      </w:r>
    </w:p>
    <w:p w:rsidR="00764958" w:rsidRPr="00764958" w:rsidRDefault="00764958" w:rsidP="00764958">
      <w:pPr>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Opatření bude provedeno v souladu se standardem AOPK: 02 003 Pastva.</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(dále jen „dílo“)</w:t>
      </w:r>
    </w:p>
    <w:p w:rsidR="00764958" w:rsidRPr="00764958" w:rsidRDefault="00764958" w:rsidP="00764958">
      <w:pPr>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Podrobná specifikace díla je uvedena v příloze č. 1 Technická příloha PPK-629b/31/21, včetně kalkulace a mapových zákresů.</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2.3 Při provádění díla je zhotovitel vázán pokyny objednatele.</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III. Cena díla a platební podmínky</w:t>
      </w:r>
    </w:p>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3.1 Cena díla je stanovena v souladu s právními předpisy:</w:t>
      </w:r>
    </w:p>
    <w:p w:rsidR="00764958" w:rsidRPr="00764958" w:rsidRDefault="00764958" w:rsidP="00764958">
      <w:pPr>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Cena bez DPH: 104 860,33Kč</w:t>
      </w:r>
    </w:p>
    <w:p w:rsidR="00764958" w:rsidRPr="00764958" w:rsidRDefault="00764958" w:rsidP="00764958">
      <w:pPr>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DPH 21%: 22 020,67Kč</w:t>
      </w:r>
    </w:p>
    <w:p w:rsidR="00764958" w:rsidRPr="00764958" w:rsidRDefault="00764958" w:rsidP="00764958">
      <w:pPr>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Cena včetně DPH:126 881,- Kč, (slovy </w:t>
      </w:r>
      <w:proofErr w:type="spellStart"/>
      <w:r w:rsidRPr="00764958">
        <w:rPr>
          <w:rFonts w:ascii="Arial" w:eastAsia="Times New Roman" w:hAnsi="Arial" w:cs="Arial"/>
          <w:szCs w:val="24"/>
          <w:lang w:eastAsia="cs-CZ"/>
        </w:rPr>
        <w:t>jednostodvacetšesttisícosmsetosmdesátjedna</w:t>
      </w:r>
      <w:proofErr w:type="spellEnd"/>
      <w:r w:rsidRPr="00764958">
        <w:rPr>
          <w:rFonts w:ascii="Arial" w:eastAsia="Times New Roman" w:hAnsi="Arial" w:cs="Arial"/>
          <w:szCs w:val="24"/>
          <w:lang w:eastAsia="cs-CZ"/>
        </w:rPr>
        <w:t xml:space="preserve"> korun českých).</w:t>
      </w:r>
    </w:p>
    <w:p w:rsidR="00764958" w:rsidRPr="00764958" w:rsidRDefault="00764958" w:rsidP="00764958">
      <w:pPr>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Zhotovitel je plátce DPH.</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3.2 Dohodnutá cena je stanovena jako nejvýše přípustná. Ke změně může dojít pouze při změně zákonných sazeb DPH.</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lastRenderedPageBreak/>
        <w:t xml:space="preserve">3.3 Veškeré náklady vzniklé zhotoviteli v souvislosti s prováděním díla jsou zahrnuty v ceně díla.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764958">
        <w:rPr>
          <w:rFonts w:ascii="Arial" w:eastAsia="Times New Roman" w:hAnsi="Arial" w:cs="Arial"/>
          <w:szCs w:val="24"/>
          <w:lang w:eastAsia="cs-CZ"/>
        </w:rPr>
        <w:t>11.11. kalendářního</w:t>
      </w:r>
      <w:proofErr w:type="gramEnd"/>
      <w:r w:rsidRPr="00764958">
        <w:rPr>
          <w:rFonts w:ascii="Arial" w:eastAsia="Times New Roman" w:hAnsi="Arial" w:cs="Arial"/>
          <w:szCs w:val="24"/>
          <w:lang w:eastAsia="cs-CZ"/>
        </w:rPr>
        <w:t xml:space="preserve"> roku) na základě předávacího protokolu na adresu: Regionální pracoviště Jižní Čechy, Nám. Přemysla Otakara II. 34, 37001 České Budějovice.</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3.7 Smluvní strany se dohodly, že objednatel nebude poskytovat zálohové platby. </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IV.</w:t>
      </w:r>
      <w:r w:rsidRPr="00764958">
        <w:rPr>
          <w:rFonts w:ascii="Arial" w:eastAsia="Times New Roman" w:hAnsi="Arial" w:cs="Arial"/>
          <w:szCs w:val="24"/>
          <w:lang w:eastAsia="cs-CZ"/>
        </w:rPr>
        <w:t xml:space="preserve"> </w:t>
      </w:r>
      <w:r w:rsidRPr="00764958">
        <w:rPr>
          <w:rFonts w:ascii="Arial" w:eastAsia="Times New Roman" w:hAnsi="Arial" w:cs="Arial"/>
          <w:b/>
          <w:bCs/>
          <w:szCs w:val="24"/>
          <w:lang w:eastAsia="cs-CZ"/>
        </w:rPr>
        <w:t>Doba a místo plnění</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4.1 Zhotovitel se zavazuje provést dílo a předat jej objednateli nejpozději </w:t>
      </w:r>
      <w:proofErr w:type="gramStart"/>
      <w:r w:rsidRPr="00764958">
        <w:rPr>
          <w:rFonts w:ascii="Arial" w:eastAsia="Times New Roman" w:hAnsi="Arial" w:cs="Arial"/>
          <w:szCs w:val="24"/>
          <w:lang w:eastAsia="cs-CZ"/>
        </w:rPr>
        <w:t>do</w:t>
      </w:r>
      <w:proofErr w:type="gramEnd"/>
      <w:r w:rsidRPr="00764958">
        <w:rPr>
          <w:rFonts w:ascii="Arial" w:eastAsia="Times New Roman" w:hAnsi="Arial" w:cs="Arial"/>
          <w:szCs w:val="24"/>
          <w:lang w:eastAsia="cs-CZ"/>
        </w:rPr>
        <w:t xml:space="preserve">: </w:t>
      </w:r>
      <w:proofErr w:type="gramStart"/>
      <w:r w:rsidRPr="00764958">
        <w:rPr>
          <w:rFonts w:ascii="Arial" w:eastAsia="Times New Roman" w:hAnsi="Arial" w:cs="Arial"/>
          <w:szCs w:val="24"/>
          <w:lang w:eastAsia="cs-CZ"/>
        </w:rPr>
        <w:t>31.10.2021</w:t>
      </w:r>
      <w:proofErr w:type="gramEnd"/>
      <w:r w:rsidRPr="00764958">
        <w:rPr>
          <w:rFonts w:ascii="Arial" w:eastAsia="Times New Roman" w:hAnsi="Arial" w:cs="Arial"/>
          <w:szCs w:val="24"/>
          <w:lang w:eastAsia="cs-CZ"/>
        </w:rPr>
        <w:t>.</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4.3 Místem plnění je NPR Vyšenské kopce.</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V. Další ujednání</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lastRenderedPageBreak/>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764958">
          <w:rPr>
            <w:rFonts w:ascii="Arial" w:eastAsia="Times New Roman" w:hAnsi="Arial" w:cs="Arial"/>
            <w:color w:val="0000FF"/>
            <w:szCs w:val="24"/>
            <w:u w:val="single"/>
            <w:lang w:eastAsia="cs-CZ"/>
          </w:rPr>
          <w:t>https://portal.nature.cz/publik_syst/files/oop_mngmonvyj.pdf</w:t>
        </w:r>
      </w:hyperlink>
      <w:r w:rsidRPr="00764958">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764958" w:rsidRPr="00764958" w:rsidRDefault="00764958" w:rsidP="0076495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VI. Předání a převzetí díla</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64958" w:rsidRPr="00764958" w:rsidRDefault="00764958" w:rsidP="0076495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VII. Odpovědnost za vady</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7.1 Zhotovitel odpovídá za vady, jež má dílo v době jeho předání objednateli, byť se vady projeví až později.</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7.4 Zhotovitel poskytuje na dílo záruku v délce 6 měsíců. V případě, že délka záruky činí 0 měsíců, ustanovení článků 7.5 až 7.7 se neuplatní.</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764958" w:rsidRPr="00764958" w:rsidRDefault="00764958" w:rsidP="0076495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VIII. Sankce</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lastRenderedPageBreak/>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8.3 Ustanoveními o smluvní pokutě není dotčen nárok oprávněné smluvní strany požadovat náhradu škody v plném rozsahu.</w:t>
      </w:r>
    </w:p>
    <w:p w:rsidR="00764958" w:rsidRPr="00764958" w:rsidRDefault="00764958" w:rsidP="0076495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64958">
        <w:rPr>
          <w:rFonts w:ascii="Arial" w:eastAsia="Times New Roman" w:hAnsi="Arial" w:cs="Arial"/>
          <w:b/>
          <w:bCs/>
          <w:szCs w:val="24"/>
          <w:lang w:eastAsia="cs-CZ"/>
        </w:rPr>
        <w:t>IX. Závěrečná ustanovení</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64958" w:rsidRPr="00764958" w:rsidRDefault="00764958" w:rsidP="00764958">
      <w:pPr>
        <w:keepLines/>
        <w:spacing w:before="120" w:after="120" w:line="240" w:lineRule="auto"/>
        <w:ind w:left="340" w:hanging="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9.7 Nedílnou součástí smlouvy jsou tyto přílohy:</w:t>
      </w:r>
    </w:p>
    <w:p w:rsidR="00764958" w:rsidRPr="00764958" w:rsidRDefault="00764958" w:rsidP="00764958">
      <w:pPr>
        <w:keepLines/>
        <w:spacing w:before="120" w:after="120" w:line="240" w:lineRule="auto"/>
        <w:ind w:left="340"/>
        <w:jc w:val="both"/>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Příloha č. 1 – Technická příloha PPK-629b/31/21 včetně kalkulace a mapových zákresů.</w:t>
      </w:r>
    </w:p>
    <w:p w:rsidR="00764958" w:rsidRPr="00764958" w:rsidRDefault="00764958" w:rsidP="00764958">
      <w:pPr>
        <w:spacing w:after="0" w:line="240" w:lineRule="auto"/>
        <w:jc w:val="both"/>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p w:rsidR="00764958" w:rsidRPr="00764958" w:rsidRDefault="00764958" w:rsidP="00764958">
      <w:pPr>
        <w:spacing w:before="100" w:beforeAutospacing="1" w:after="100" w:afterAutospacing="1"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73"/>
        <w:gridCol w:w="806"/>
        <w:gridCol w:w="371"/>
        <w:gridCol w:w="60"/>
        <w:gridCol w:w="1673"/>
        <w:gridCol w:w="249"/>
        <w:gridCol w:w="854"/>
        <w:gridCol w:w="1727"/>
        <w:gridCol w:w="370"/>
        <w:gridCol w:w="35"/>
        <w:gridCol w:w="424"/>
        <w:gridCol w:w="1425"/>
        <w:gridCol w:w="180"/>
        <w:gridCol w:w="25"/>
      </w:tblGrid>
      <w:tr w:rsidR="00764958" w:rsidRPr="00764958" w:rsidTr="00764958">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64958" w:rsidRPr="00764958" w:rsidRDefault="00764958" w:rsidP="00764958">
            <w:pPr>
              <w:spacing w:after="0"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jc w:val="center"/>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dne ...................</w:t>
            </w:r>
          </w:p>
        </w:tc>
      </w:tr>
      <w:tr w:rsidR="00764958" w:rsidRPr="00764958" w:rsidTr="00764958">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r>
      <w:tr w:rsidR="00764958" w:rsidRPr="00764958" w:rsidTr="00764958">
        <w:trPr>
          <w:gridAfter w:val="2"/>
          <w:wAfter w:w="310" w:type="dxa"/>
          <w:jc w:val="center"/>
        </w:trPr>
        <w:tc>
          <w:tcPr>
            <w:tcW w:w="4583" w:type="dxa"/>
            <w:gridSpan w:val="5"/>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Arial" w:eastAsia="Times New Roman" w:hAnsi="Arial" w:cs="Arial"/>
                <w:szCs w:val="24"/>
                <w:lang w:eastAsia="cs-CZ"/>
              </w:rPr>
              <w:t>Zhotovitel</w:t>
            </w:r>
          </w:p>
        </w:tc>
      </w:tr>
      <w:tr w:rsidR="00764958" w:rsidRPr="00764958" w:rsidTr="00764958">
        <w:trPr>
          <w:gridAfter w:val="2"/>
          <w:wAfter w:w="310" w:type="dxa"/>
          <w:trHeight w:val="388"/>
          <w:jc w:val="center"/>
        </w:trPr>
        <w:tc>
          <w:tcPr>
            <w:tcW w:w="946"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r>
      <w:tr w:rsidR="00764958" w:rsidRPr="00764958" w:rsidTr="00764958">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r w:rsidRPr="00764958">
              <w:rPr>
                <w:rFonts w:ascii="Times New Roman" w:eastAsia="Times New Roman" w:hAnsi="Times New Roman" w:cs="Times New Roman"/>
                <w:sz w:val="24"/>
                <w:szCs w:val="24"/>
                <w:lang w:eastAsia="cs-CZ"/>
              </w:rPr>
              <w:t> </w:t>
            </w:r>
          </w:p>
        </w:tc>
      </w:tr>
      <w:tr w:rsidR="00764958" w:rsidRPr="00764958" w:rsidTr="00764958">
        <w:trPr>
          <w:gridAfter w:val="2"/>
          <w:wAfter w:w="310" w:type="dxa"/>
          <w:jc w:val="center"/>
        </w:trPr>
        <w:tc>
          <w:tcPr>
            <w:tcW w:w="4583" w:type="dxa"/>
            <w:gridSpan w:val="5"/>
            <w:tcBorders>
              <w:top w:val="nil"/>
              <w:left w:val="nil"/>
              <w:bottom w:val="nil"/>
              <w:right w:val="nil"/>
            </w:tcBorders>
            <w:shd w:val="clear" w:color="auto" w:fill="auto"/>
            <w:vAlign w:val="center"/>
          </w:tcPr>
          <w:p w:rsidR="00764958" w:rsidRPr="00764958" w:rsidRDefault="00764958" w:rsidP="00764958">
            <w:pPr>
              <w:spacing w:after="0" w:line="240" w:lineRule="auto"/>
              <w:jc w:val="center"/>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tcPr>
          <w:p w:rsidR="00764958" w:rsidRPr="00764958" w:rsidRDefault="00764958" w:rsidP="00764958">
            <w:pPr>
              <w:spacing w:after="0" w:line="240" w:lineRule="auto"/>
              <w:jc w:val="center"/>
              <w:rPr>
                <w:rFonts w:ascii="Times New Roman" w:eastAsia="Times New Roman" w:hAnsi="Times New Roman" w:cs="Times New Roman"/>
                <w:sz w:val="24"/>
                <w:szCs w:val="24"/>
                <w:lang w:eastAsia="cs-CZ"/>
              </w:rPr>
            </w:pPr>
          </w:p>
        </w:tc>
      </w:tr>
      <w:tr w:rsidR="00764958" w:rsidRPr="00764958" w:rsidTr="00764958">
        <w:trPr>
          <w:jc w:val="center"/>
        </w:trPr>
        <w:tc>
          <w:tcPr>
            <w:tcW w:w="946"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1015"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540"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50"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2032"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2018"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539"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35"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2516" w:type="dxa"/>
            <w:gridSpan w:val="3"/>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c>
          <w:tcPr>
            <w:tcW w:w="35" w:type="dxa"/>
            <w:tcBorders>
              <w:top w:val="nil"/>
              <w:left w:val="nil"/>
              <w:bottom w:val="nil"/>
              <w:right w:val="nil"/>
            </w:tcBorders>
            <w:shd w:val="clear" w:color="auto" w:fill="auto"/>
            <w:vAlign w:val="center"/>
          </w:tcPr>
          <w:p w:rsidR="00764958" w:rsidRPr="00764958" w:rsidRDefault="00764958" w:rsidP="00764958">
            <w:pPr>
              <w:spacing w:after="0" w:line="240" w:lineRule="auto"/>
              <w:rPr>
                <w:rFonts w:ascii="Times New Roman" w:eastAsia="Times New Roman" w:hAnsi="Times New Roman" w:cs="Times New Roman"/>
                <w:sz w:val="24"/>
                <w:szCs w:val="24"/>
                <w:lang w:eastAsia="cs-CZ"/>
              </w:rPr>
            </w:pPr>
          </w:p>
        </w:tc>
      </w:tr>
    </w:tbl>
    <w:p w:rsidR="00A278C3" w:rsidRDefault="00764958"/>
    <w:sectPr w:rsidR="00A27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58"/>
    <w:rsid w:val="001872F3"/>
    <w:rsid w:val="004444BC"/>
    <w:rsid w:val="00764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8F579-C0F4-4AFD-A359-1112B733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649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64958"/>
    <w:rPr>
      <w:b/>
      <w:bCs/>
    </w:rPr>
  </w:style>
  <w:style w:type="character" w:styleId="Hypertextovodkaz">
    <w:name w:val="Hyperlink"/>
    <w:basedOn w:val="Standardnpsmoodstavce"/>
    <w:uiPriority w:val="99"/>
    <w:semiHidden/>
    <w:unhideWhenUsed/>
    <w:rsid w:val="00764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10835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Lepší</dc:creator>
  <cp:keywords/>
  <dc:description/>
  <cp:lastModifiedBy>Petr Lepší</cp:lastModifiedBy>
  <cp:revision>1</cp:revision>
  <dcterms:created xsi:type="dcterms:W3CDTF">2021-06-16T07:37:00Z</dcterms:created>
  <dcterms:modified xsi:type="dcterms:W3CDTF">2021-06-16T07:37:00Z</dcterms:modified>
</cp:coreProperties>
</file>