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6C" w:rsidRDefault="00DD36E6">
      <w:pPr>
        <w:spacing w:after="0" w:line="259" w:lineRule="auto"/>
        <w:ind w:left="1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828800" cy="71374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26C" w:rsidRDefault="00DD36E6">
      <w:pPr>
        <w:spacing w:after="10" w:line="234" w:lineRule="auto"/>
        <w:ind w:left="0" w:right="7363" w:firstLine="0"/>
        <w:jc w:val="left"/>
      </w:pPr>
      <w:r>
        <w:rPr>
          <w:sz w:val="24"/>
        </w:rPr>
        <w:t xml:space="preserve"> </w:t>
      </w:r>
      <w:r>
        <w:rPr>
          <w:sz w:val="28"/>
        </w:rP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rPr>
          <w:color w:val="271C15"/>
          <w:sz w:val="28"/>
        </w:rPr>
        <w:t xml:space="preserve">KONYTECH, s.r.o.,  </w:t>
      </w:r>
    </w:p>
    <w:p w:rsidR="000C526C" w:rsidRDefault="00DD36E6">
      <w:pPr>
        <w:spacing w:after="0" w:line="259" w:lineRule="auto"/>
        <w:ind w:left="-5"/>
        <w:jc w:val="left"/>
      </w:pPr>
      <w:r>
        <w:rPr>
          <w:color w:val="271C15"/>
          <w:sz w:val="28"/>
        </w:rPr>
        <w:t xml:space="preserve">Hlavní Náměstí 96/8, 785 01 </w:t>
      </w:r>
      <w:r>
        <w:rPr>
          <w:color w:val="271C15"/>
          <w:sz w:val="28"/>
        </w:rPr>
        <w:t xml:space="preserve"> </w:t>
      </w:r>
      <w:r>
        <w:rPr>
          <w:color w:val="271C15"/>
          <w:sz w:val="28"/>
        </w:rPr>
        <w:t>ŠTERNBERK</w:t>
      </w:r>
      <w:r>
        <w:rPr>
          <w:color w:val="271C15"/>
          <w:sz w:val="28"/>
        </w:rPr>
        <w:t xml:space="preserve"> </w:t>
      </w:r>
    </w:p>
    <w:p w:rsidR="000C526C" w:rsidRDefault="00DD36E6">
      <w:pPr>
        <w:spacing w:after="0" w:line="259" w:lineRule="auto"/>
        <w:ind w:left="-5"/>
        <w:jc w:val="left"/>
      </w:pPr>
      <w:r>
        <w:rPr>
          <w:color w:val="271C15"/>
          <w:sz w:val="28"/>
        </w:rPr>
        <w:t xml:space="preserve">IČ: </w:t>
      </w:r>
      <w:r>
        <w:rPr>
          <w:noProof/>
        </w:rPr>
        <w:drawing>
          <wp:inline distT="0" distB="0" distL="0" distR="0">
            <wp:extent cx="749300" cy="177800"/>
            <wp:effectExtent l="0" t="0" r="0" b="0"/>
            <wp:docPr id="579" name="Picture 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Picture 5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71C15"/>
          <w:sz w:val="28"/>
        </w:rPr>
        <w:t xml:space="preserve"> DIČ: CZ27813916</w:t>
      </w:r>
      <w:r>
        <w:rPr>
          <w:rFonts w:ascii="Cambria" w:eastAsia="Cambria" w:hAnsi="Cambria" w:cs="Cambria"/>
          <w:b/>
          <w:i/>
        </w:rPr>
        <w:t xml:space="preserve">                                                             </w:t>
      </w:r>
      <w:r>
        <w:rPr>
          <w:color w:val="2E3191"/>
          <w:sz w:val="28"/>
        </w:rPr>
        <w:t xml:space="preserve"> </w:t>
      </w:r>
    </w:p>
    <w:p w:rsidR="000C526C" w:rsidRDefault="00DD36E6">
      <w:pPr>
        <w:spacing w:after="0" w:line="259" w:lineRule="auto"/>
        <w:ind w:left="0" w:right="-2" w:firstLine="0"/>
        <w:jc w:val="right"/>
      </w:pPr>
      <w:r>
        <w:t xml:space="preserve">                                                                               </w:t>
      </w:r>
    </w:p>
    <w:p w:rsidR="000C526C" w:rsidRDefault="00DD36E6">
      <w:pPr>
        <w:spacing w:after="0" w:line="259" w:lineRule="auto"/>
        <w:jc w:val="center"/>
      </w:pPr>
      <w:r>
        <w:t xml:space="preserve">Šternberk </w:t>
      </w:r>
      <w:r>
        <w:t xml:space="preserve">30.9.2019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Objednávka</w:t>
      </w:r>
      <w:r>
        <w:rPr>
          <w:b/>
        </w:rP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ind w:left="-5" w:right="1406"/>
      </w:pPr>
      <w:r>
        <w:t>Na základě Vaší cenové nabídky z</w:t>
      </w:r>
      <w:r>
        <w:t xml:space="preserve"> 19.9.2019-  </w:t>
      </w:r>
    </w:p>
    <w:p w:rsidR="000C526C" w:rsidRDefault="00DD36E6">
      <w:pPr>
        <w:spacing w:after="0" w:line="259" w:lineRule="auto"/>
        <w:ind w:left="0" w:right="3974" w:firstLine="0"/>
        <w:jc w:val="left"/>
      </w:pPr>
      <w:r>
        <w:rPr>
          <w:b/>
        </w:rPr>
        <w:t xml:space="preserve">MODERNIZACE DÍLEN ZŠ SVATOPLUKOVA 7, ŠTERNBERK </w:t>
      </w:r>
      <w:r>
        <w:t xml:space="preserve"> </w:t>
      </w:r>
      <w:r>
        <w:t>u Vás objednáváme tyto stavební práce: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  <w:t xml:space="preserve"> </w:t>
      </w:r>
      <w:r>
        <w:rPr>
          <w:rFonts w:ascii="Cambria" w:eastAsia="Cambria" w:hAnsi="Cambria" w:cs="Cambria"/>
          <w:b/>
          <w:sz w:val="16"/>
        </w:rPr>
        <w:tab/>
        <w:t xml:space="preserve"> </w:t>
      </w:r>
      <w:r>
        <w:rPr>
          <w:rFonts w:ascii="Cambria" w:eastAsia="Cambria" w:hAnsi="Cambria" w:cs="Cambria"/>
          <w:b/>
          <w:sz w:val="16"/>
        </w:rPr>
        <w:tab/>
        <w:t xml:space="preserve"> </w:t>
      </w:r>
      <w:r>
        <w:rPr>
          <w:rFonts w:ascii="Cambria" w:eastAsia="Cambria" w:hAnsi="Cambria" w:cs="Cambria"/>
          <w:b/>
          <w:sz w:val="16"/>
        </w:rPr>
        <w:tab/>
        <w:t xml:space="preserve"> </w:t>
      </w:r>
      <w:r>
        <w:rPr>
          <w:rFonts w:ascii="Cambria" w:eastAsia="Cambria" w:hAnsi="Cambria" w:cs="Cambria"/>
          <w:b/>
          <w:sz w:val="16"/>
        </w:rPr>
        <w:tab/>
        <w:t xml:space="preserve"> </w:t>
      </w:r>
      <w:r>
        <w:rPr>
          <w:rFonts w:ascii="Cambria" w:eastAsia="Cambria" w:hAnsi="Cambria" w:cs="Cambria"/>
          <w:b/>
          <w:sz w:val="16"/>
        </w:rPr>
        <w:tab/>
        <w:t xml:space="preserve"> 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</w:t>
      </w:r>
      <w:r>
        <w:rPr>
          <w:rFonts w:ascii="Cambria" w:eastAsia="Cambria" w:hAnsi="Cambria" w:cs="Cambria"/>
          <w:b/>
          <w:vertAlign w:val="subscript"/>
        </w:rPr>
        <w:t xml:space="preserve"> </w:t>
      </w:r>
      <w:r>
        <w:rPr>
          <w:rFonts w:ascii="Cambria" w:eastAsia="Cambria" w:hAnsi="Cambria" w:cs="Cambria"/>
          <w:b/>
          <w:sz w:val="14"/>
        </w:rPr>
        <w:t xml:space="preserve"> </w:t>
      </w:r>
      <w:r>
        <w:rPr>
          <w:rFonts w:ascii="Cambria" w:eastAsia="Cambria" w:hAnsi="Cambria" w:cs="Cambria"/>
          <w:b/>
          <w:sz w:val="14"/>
        </w:rPr>
        <w:tab/>
        <w:t xml:space="preserve"> </w:t>
      </w:r>
      <w:r>
        <w:rPr>
          <w:rFonts w:ascii="Cambria" w:eastAsia="Cambria" w:hAnsi="Cambria" w:cs="Cambria"/>
          <w:b/>
          <w:sz w:val="14"/>
        </w:rPr>
        <w:tab/>
        <w:t xml:space="preserve"> </w:t>
      </w:r>
      <w:r>
        <w:rPr>
          <w:rFonts w:ascii="Cambria" w:eastAsia="Cambria" w:hAnsi="Cambria" w:cs="Cambria"/>
          <w:b/>
          <w:sz w:val="14"/>
        </w:rPr>
        <w:tab/>
        <w:t xml:space="preserve"> </w:t>
      </w:r>
      <w:r>
        <w:rPr>
          <w:rFonts w:ascii="Cambria" w:eastAsia="Cambria" w:hAnsi="Cambria" w:cs="Cambria"/>
          <w:b/>
          <w:sz w:val="14"/>
        </w:rPr>
        <w:tab/>
        <w:t xml:space="preserve"> </w:t>
      </w:r>
      <w:r>
        <w:rPr>
          <w:rFonts w:ascii="Cambria" w:eastAsia="Cambria" w:hAnsi="Cambria" w:cs="Cambria"/>
          <w:b/>
          <w:sz w:val="14"/>
        </w:rPr>
        <w:tab/>
        <w:t xml:space="preserve"> </w:t>
      </w:r>
      <w:r>
        <w:rPr>
          <w:rFonts w:ascii="Cambria" w:eastAsia="Cambria" w:hAnsi="Cambria" w:cs="Cambria"/>
          <w:b/>
          <w:sz w:val="14"/>
        </w:rPr>
        <w:tab/>
        <w:t xml:space="preserve"> </w:t>
      </w:r>
      <w:r>
        <w:rPr>
          <w:rFonts w:ascii="Cambria" w:eastAsia="Cambria" w:hAnsi="Cambria" w:cs="Cambria"/>
          <w:b/>
          <w:sz w:val="14"/>
        </w:rPr>
        <w:tab/>
        <w:t xml:space="preserve">   </w:t>
      </w:r>
      <w:r>
        <w:rPr>
          <w:rFonts w:ascii="Cambria" w:eastAsia="Cambria" w:hAnsi="Cambria" w:cs="Cambria"/>
          <w:b/>
          <w:sz w:val="16"/>
        </w:rPr>
        <w:t>množství         MJ</w:t>
      </w:r>
      <w:r>
        <w:t xml:space="preserve"> </w:t>
      </w:r>
    </w:p>
    <w:tbl>
      <w:tblPr>
        <w:tblStyle w:val="TableGrid"/>
        <w:tblW w:w="8394" w:type="dxa"/>
        <w:tblInd w:w="-14" w:type="dxa"/>
        <w:tblCellMar>
          <w:top w:w="3" w:type="dxa"/>
          <w:left w:w="221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6452"/>
        <w:gridCol w:w="1020"/>
        <w:gridCol w:w="922"/>
      </w:tblGrid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tabs>
                <w:tab w:val="center" w:pos="270"/>
                <w:tab w:val="center" w:pos="184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 xml:space="preserve">SDK </w:t>
            </w:r>
            <w:r>
              <w:rPr>
                <w:rFonts w:ascii="Cambria" w:eastAsia="Cambria" w:hAnsi="Cambria" w:cs="Cambria"/>
                <w:sz w:val="16"/>
              </w:rPr>
              <w:t xml:space="preserve">D+M ochranných rohů </w:t>
            </w:r>
            <w:proofErr w:type="spellStart"/>
            <w:r>
              <w:rPr>
                <w:rFonts w:ascii="Cambria" w:eastAsia="Cambria" w:hAnsi="Cambria" w:cs="Cambria"/>
                <w:sz w:val="16"/>
              </w:rPr>
              <w:t>Aquabead</w:t>
            </w:r>
            <w:proofErr w:type="spellEnd"/>
            <w:r>
              <w:rPr>
                <w:rFonts w:ascii="Cambria" w:eastAsia="Cambria" w:hAnsi="Cambria" w:cs="Cambria"/>
                <w:sz w:val="1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70,0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m </w:t>
            </w:r>
          </w:p>
        </w:tc>
      </w:tr>
      <w:tr w:rsidR="000C526C">
        <w:trPr>
          <w:trHeight w:val="199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tabs>
                <w:tab w:val="center" w:pos="270"/>
                <w:tab w:val="center" w:pos="16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>2.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 xml:space="preserve">Nové zárubně dle nabídky – 3 ks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1,0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6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soubor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tabs>
                <w:tab w:val="center" w:pos="270"/>
                <w:tab w:val="center" w:pos="15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>3.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 xml:space="preserve">D+M nových zárubní do SDK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2,0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tabs>
                <w:tab w:val="center" w:pos="270"/>
                <w:tab w:val="center" w:pos="15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>4.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 xml:space="preserve">Instalace montážních dvířek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2,0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tabs>
                <w:tab w:val="center" w:pos="270"/>
                <w:tab w:val="center" w:pos="24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>5.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 xml:space="preserve">Zhotovení bezbariérových přechodů v dveřních otvorech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4,0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199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tabs>
                <w:tab w:val="center" w:pos="270"/>
                <w:tab w:val="center" w:pos="159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>6.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 xml:space="preserve">D+M trám pro uchycení tabule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2,0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tabs>
                <w:tab w:val="center" w:pos="270"/>
                <w:tab w:val="center" w:pos="12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>7.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 xml:space="preserve">D+M PVC parapetů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9,0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tabs>
                <w:tab w:val="center" w:pos="270"/>
                <w:tab w:val="center" w:pos="225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>8.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 xml:space="preserve">Vedlejší režijní náklady z položek 1-21 ve výši 5%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1,0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tabs>
                <w:tab w:val="center" w:pos="270"/>
                <w:tab w:val="center" w:pos="14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>9.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mbria" w:eastAsia="Cambria" w:hAnsi="Cambria" w:cs="Cambria"/>
                <w:sz w:val="16"/>
              </w:rPr>
              <w:t xml:space="preserve">Kabel CYKY 3C2,5 zásuvky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200,0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m </w:t>
            </w:r>
          </w:p>
        </w:tc>
      </w:tr>
      <w:tr w:rsidR="000C526C">
        <w:trPr>
          <w:trHeight w:val="199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10.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Kabel CYKY 3C/A1,5 světla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50,0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m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11.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kabel CYKY-J 5x4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25,0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m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12.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vodič H07V-U 6 zelenožlutý (CY)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180,0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m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13.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D+M Chránička </w:t>
            </w:r>
            <w:proofErr w:type="spellStart"/>
            <w:r>
              <w:rPr>
                <w:rFonts w:ascii="Cambria" w:eastAsia="Cambria" w:hAnsi="Cambria" w:cs="Cambria"/>
                <w:sz w:val="16"/>
              </w:rPr>
              <w:t>Kopoflex</w:t>
            </w:r>
            <w:proofErr w:type="spellEnd"/>
            <w:r>
              <w:rPr>
                <w:rFonts w:ascii="Cambria" w:eastAsia="Cambria" w:hAnsi="Cambria" w:cs="Cambria"/>
                <w:sz w:val="16"/>
              </w:rPr>
              <w:t xml:space="preserve"> 50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33,0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m </w:t>
            </w:r>
          </w:p>
        </w:tc>
      </w:tr>
      <w:tr w:rsidR="000C526C">
        <w:trPr>
          <w:trHeight w:val="199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14.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Proudový chránič 3F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1,0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15.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Jistič 1p10/16/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2,0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16.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Propojovací lišty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0,5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m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17.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Nulová svorka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3,0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199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18.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Zásuvka jednoduchá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1,0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19.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Vypínač č.6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5,0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20.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krabice sádrokartonová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17,0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21.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Svítidlo zářivkové LLX 2*36W AL EP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1,0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199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22.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Zářivková trubice 36W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4,0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23.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Svítidlo SLIM 136ASEP 1*36W Přisazené – před tabuli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2,0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202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24.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D+M průtokový ohřívač vody 10 l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2,0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761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25.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Přeložka stoupačky kanalizace a vody do 2.NP – nové dveře </w:t>
            </w:r>
          </w:p>
          <w:p w:rsidR="000C526C" w:rsidRDefault="00DD36E6">
            <w:pPr>
              <w:spacing w:after="0" w:line="259" w:lineRule="auto"/>
              <w:ind w:left="56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 xml:space="preserve">Demontáž litinové stoupačky, vysekání drážky pro přeložku, vybourání podlahy, nové kanalizační potrubí, zabetonování podlahy, nové propojení přívodu vody do 2.NP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1,0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1135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26.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Úprava ústředního vytápění </w:t>
            </w:r>
          </w:p>
          <w:p w:rsidR="000C526C" w:rsidRDefault="00DD36E6">
            <w:pPr>
              <w:spacing w:after="0" w:line="259" w:lineRule="auto"/>
              <w:ind w:left="56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 xml:space="preserve">Vypuštění systému, zmrazování potrubí, demontáž radiátorů, úprava stávajícího potrubí, nové potrubí CU dodání kulových uzávěrů, nové potrubí pro připojení radiátorů, zhotovení výdřev pro zavěšení radiátorů, montáž nových konzol </w:t>
            </w:r>
            <w:r>
              <w:rPr>
                <w:rFonts w:ascii="Cambria" w:eastAsia="Cambria" w:hAnsi="Cambria" w:cs="Cambria"/>
                <w:sz w:val="16"/>
              </w:rPr>
              <w:t xml:space="preserve">pro radiátory montáž radiátorů, dodání nových termostatických ventilů a hlavic, napuštění systému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1,0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  <w:tr w:rsidR="000C526C">
        <w:trPr>
          <w:trHeight w:val="761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6C" w:rsidRDefault="00DD36E6">
            <w:pPr>
              <w:spacing w:after="0" w:line="259" w:lineRule="auto"/>
              <w:ind w:left="20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>27.</w:t>
            </w:r>
            <w:r>
              <w:rPr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</w:rPr>
              <w:t xml:space="preserve">Dodávka nových radiátorů </w:t>
            </w:r>
          </w:p>
          <w:p w:rsidR="000C526C" w:rsidRDefault="00DD36E6">
            <w:pPr>
              <w:spacing w:after="0" w:line="237" w:lineRule="auto"/>
              <w:ind w:left="569" w:right="199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 xml:space="preserve">22/600/1200 – 1 ks; …………….. 2.716,- 22/600/1800 – 2 ks ……………… 7.466,- </w:t>
            </w:r>
          </w:p>
          <w:p w:rsidR="000C526C" w:rsidRDefault="00DD36E6">
            <w:pPr>
              <w:spacing w:after="0" w:line="259" w:lineRule="auto"/>
              <w:ind w:left="569" w:firstLine="0"/>
              <w:jc w:val="left"/>
            </w:pPr>
            <w:r>
              <w:rPr>
                <w:rFonts w:ascii="Cambria" w:eastAsia="Cambria" w:hAnsi="Cambria" w:cs="Cambria"/>
                <w:sz w:val="16"/>
              </w:rPr>
              <w:t xml:space="preserve">22/600/800 – 2 ks ………….……, 3.912,-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6C" w:rsidRDefault="00DD36E6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mbria" w:eastAsia="Cambria" w:hAnsi="Cambria" w:cs="Cambria"/>
                <w:sz w:val="16"/>
              </w:rPr>
              <w:t xml:space="preserve">1,0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26C" w:rsidRDefault="00DD36E6">
            <w:pPr>
              <w:spacing w:after="0" w:line="259" w:lineRule="auto"/>
              <w:ind w:left="0" w:right="188" w:firstLine="0"/>
              <w:jc w:val="center"/>
            </w:pPr>
            <w:r>
              <w:rPr>
                <w:rFonts w:ascii="Cambria" w:eastAsia="Cambria" w:hAnsi="Cambria" w:cs="Cambria"/>
                <w:sz w:val="16"/>
              </w:rPr>
              <w:t xml:space="preserve">ks </w:t>
            </w:r>
          </w:p>
        </w:tc>
      </w:tr>
    </w:tbl>
    <w:p w:rsidR="000C526C" w:rsidRDefault="00DD36E6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  <w:p w:rsidR="000C526C" w:rsidRDefault="00DD36E6">
      <w:pPr>
        <w:spacing w:after="41" w:line="259" w:lineRule="auto"/>
        <w:ind w:left="0" w:firstLine="0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</w:rPr>
        <w:t>Celková dohodnutá cena činí:</w:t>
      </w:r>
      <w:r>
        <w:rPr>
          <w:rFonts w:ascii="Cambria" w:eastAsia="Cambria" w:hAnsi="Cambria" w:cs="Cambria"/>
          <w:sz w:val="28"/>
        </w:rPr>
        <w:t xml:space="preserve">                               </w:t>
      </w:r>
      <w:r>
        <w:rPr>
          <w:rFonts w:ascii="Cambria" w:eastAsia="Cambria" w:hAnsi="Cambria" w:cs="Cambria"/>
        </w:rPr>
        <w:t>70.998,15 Kč bez DPH</w:t>
      </w:r>
      <w:r>
        <w:rPr>
          <w:rFonts w:ascii="Cambria" w:eastAsia="Cambria" w:hAnsi="Cambria" w:cs="Cambria"/>
          <w:sz w:val="28"/>
        </w:rP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8"/>
        </w:rPr>
        <w:t xml:space="preserve">                                                                           </w:t>
      </w:r>
      <w:r>
        <w:rPr>
          <w:rFonts w:ascii="Cambria" w:eastAsia="Cambria" w:hAnsi="Cambria" w:cs="Cambria"/>
          <w:b/>
          <w:sz w:val="28"/>
          <w:u w:val="single" w:color="000000"/>
        </w:rPr>
        <w:t>85.907,76 Kč vč. DPH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8"/>
        </w:rPr>
        <w:t xml:space="preserve"> </w:t>
      </w:r>
    </w:p>
    <w:p w:rsidR="000C526C" w:rsidRDefault="00DD36E6">
      <w:pPr>
        <w:spacing w:after="159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tabs>
          <w:tab w:val="center" w:pos="4538"/>
        </w:tabs>
        <w:spacing w:after="0" w:line="259" w:lineRule="auto"/>
        <w:ind w:left="-15" w:firstLine="0"/>
        <w:jc w:val="left"/>
      </w:pPr>
      <w:r>
        <w:rPr>
          <w:sz w:val="18"/>
        </w:rPr>
        <w:lastRenderedPageBreak/>
        <w:t xml:space="preserve"> </w:t>
      </w:r>
      <w:r>
        <w:rPr>
          <w:sz w:val="18"/>
        </w:rPr>
        <w:tab/>
      </w:r>
      <w:r>
        <w:rPr>
          <w:sz w:val="24"/>
        </w:rPr>
        <w:t>1</w:t>
      </w:r>
    </w:p>
    <w:p w:rsidR="000C526C" w:rsidRDefault="00DD36E6">
      <w:pPr>
        <w:spacing w:after="33" w:line="259" w:lineRule="auto"/>
        <w:ind w:left="-1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840096" cy="370204"/>
                <wp:effectExtent l="0" t="0" r="0" b="0"/>
                <wp:docPr id="6659" name="Group 6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096" cy="370204"/>
                          <a:chOff x="0" y="0"/>
                          <a:chExt cx="5840096" cy="370204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0465" y="104374"/>
                            <a:ext cx="176523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Základní škola Šternberk,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39342" y="123151"/>
                            <a:ext cx="1378260" cy="145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Svatoplukova 7,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p.o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74517" y="104374"/>
                            <a:ext cx="125033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, 785 01 Šternberk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16351" y="142348"/>
                            <a:ext cx="32682" cy="10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558790" y="142348"/>
                            <a:ext cx="32682" cy="10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581650" y="123151"/>
                            <a:ext cx="42262" cy="139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29386" y="258787"/>
                            <a:ext cx="827588" cy="145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731, mobil: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478151" y="240011"/>
                            <a:ext cx="119835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, IČO: 61989860,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17518" y="258787"/>
                            <a:ext cx="42262" cy="139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10795" y="0"/>
                            <a:ext cx="5829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1">
                                <a:moveTo>
                                  <a:pt x="0" y="0"/>
                                </a:moveTo>
                                <a:lnTo>
                                  <a:pt x="5829301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1" name="Picture 5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40100" y="116204"/>
                            <a:ext cx="2222500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55904"/>
                            <a:ext cx="9398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5" name="Picture 5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49400" y="255904"/>
                            <a:ext cx="9271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7" name="Picture 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78200" y="255904"/>
                            <a:ext cx="1143000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59" style="width:459.85pt;height:29.1499pt;mso-position-horizontal-relative:char;mso-position-vertical-relative:line" coordsize="58400,3702">
                <v:rect id="Rectangle 9" style="position:absolute;width:17652;height:1698;left:104;top:1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Základní škola Šternberk, </w:t>
                        </w:r>
                      </w:p>
                    </w:txbxContent>
                  </v:textbox>
                </v:rect>
                <v:rect id="Rectangle 10" style="position:absolute;width:13782;height:1457;left:13393;top:1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Svatoplukova 7, p.o.</w:t>
                        </w:r>
                      </w:p>
                    </w:txbxContent>
                  </v:textbox>
                </v:rect>
                <v:rect id="Rectangle 11" style="position:absolute;width:12503;height:1698;left:23745;top:1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, 785 01 Šternberk</w:t>
                        </w:r>
                      </w:p>
                    </w:txbxContent>
                  </v:textbox>
                </v:rect>
                <v:rect id="Rectangle 12" style="position:absolute;width:326;height:1075;left:33163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326;height:1075;left:55587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422;height:1390;left:55816;top:1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8275;height:1457;left:9293;top:2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731, mobil: </w:t>
                        </w:r>
                      </w:p>
                    </w:txbxContent>
                  </v:textbox>
                </v:rect>
                <v:rect id="Rectangle 16" style="position:absolute;width:11983;height:1698;left:24781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, IČO: 61989860, </w:t>
                        </w:r>
                      </w:p>
                    </w:txbxContent>
                  </v:textbox>
                </v:rect>
                <v:rect id="Rectangle 17" style="position:absolute;width:422;height:1390;left:45175;top:2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" style="position:absolute;width:58293;height:0;left:107;top:0;" coordsize="5829301,0" path="m0,0l5829301,0">
                  <v:stroke weight="1pt" endcap="flat" joinstyle="round" on="true" color="#0000ff"/>
                  <v:fill on="false" color="#000000" opacity="0"/>
                </v:shape>
                <v:shape id="Picture 581" style="position:absolute;width:22225;height:1270;left:33401;top:1162;" filled="f">
                  <v:imagedata r:id="rId11"/>
                </v:shape>
                <v:shape id="Picture 583" style="position:absolute;width:9398;height:1143;left:0;top:2559;" filled="f">
                  <v:imagedata r:id="rId12"/>
                </v:shape>
                <v:shape id="Picture 585" style="position:absolute;width:9271;height:1143;left:15494;top:2559;" filled="f">
                  <v:imagedata r:id="rId13"/>
                </v:shape>
                <v:shape id="Picture 587" style="position:absolute;width:11430;height:1143;left:33782;top:2559;" filled="f">
                  <v:imagedata r:id="rId14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C526C" w:rsidRDefault="00DD36E6">
      <w:pPr>
        <w:spacing w:after="0" w:line="259" w:lineRule="auto"/>
        <w:ind w:left="1" w:firstLine="0"/>
        <w:jc w:val="left"/>
      </w:pPr>
      <w:r>
        <w:rPr>
          <w:noProof/>
        </w:rPr>
        <w:drawing>
          <wp:inline distT="0" distB="0" distL="0" distR="0">
            <wp:extent cx="1828800" cy="713740"/>
            <wp:effectExtent l="0" t="0" r="0" b="0"/>
            <wp:docPr id="693" name="Picture 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Picture 6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26C" w:rsidRDefault="00DD36E6">
      <w:pPr>
        <w:spacing w:after="0" w:line="259" w:lineRule="auto"/>
        <w:ind w:left="1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numPr>
          <w:ilvl w:val="0"/>
          <w:numId w:val="1"/>
        </w:numPr>
        <w:ind w:right="1406" w:hanging="348"/>
      </w:pPr>
      <w:r>
        <w:t>Smluvní strany souhlasí s</w:t>
      </w:r>
      <w:r>
        <w:t xml:space="preserve"> </w:t>
      </w:r>
      <w:r>
        <w:t>tím, že obsah smlouvy není obchodním tajemstvím a smluvní strany mohou smlouvu zveřejnit v</w:t>
      </w:r>
      <w:r>
        <w:t xml:space="preserve"> </w:t>
      </w:r>
      <w:r>
        <w:t xml:space="preserve">rozsahu a za podmínek, jež vyplývají </w:t>
      </w:r>
      <w:r>
        <w:t xml:space="preserve">z </w:t>
      </w:r>
      <w:r>
        <w:t>obecně závazných právních předpisů.</w:t>
      </w:r>
      <w:r>
        <w:t xml:space="preserve"> </w:t>
      </w:r>
    </w:p>
    <w:p w:rsidR="000C526C" w:rsidRDefault="00DD36E6">
      <w:pPr>
        <w:numPr>
          <w:ilvl w:val="0"/>
          <w:numId w:val="1"/>
        </w:numPr>
        <w:ind w:right="1406" w:hanging="348"/>
      </w:pPr>
      <w:r>
        <w:t>Smluvní strany souhlasí s</w:t>
      </w:r>
      <w:r>
        <w:t xml:space="preserve"> </w:t>
      </w:r>
      <w:r>
        <w:t>tím, že smlouva bude zveřejněna v</w:t>
      </w:r>
      <w:r>
        <w:t xml:space="preserve"> registru smluv dle </w:t>
      </w:r>
      <w:r>
        <w:t>příslušných ustanovení zákona č. 340/2015 Sb., o zvláštních podmínkách účinnosti některých smluv, uveřejňování těchto smluv a to v</w:t>
      </w:r>
      <w:r>
        <w:t xml:space="preserve"> </w:t>
      </w:r>
      <w:r>
        <w:t xml:space="preserve">registru </w:t>
      </w:r>
      <w:r>
        <w:t xml:space="preserve">smluv (zákon o registru </w:t>
      </w:r>
      <w:r>
        <w:t xml:space="preserve">smluv). </w:t>
      </w:r>
    </w:p>
    <w:p w:rsidR="000C526C" w:rsidRDefault="00DD36E6">
      <w:pPr>
        <w:numPr>
          <w:ilvl w:val="0"/>
          <w:numId w:val="1"/>
        </w:numPr>
        <w:ind w:right="1406" w:hanging="348"/>
      </w:pPr>
      <w:r>
        <w:t>Smluvní strany se dohodly, že zákonnou povinnost dle § 5 odst. 2 zákona o registru smluv splní Základní škola Svatoplukova 7, Šternberk, příspěvková organizace se sídlem Svatoplukova 1419/7, Šternberk. Současně berou smluvn</w:t>
      </w:r>
      <w:r>
        <w:t>í strany na vědomí, že v</w:t>
      </w:r>
      <w:r>
        <w:t xml:space="preserve"> </w:t>
      </w:r>
      <w:r>
        <w:t>případě nesplnění zákonné povinnosti je smlouva do 3 měsíců od jejího podpisu bez dalšího zrušena od samého počátku.</w:t>
      </w: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ind w:left="-5" w:right="1406"/>
      </w:pPr>
      <w:r>
        <w:t>Fakturu zašlete na adresu školy:</w:t>
      </w:r>
      <w:r>
        <w:t xml:space="preserve"> </w:t>
      </w:r>
    </w:p>
    <w:p w:rsidR="000C526C" w:rsidRDefault="00DD36E6">
      <w:pPr>
        <w:ind w:left="-5" w:right="1406"/>
      </w:pPr>
      <w:r>
        <w:t>Základní škola Svatoplukova 7, Šternberk, příspěvková organizace</w:t>
      </w: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Svatoplukova 1419/7 </w:t>
      </w:r>
    </w:p>
    <w:p w:rsidR="000C526C" w:rsidRDefault="00DD36E6">
      <w:pPr>
        <w:ind w:left="-5" w:right="1406"/>
      </w:pPr>
      <w:r>
        <w:t>78501 Šternberk</w:t>
      </w:r>
      <w:r>
        <w:t xml:space="preserve"> </w:t>
      </w:r>
    </w:p>
    <w:p w:rsidR="000C526C" w:rsidRDefault="00DD36E6">
      <w:pPr>
        <w:ind w:left="-5" w:right="1406"/>
      </w:pPr>
      <w:r>
        <w:t>IČO 619</w:t>
      </w:r>
      <w:r>
        <w:t xml:space="preserve">89860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ind w:left="-5" w:right="1406"/>
      </w:pPr>
      <w:r>
        <w:t>Děkujeme.</w:t>
      </w: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ind w:left="-5" w:right="1406"/>
      </w:pPr>
      <w:r>
        <w:t xml:space="preserve">S </w:t>
      </w:r>
      <w:r>
        <w:t>pozdravem za ZŠ Svatoplukova ve Šternberku</w:t>
      </w: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t xml:space="preserve"> </w:t>
      </w:r>
    </w:p>
    <w:p w:rsidR="000C526C" w:rsidRDefault="00DD36E6">
      <w:pPr>
        <w:spacing w:after="0" w:line="259" w:lineRule="auto"/>
        <w:ind w:left="0" w:right="1931" w:firstLine="0"/>
        <w:jc w:val="center"/>
      </w:pPr>
      <w:r>
        <w:t xml:space="preserve"> </w:t>
      </w:r>
    </w:p>
    <w:p w:rsidR="000C526C" w:rsidRDefault="00DD36E6">
      <w:pPr>
        <w:spacing w:after="0" w:line="259" w:lineRule="auto"/>
        <w:ind w:right="3300"/>
        <w:jc w:val="center"/>
      </w:pPr>
      <w:r>
        <w:t xml:space="preserve">      </w:t>
      </w:r>
      <w:r>
        <w:t>ředitel školy</w:t>
      </w:r>
      <w:r>
        <w:t xml:space="preserve"> </w:t>
      </w:r>
    </w:p>
    <w:p w:rsidR="000C526C" w:rsidRDefault="00DD36E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C526C" w:rsidRDefault="00DD36E6">
      <w:pPr>
        <w:spacing w:after="1165" w:line="239" w:lineRule="auto"/>
        <w:ind w:left="0" w:right="6707" w:firstLine="0"/>
        <w:jc w:val="left"/>
      </w:pPr>
      <w:r>
        <w:rPr>
          <w:rFonts w:ascii="Calibri" w:eastAsia="Calibri" w:hAnsi="Calibri" w:cs="Calibri"/>
        </w:rPr>
        <w:t xml:space="preserve">                                                                             </w:t>
      </w:r>
    </w:p>
    <w:p w:rsidR="000C526C" w:rsidRDefault="00DD36E6">
      <w:pPr>
        <w:tabs>
          <w:tab w:val="center" w:pos="4538"/>
        </w:tabs>
        <w:spacing w:after="0" w:line="259" w:lineRule="auto"/>
        <w:ind w:left="-15" w:firstLine="0"/>
        <w:jc w:val="left"/>
      </w:pPr>
      <w:r>
        <w:rPr>
          <w:sz w:val="18"/>
        </w:rPr>
        <w:lastRenderedPageBreak/>
        <w:t xml:space="preserve"> </w:t>
      </w:r>
      <w:r>
        <w:rPr>
          <w:sz w:val="18"/>
        </w:rPr>
        <w:tab/>
      </w:r>
      <w:r>
        <w:rPr>
          <w:sz w:val="24"/>
        </w:rPr>
        <w:t>2</w:t>
      </w:r>
    </w:p>
    <w:p w:rsidR="000C526C" w:rsidRDefault="00DD36E6">
      <w:pPr>
        <w:spacing w:after="33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829631" cy="370204"/>
                <wp:effectExtent l="0" t="0" r="0" b="0"/>
                <wp:docPr id="5023" name="Group 5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631" cy="370204"/>
                          <a:chOff x="0" y="0"/>
                          <a:chExt cx="5829631" cy="370204"/>
                        </a:xfrm>
                      </wpg:grpSpPr>
                      <wps:wsp>
                        <wps:cNvPr id="678" name="Rectangle 678"/>
                        <wps:cNvSpPr/>
                        <wps:spPr>
                          <a:xfrm>
                            <a:off x="0" y="104374"/>
                            <a:ext cx="176523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Základní škola Šternberk,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1328877" y="123151"/>
                            <a:ext cx="1378260" cy="145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Svatoplukova 7,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p.o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2364052" y="104374"/>
                            <a:ext cx="125033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, 785 01 Šternberk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3305886" y="142348"/>
                            <a:ext cx="32682" cy="10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3330269" y="123151"/>
                            <a:ext cx="42262" cy="139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3362525" y="142348"/>
                            <a:ext cx="32682" cy="10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3386913" y="123151"/>
                            <a:ext cx="202336" cy="145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tel.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5548326" y="142348"/>
                            <a:ext cx="32682" cy="107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5571186" y="123151"/>
                            <a:ext cx="42262" cy="139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Rectangle 915"/>
                        <wps:cNvSpPr/>
                        <wps:spPr>
                          <a:xfrm>
                            <a:off x="1" y="258787"/>
                            <a:ext cx="203556" cy="145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1141239" y="258787"/>
                            <a:ext cx="531917" cy="145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, mobil: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2467687" y="240011"/>
                            <a:ext cx="119835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, IČO: 61989860,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4507053" y="258787"/>
                            <a:ext cx="42262" cy="139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526C" w:rsidRDefault="00DD36E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Shape 694"/>
                        <wps:cNvSpPr/>
                        <wps:spPr>
                          <a:xfrm>
                            <a:off x="330" y="0"/>
                            <a:ext cx="5829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1">
                                <a:moveTo>
                                  <a:pt x="0" y="0"/>
                                </a:moveTo>
                                <a:lnTo>
                                  <a:pt x="5829301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532835" y="116204"/>
                            <a:ext cx="2019300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41935" y="255904"/>
                            <a:ext cx="1003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538935" y="255904"/>
                            <a:ext cx="9271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367735" y="255904"/>
                            <a:ext cx="1143000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23" style="width:459.026pt;height:29.1499pt;mso-position-horizontal-relative:char;mso-position-vertical-relative:line" coordsize="58296,3702">
                <v:rect id="Rectangle 678" style="position:absolute;width:17652;height:1698;left:0;top:1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Základní škola Šternberk, </w:t>
                        </w:r>
                      </w:p>
                    </w:txbxContent>
                  </v:textbox>
                </v:rect>
                <v:rect id="Rectangle 679" style="position:absolute;width:13782;height:1457;left:13288;top:1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Svatoplukova 7, p.o.</w:t>
                        </w:r>
                      </w:p>
                    </w:txbxContent>
                  </v:textbox>
                </v:rect>
                <v:rect id="Rectangle 680" style="position:absolute;width:12503;height:1698;left:23640;top:1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, 785 01 Šternberk</w:t>
                        </w:r>
                      </w:p>
                    </w:txbxContent>
                  </v:textbox>
                </v:rect>
                <v:rect id="Rectangle 681" style="position:absolute;width:326;height:1075;left:33058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2" style="position:absolute;width:422;height:1390;left:33302;top:1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83" style="position:absolute;width:326;height:1075;left:33625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" style="position:absolute;width:2023;height:1457;left:33869;top:1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tel.</w:t>
                        </w:r>
                      </w:p>
                    </w:txbxContent>
                  </v:textbox>
                </v:rect>
                <v:rect id="Rectangle 685" style="position:absolute;width:326;height:1075;left:55483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6" style="position:absolute;width:422;height:1390;left:55711;top:1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5" style="position:absolute;width:2035;height:1457;left:0;top:2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fax</w:t>
                        </w:r>
                      </w:p>
                    </w:txbxContent>
                  </v:textbox>
                </v:rect>
                <v:rect id="Rectangle 917" style="position:absolute;width:5319;height:1457;left:11412;top:2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 mobil: </w:t>
                        </w:r>
                      </w:p>
                    </w:txbxContent>
                  </v:textbox>
                </v:rect>
                <v:rect id="Rectangle 688" style="position:absolute;width:11983;height:1698;left:24676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, IČO: 61989860, </w:t>
                        </w:r>
                      </w:p>
                    </w:txbxContent>
                  </v:textbox>
                </v:rect>
                <v:rect id="Rectangle 689" style="position:absolute;width:422;height:1390;left:45070;top:2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4" style="position:absolute;width:58293;height:0;left:3;top:0;" coordsize="5829301,0" path="m0,0l5829301,0">
                  <v:stroke weight="1pt" endcap="flat" joinstyle="round" on="true" color="#0000ff"/>
                  <v:fill on="false" color="#000000" opacity="0"/>
                </v:shape>
                <v:shape id="Picture 771" style="position:absolute;width:20193;height:1270;left:35328;top:1162;" filled="f">
                  <v:imagedata r:id="rId19"/>
                </v:shape>
                <v:shape id="Picture 773" style="position:absolute;width:10033;height:1143;left:1419;top:2559;" filled="f">
                  <v:imagedata r:id="rId20"/>
                </v:shape>
                <v:shape id="Picture 775" style="position:absolute;width:9271;height:1143;left:15389;top:2559;" filled="f">
                  <v:imagedata r:id="rId21"/>
                </v:shape>
                <v:shape id="Picture 777" style="position:absolute;width:11430;height:1143;left:33677;top:2559;" filled="f">
                  <v:imagedata r:id="rId22"/>
                </v:shape>
              </v:group>
            </w:pict>
          </mc:Fallback>
        </mc:AlternateContent>
      </w:r>
    </w:p>
    <w:p w:rsidR="000C526C" w:rsidRDefault="00DD36E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0C526C">
      <w:pgSz w:w="11906" w:h="16838"/>
      <w:pgMar w:top="697" w:right="0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D13"/>
    <w:multiLevelType w:val="hybridMultilevel"/>
    <w:tmpl w:val="349E1E00"/>
    <w:lvl w:ilvl="0" w:tplc="50D0CE40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AECEB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C66A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A3D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1A4C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EBE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62164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81D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0709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6C"/>
    <w:rsid w:val="000C526C"/>
    <w:rsid w:val="00D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0B649-CC93-49BC-B077-71D4440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0" w:lineRule="auto"/>
      <w:ind w:left="2847" w:hanging="1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40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image" Target="media/image80.jpg"/><Relationship Id="rId7" Type="http://schemas.openxmlformats.org/officeDocument/2006/relationships/image" Target="media/image3.jpg"/><Relationship Id="rId12" Type="http://schemas.openxmlformats.org/officeDocument/2006/relationships/image" Target="media/image30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7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20.jp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6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50.jpg"/><Relationship Id="rId22" Type="http://schemas.openxmlformats.org/officeDocument/2006/relationships/image" Target="media/image9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Renata</dc:creator>
  <cp:keywords/>
  <cp:lastModifiedBy>Sedláková Renata</cp:lastModifiedBy>
  <cp:revision>2</cp:revision>
  <dcterms:created xsi:type="dcterms:W3CDTF">2021-06-22T11:23:00Z</dcterms:created>
  <dcterms:modified xsi:type="dcterms:W3CDTF">2021-06-22T11:23:00Z</dcterms:modified>
</cp:coreProperties>
</file>