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C" w:rsidRDefault="00AC28D5">
      <w:pPr>
        <w:spacing w:after="0" w:line="259" w:lineRule="auto"/>
        <w:ind w:left="384" w:right="374" w:hanging="10"/>
        <w:jc w:val="center"/>
      </w:pPr>
      <w:r>
        <w:rPr>
          <w:sz w:val="36"/>
        </w:rPr>
        <w:t>DOHODA O ZAJIŠTĚNÍ ŠKOLNÍHO STRAVOVÁNÍ</w:t>
      </w:r>
    </w:p>
    <w:p w:rsidR="00902FBC" w:rsidRDefault="00AC28D5">
      <w:pPr>
        <w:spacing w:after="475" w:line="259" w:lineRule="auto"/>
        <w:ind w:left="-29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361" cy="9140"/>
                <wp:effectExtent l="0" t="0" r="0" b="0"/>
                <wp:docPr id="11633" name="Group 1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361" cy="9140"/>
                          <a:chOff x="0" y="0"/>
                          <a:chExt cx="5798361" cy="9140"/>
                        </a:xfrm>
                      </wpg:grpSpPr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5798361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361" h="9140">
                                <a:moveTo>
                                  <a:pt x="0" y="4570"/>
                                </a:moveTo>
                                <a:lnTo>
                                  <a:pt x="5798361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33" style="width:456.564pt;height:0.719696pt;mso-position-horizontal-relative:char;mso-position-vertical-relative:line" coordsize="57983,91">
                <v:shape id="Shape 11632" style="position:absolute;width:57983;height:91;left:0;top:0;" coordsize="5798361,9140" path="m0,4570l5798361,4570">
                  <v:stroke weight="0.7196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2FBC" w:rsidRDefault="00AC28D5">
      <w:pPr>
        <w:spacing w:after="204" w:line="259" w:lineRule="auto"/>
        <w:ind w:left="2"/>
        <w:jc w:val="left"/>
      </w:pPr>
      <w:r>
        <w:rPr>
          <w:sz w:val="28"/>
        </w:rPr>
        <w:t>Smluvní strany</w:t>
      </w:r>
    </w:p>
    <w:p w:rsidR="00902FBC" w:rsidRDefault="00AC28D5">
      <w:pPr>
        <w:spacing w:after="0" w:line="259" w:lineRule="auto"/>
        <w:ind w:left="2"/>
        <w:jc w:val="left"/>
      </w:pPr>
      <w:r>
        <w:rPr>
          <w:sz w:val="28"/>
        </w:rPr>
        <w:t>Školní jídelna Šternberk, příspěvková organizace</w:t>
      </w:r>
    </w:p>
    <w:p w:rsidR="00902FBC" w:rsidRDefault="00AC28D5">
      <w:r>
        <w:t>Svatoplukova 1419/17, 785 01 Šternberk</w:t>
      </w:r>
    </w:p>
    <w:p w:rsidR="00902FBC" w:rsidRDefault="00AC28D5">
      <w:r>
        <w:t xml:space="preserve">IČ </w:t>
      </w:r>
    </w:p>
    <w:p w:rsidR="00902FBC" w:rsidRDefault="00AC28D5">
      <w:pPr>
        <w:spacing w:after="0" w:line="367" w:lineRule="auto"/>
        <w:ind w:right="4663"/>
      </w:pPr>
      <w:r>
        <w:t>Zastoupená:</w:t>
      </w:r>
      <w:r w:rsidR="00ED4CEF">
        <w:t xml:space="preserve"> </w:t>
      </w:r>
      <w:r w:rsidR="00F51D6B">
        <w:t>Mgr. Jaromírem Sedlákem</w:t>
      </w:r>
      <w:r>
        <w:t xml:space="preserve">, </w:t>
      </w:r>
      <w:bookmarkStart w:id="0" w:name="_GoBack"/>
      <w:bookmarkEnd w:id="0"/>
      <w:r>
        <w:t>ředitelem dále jen „dodavatel” a</w:t>
      </w:r>
    </w:p>
    <w:p w:rsidR="00902FBC" w:rsidRDefault="00AC28D5">
      <w:pPr>
        <w:spacing w:after="0" w:line="259" w:lineRule="auto"/>
        <w:ind w:left="2" w:right="568"/>
        <w:jc w:val="left"/>
      </w:pPr>
      <w:r>
        <w:rPr>
          <w:sz w:val="28"/>
        </w:rPr>
        <w:t>Základní škola Svatoplukova 7, Šternberk, příspěvková organizace Svatoplukova 7, 785 01 Šternberk</w:t>
      </w:r>
    </w:p>
    <w:p w:rsidR="00902FBC" w:rsidRDefault="00AC28D5">
      <w:r>
        <w:t>IČ 61989860</w:t>
      </w:r>
    </w:p>
    <w:p w:rsidR="00902FBC" w:rsidRDefault="00AC28D5">
      <w:pPr>
        <w:spacing w:after="6" w:line="427" w:lineRule="auto"/>
        <w:ind w:right="3310"/>
      </w:pPr>
      <w:proofErr w:type="gramStart"/>
      <w:r>
        <w:t>Zastoupená:</w:t>
      </w:r>
      <w:r w:rsidR="00ED4CEF">
        <w:t xml:space="preserve">                                                    </w:t>
      </w:r>
      <w:r>
        <w:t>, ředitelem</w:t>
      </w:r>
      <w:proofErr w:type="gramEnd"/>
      <w:r>
        <w:t xml:space="preserve"> dále jen „odběratel'</w:t>
      </w:r>
      <w:r>
        <w:rPr>
          <w:noProof/>
        </w:rPr>
        <w:drawing>
          <wp:inline distT="0" distB="0" distL="0" distR="0">
            <wp:extent cx="13707" cy="41130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7" cy="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BC" w:rsidRDefault="00AC28D5">
      <w:pPr>
        <w:spacing w:after="619"/>
      </w:pPr>
      <w:r>
        <w:t>uzavřely v souladu s ustanovením S 1746 odst. 2 zákona č. 89/2012 Sb., občanský zákoník (dále jen „občanský zákoník”), ve znění pozdějších předpisů, vyhláškou č. 107/2005 Sb., o školním stravování, ve znění pozdějších předpisů, ustanovením S 119 zákona č. 561/2004 Sb., o předškolním, základním, středním, vyšším odborném a jiném vzdělávání ve znění pozdějších předpisů, a v souladu se zřizovacími listinami dodavatele a odběratele tuto</w:t>
      </w:r>
    </w:p>
    <w:p w:rsidR="00902FBC" w:rsidRDefault="00AC28D5">
      <w:pPr>
        <w:spacing w:after="36" w:line="259" w:lineRule="auto"/>
        <w:ind w:left="384" w:right="367" w:hanging="10"/>
        <w:jc w:val="center"/>
      </w:pPr>
      <w:r>
        <w:rPr>
          <w:sz w:val="36"/>
        </w:rPr>
        <w:t>DOHODU O ZAJIŠTĚNÍ ŠKOLNÍHO STRAVOVÁNÍ</w:t>
      </w:r>
    </w:p>
    <w:p w:rsidR="00902FBC" w:rsidRDefault="00AC28D5">
      <w:pPr>
        <w:spacing w:after="0" w:line="259" w:lineRule="auto"/>
        <w:ind w:left="0" w:firstLine="0"/>
        <w:jc w:val="center"/>
      </w:pPr>
      <w:r>
        <w:rPr>
          <w:sz w:val="40"/>
        </w:rPr>
        <w:t>l.</w:t>
      </w:r>
    </w:p>
    <w:p w:rsidR="00902FBC" w:rsidRDefault="00AC28D5">
      <w:pPr>
        <w:spacing w:after="639"/>
      </w:pPr>
      <w:r>
        <w:t>Předmětem této dohody je úprava vzájemných práv a povinností smluvních stran vznikajících při zajišťování školního stravování dodavatelem pro žáky odběratele.</w:t>
      </w:r>
    </w:p>
    <w:p w:rsidR="00902FBC" w:rsidRDefault="00AC28D5">
      <w:pPr>
        <w:spacing w:after="220"/>
      </w:pPr>
      <w:r>
        <w:t>Dodavatel se zavazuje zajistit školní stravování žáků (dále jen „strávník”) odběratele v souladu s vyhláškou č. 107/2005 Sb., o školním stravování, ve znění pozdějších předpisů, a dalšími právními předpisy upravujícími školní stravování.</w:t>
      </w:r>
    </w:p>
    <w:p w:rsidR="00902FBC" w:rsidRDefault="00AC28D5">
      <w:pPr>
        <w:tabs>
          <w:tab w:val="center" w:pos="6753"/>
        </w:tabs>
        <w:ind w:left="0" w:firstLine="0"/>
        <w:jc w:val="left"/>
      </w:pPr>
      <w:r>
        <w:t>Místo poskytování školního stravování:</w:t>
      </w:r>
      <w:r>
        <w:tab/>
        <w:t>Svatoplukova 1419/17, Šternberk</w:t>
      </w:r>
    </w:p>
    <w:p w:rsidR="00902FBC" w:rsidRDefault="00902FBC">
      <w:pPr>
        <w:sectPr w:rsidR="00902FBC">
          <w:footerReference w:type="even" r:id="rId8"/>
          <w:footerReference w:type="default" r:id="rId9"/>
          <w:footerReference w:type="first" r:id="rId10"/>
          <w:pgSz w:w="11902" w:h="16834"/>
          <w:pgMar w:top="122" w:right="1497" w:bottom="1440" w:left="1317" w:header="708" w:footer="1015" w:gutter="0"/>
          <w:cols w:space="708"/>
        </w:sectPr>
      </w:pPr>
    </w:p>
    <w:p w:rsidR="00902FBC" w:rsidRDefault="00AC28D5">
      <w:pPr>
        <w:spacing w:after="758"/>
      </w:pPr>
      <w:r>
        <w:lastRenderedPageBreak/>
        <w:t>Rozsah poskytování:</w:t>
      </w:r>
    </w:p>
    <w:p w:rsidR="00902FBC" w:rsidRDefault="00AC28D5">
      <w:pPr>
        <w:spacing w:after="260"/>
      </w:pPr>
      <w:r>
        <w:t>Výběr z více druhů jídel: Forma:</w:t>
      </w:r>
    </w:p>
    <w:p w:rsidR="00902FBC" w:rsidRDefault="00AC28D5">
      <w:pPr>
        <w:spacing w:after="0" w:line="259" w:lineRule="auto"/>
        <w:ind w:left="2"/>
        <w:jc w:val="left"/>
      </w:pPr>
      <w:r>
        <w:rPr>
          <w:sz w:val="28"/>
        </w:rPr>
        <w:t>Období zajišťování:</w:t>
      </w:r>
    </w:p>
    <w:p w:rsidR="00902FBC" w:rsidRDefault="00AC28D5">
      <w:r>
        <w:lastRenderedPageBreak/>
        <w:t>Čas zajištění stravování: obědové menu</w:t>
      </w:r>
    </w:p>
    <w:p w:rsidR="00902FBC" w:rsidRDefault="00AC28D5">
      <w:pPr>
        <w:spacing w:after="0"/>
      </w:pPr>
      <w:r>
        <w:t>(polévka/předkrm, hlavní jídlo, doplněk ve formě salátu/dezertu/ovoce a nápoj)</w:t>
      </w:r>
    </w:p>
    <w:p w:rsidR="00902FBC" w:rsidRDefault="00AC28D5">
      <w:pPr>
        <w:spacing w:after="0"/>
        <w:ind w:right="223"/>
      </w:pPr>
      <w:r>
        <w:t xml:space="preserve">ANO dodávka hotových jídel a jejich výdej 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pracovníky dodavatele dle provozního řádu dodavatele dle provozního řádu dodavatele</w:t>
      </w:r>
    </w:p>
    <w:p w:rsidR="00902FBC" w:rsidRDefault="00902FBC">
      <w:pPr>
        <w:sectPr w:rsidR="00902FBC">
          <w:type w:val="continuous"/>
          <w:pgSz w:w="11902" w:h="16834"/>
          <w:pgMar w:top="1440" w:right="1489" w:bottom="1440" w:left="1338" w:header="708" w:footer="708" w:gutter="0"/>
          <w:cols w:num="2" w:space="708" w:equalWidth="0">
            <w:col w:w="2583" w:space="2360"/>
            <w:col w:w="4130"/>
          </w:cols>
        </w:sectPr>
      </w:pPr>
    </w:p>
    <w:p w:rsidR="00902FBC" w:rsidRDefault="00AC28D5">
      <w:proofErr w:type="gramStart"/>
      <w:r>
        <w:lastRenderedPageBreak/>
        <w:t>1 . Strávníci</w:t>
      </w:r>
      <w:proofErr w:type="gramEnd"/>
      <w:r>
        <w:t xml:space="preserve"> odběratele mají právo na odběr jednoho jídla (oběda) denně.</w:t>
      </w:r>
    </w:p>
    <w:p w:rsidR="00902FBC" w:rsidRDefault="00AC28D5">
      <w:pPr>
        <w:numPr>
          <w:ilvl w:val="0"/>
          <w:numId w:val="1"/>
        </w:numPr>
        <w:spacing w:after="11"/>
        <w:ind w:hanging="374"/>
      </w:pPr>
      <w:r>
        <w:lastRenderedPageBreak/>
        <w:t>Strávníci odběratele konzumují oběd přímo v prostorách školní jídelny. Oběd je možno poskytnout do jídlonosiče pouze ve výjimečném případě tj. žák nebo student odběratele nemá nárok na odběr oběda v době své nepřítomnosti ve škole, výjimkou je první den neplánované nepřítomnosti ve škole (nemoci žáka), který je dle S 4 odst. 9 vyhlášky č. 107/2005 Sb., o školním stravování v platném znění, považován za pobyt ve škole.</w:t>
      </w:r>
    </w:p>
    <w:p w:rsidR="00902FBC" w:rsidRDefault="00AC28D5">
      <w:pPr>
        <w:numPr>
          <w:ilvl w:val="0"/>
          <w:numId w:val="1"/>
        </w:numPr>
        <w:spacing w:after="24"/>
        <w:ind w:hanging="374"/>
      </w:pPr>
      <w:r>
        <w:t>Další odběr obědů do jídlonosičů je možné pouze za plnou cenu a způsobem stanoveným dodavatelem pro cizí strávníky.</w:t>
      </w:r>
    </w:p>
    <w:p w:rsidR="00902FBC" w:rsidRDefault="00AC28D5">
      <w:pPr>
        <w:numPr>
          <w:ilvl w:val="0"/>
          <w:numId w:val="1"/>
        </w:numPr>
        <w:spacing w:after="0"/>
        <w:ind w:hanging="374"/>
      </w:pPr>
      <w:r>
        <w:t>Přihlášení strávníků ke stravování probíhá prostřednictvím aplikace https://</w:t>
      </w:r>
      <w:proofErr w:type="gramStart"/>
      <w:r>
        <w:t>www</w:t>
      </w:r>
      <w:proofErr w:type="gramEnd"/>
      <w:r>
        <w:t>.</w:t>
      </w:r>
      <w:proofErr w:type="gramStart"/>
      <w:r>
        <w:t>strava</w:t>
      </w:r>
      <w:proofErr w:type="gramEnd"/>
      <w:r>
        <w:t>.cz/strava/Stravnik/Prihlaseni, tuto aplikaci provozuje Veřejná informační služba, s. r. o.</w:t>
      </w:r>
    </w:p>
    <w:p w:rsidR="00902FBC" w:rsidRDefault="00AC28D5">
      <w:pPr>
        <w:numPr>
          <w:ilvl w:val="0"/>
          <w:numId w:val="1"/>
        </w:numPr>
        <w:spacing w:after="563"/>
        <w:ind w:hanging="374"/>
      </w:pPr>
      <w:r>
        <w:t>Odhlašování/přihlašování strávníků: do 13 hodin předchozího dne.</w:t>
      </w:r>
    </w:p>
    <w:p w:rsidR="00902FBC" w:rsidRDefault="00AC28D5">
      <w:pPr>
        <w:spacing w:after="830"/>
        <w:ind w:left="406"/>
      </w:pPr>
      <w:r>
        <w:t>Zabezpečení dohledu nad nezletilými strávníky po celou dobu výdeje stravy zajistí dodavatel.</w:t>
      </w:r>
    </w:p>
    <w:p w:rsidR="00902FBC" w:rsidRDefault="00AC28D5">
      <w:pPr>
        <w:spacing w:after="542"/>
        <w:ind w:left="406" w:right="2713"/>
      </w:pPr>
      <w:r>
        <w:t>Školní strav</w:t>
      </w:r>
      <w:r w:rsidR="00F51D6B">
        <w:t>ování bude zajištěno ode dne:</w:t>
      </w:r>
      <w:r w:rsidR="00F51D6B">
        <w:tab/>
      </w:r>
      <w:proofErr w:type="gramStart"/>
      <w:r w:rsidR="00F51D6B">
        <w:t>1</w:t>
      </w:r>
      <w:r>
        <w:t>.9.2017</w:t>
      </w:r>
      <w:proofErr w:type="gramEnd"/>
      <w:r>
        <w:t xml:space="preserve"> Tato dohoda se uzavírá na dobu neurčitou.</w:t>
      </w:r>
    </w:p>
    <w:p w:rsidR="00902FBC" w:rsidRDefault="00AC28D5">
      <w:pPr>
        <w:ind w:left="413"/>
      </w:pPr>
      <w:r>
        <w:t>Kontaktní osoba pro styk s dodavatelem:</w:t>
      </w:r>
    </w:p>
    <w:p w:rsidR="00902FBC" w:rsidRDefault="00AC28D5">
      <w:pPr>
        <w:spacing w:after="0" w:line="259" w:lineRule="auto"/>
        <w:ind w:left="406"/>
        <w:jc w:val="left"/>
      </w:pPr>
      <w:r>
        <w:rPr>
          <w:sz w:val="28"/>
        </w:rPr>
        <w:t xml:space="preserve">Jméno, </w:t>
      </w:r>
      <w:proofErr w:type="gramStart"/>
      <w:r>
        <w:rPr>
          <w:sz w:val="28"/>
        </w:rPr>
        <w:t>příjmení:</w:t>
      </w:r>
      <w:r w:rsidR="00ED4CEF">
        <w:rPr>
          <w:sz w:val="28"/>
        </w:rPr>
        <w:t xml:space="preserve">                               </w:t>
      </w:r>
      <w:r>
        <w:rPr>
          <w:sz w:val="28"/>
        </w:rPr>
        <w:t>, tajemnice</w:t>
      </w:r>
      <w:proofErr w:type="gramEnd"/>
      <w:r>
        <w:rPr>
          <w:sz w:val="28"/>
        </w:rPr>
        <w:t xml:space="preserve"> školy</w:t>
      </w:r>
    </w:p>
    <w:p w:rsidR="00902FBC" w:rsidRDefault="00AC28D5">
      <w:pPr>
        <w:spacing w:after="0" w:line="259" w:lineRule="auto"/>
        <w:ind w:left="399"/>
        <w:jc w:val="left"/>
      </w:pPr>
      <w:r>
        <w:rPr>
          <w:sz w:val="28"/>
        </w:rPr>
        <w:t xml:space="preserve">Tel.:, mobil </w:t>
      </w:r>
    </w:p>
    <w:p w:rsidR="00902FBC" w:rsidRDefault="00AC28D5">
      <w:pPr>
        <w:spacing w:after="296"/>
        <w:ind w:left="413"/>
      </w:pPr>
      <w:r>
        <w:t>Případná změna kontaktní osoby bude dodavateli včas písemně oznámena.</w:t>
      </w:r>
    </w:p>
    <w:p w:rsidR="00902FBC" w:rsidRDefault="00AC28D5">
      <w:pPr>
        <w:spacing w:after="0" w:line="259" w:lineRule="auto"/>
        <w:ind w:left="384" w:hanging="10"/>
        <w:jc w:val="center"/>
      </w:pPr>
      <w:proofErr w:type="spellStart"/>
      <w:r>
        <w:rPr>
          <w:sz w:val="36"/>
        </w:rPr>
        <w:t>Vl</w:t>
      </w:r>
      <w:proofErr w:type="spellEnd"/>
      <w:r>
        <w:rPr>
          <w:sz w:val="36"/>
        </w:rPr>
        <w:t>.</w:t>
      </w:r>
    </w:p>
    <w:p w:rsidR="00902FBC" w:rsidRDefault="00AC28D5">
      <w:pPr>
        <w:spacing w:after="41" w:line="259" w:lineRule="auto"/>
        <w:ind w:left="396" w:firstLine="0"/>
        <w:jc w:val="center"/>
      </w:pPr>
      <w:r>
        <w:rPr>
          <w:sz w:val="28"/>
        </w:rPr>
        <w:t>Úplata za školní stravování</w:t>
      </w:r>
    </w:p>
    <w:p w:rsidR="00902FBC" w:rsidRDefault="00AC28D5">
      <w:pPr>
        <w:numPr>
          <w:ilvl w:val="1"/>
          <w:numId w:val="2"/>
        </w:numPr>
        <w:spacing w:after="160"/>
        <w:ind w:hanging="259"/>
      </w:pPr>
      <w:r>
        <w:t>Úplata za školní stravování je určena výší finančního normativu.</w:t>
      </w:r>
    </w:p>
    <w:p w:rsidR="00902FBC" w:rsidRDefault="00AC28D5">
      <w:pPr>
        <w:numPr>
          <w:ilvl w:val="1"/>
          <w:numId w:val="2"/>
        </w:numPr>
        <w:spacing w:after="235"/>
        <w:ind w:hanging="259"/>
      </w:pPr>
      <w:r>
        <w:t>Výše finančního normativu se určí v rámci rozpětí finančních limitů stanovených v příloze č. 2 vyhlášky č. 107/2005 Sb., o školním stravování, ve znění pozdějších předpisů, podle cen potravin v místě obvyklých. Kalkulace ceny (ceník stravného) — příloha č. 1.</w:t>
      </w:r>
    </w:p>
    <w:p w:rsidR="00902FBC" w:rsidRDefault="00AC28D5">
      <w:pPr>
        <w:numPr>
          <w:ilvl w:val="1"/>
          <w:numId w:val="2"/>
        </w:numPr>
        <w:spacing w:after="195" w:line="259" w:lineRule="auto"/>
        <w:ind w:hanging="259"/>
      </w:pPr>
      <w:r>
        <w:rPr>
          <w:sz w:val="28"/>
        </w:rPr>
        <w:t xml:space="preserve">Dodavatel může stanovit zálohu na úplatu nejvýše na dva měsíce, nedohodne-li </w:t>
      </w:r>
      <w:proofErr w:type="gramStart"/>
      <w:r>
        <w:rPr>
          <w:sz w:val="28"/>
        </w:rPr>
        <w:t>se</w:t>
      </w:r>
      <w:proofErr w:type="gramEnd"/>
      <w:r>
        <w:rPr>
          <w:sz w:val="28"/>
        </w:rPr>
        <w:t xml:space="preserve"> se zákonným zástupcem nezletilého strávníka jinak.</w:t>
      </w:r>
    </w:p>
    <w:p w:rsidR="00902FBC" w:rsidRDefault="00AC28D5">
      <w:pPr>
        <w:spacing w:after="0" w:line="259" w:lineRule="auto"/>
        <w:ind w:left="367" w:firstLine="0"/>
        <w:jc w:val="center"/>
      </w:pPr>
      <w:r>
        <w:rPr>
          <w:sz w:val="34"/>
        </w:rPr>
        <w:t>VII.</w:t>
      </w:r>
    </w:p>
    <w:p w:rsidR="00902FBC" w:rsidRDefault="00AC28D5">
      <w:pPr>
        <w:numPr>
          <w:ilvl w:val="1"/>
          <w:numId w:val="1"/>
        </w:numPr>
        <w:spacing w:after="275"/>
      </w:pPr>
      <w:r>
        <w:t>. Dohoda se pořizuje ve dvou stejnopisech, z nichž odběratel i dodavatel obdrží jedno vyhotovení.</w:t>
      </w:r>
    </w:p>
    <w:p w:rsidR="00902FBC" w:rsidRDefault="00AC28D5">
      <w:pPr>
        <w:numPr>
          <w:ilvl w:val="1"/>
          <w:numId w:val="1"/>
        </w:numPr>
      </w:pPr>
      <w:r>
        <w:lastRenderedPageBreak/>
        <w:t>Tato dohoda nabývá platnosti dnem podpisu oběma smluvními stranami. Dohodu lze měnit pouze písemnou dohodou obou smluvních stran.</w:t>
      </w:r>
    </w:p>
    <w:p w:rsidR="00902FBC" w:rsidRDefault="00AC28D5">
      <w:pPr>
        <w:numPr>
          <w:ilvl w:val="1"/>
          <w:numId w:val="1"/>
        </w:numPr>
        <w:spacing w:after="996"/>
      </w:pPr>
      <w:r>
        <w:t>Obě strany souhlasí s tím, že obsah dohody není obchodním tajemstvím a smluvní strany mohou dohodu zveřejnit v rozsahu a za podmínek, jež vyplývají z obecně závazných právních předpisů.</w:t>
      </w:r>
    </w:p>
    <w:p w:rsidR="00902FBC" w:rsidRDefault="00AC28D5">
      <w:pPr>
        <w:spacing w:after="681"/>
        <w:ind w:left="377"/>
      </w:pPr>
      <w:r>
        <w:t>Ve Šternberku dne..</w:t>
      </w:r>
      <w:r>
        <w:rPr>
          <w:noProof/>
        </w:rPr>
        <w:drawing>
          <wp:inline distT="0" distB="0" distL="0" distR="0">
            <wp:extent cx="575724" cy="18280"/>
            <wp:effectExtent l="0" t="0" r="0" b="0"/>
            <wp:docPr id="11635" name="Picture 1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" name="Picture 116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724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BC" w:rsidRDefault="00AC28D5">
      <w:pPr>
        <w:tabs>
          <w:tab w:val="center" w:pos="1025"/>
          <w:tab w:val="center" w:pos="2652"/>
        </w:tabs>
        <w:spacing w:after="75" w:line="259" w:lineRule="auto"/>
        <w:ind w:left="0" w:firstLine="0"/>
        <w:jc w:val="left"/>
      </w:pPr>
      <w:r>
        <w:rPr>
          <w:sz w:val="20"/>
        </w:rPr>
        <w:tab/>
      </w:r>
      <w:r>
        <w:br w:type="page"/>
      </w:r>
    </w:p>
    <w:p w:rsidR="00902FBC" w:rsidRDefault="00AC28D5">
      <w:pPr>
        <w:spacing w:after="383"/>
        <w:ind w:left="428"/>
      </w:pPr>
      <w:r>
        <w:lastRenderedPageBreak/>
        <w:t xml:space="preserve">Příloha č. 1 ceník stravného, platnost od </w:t>
      </w:r>
      <w:proofErr w:type="gramStart"/>
      <w:r>
        <w:t>01.09.2017</w:t>
      </w:r>
      <w:proofErr w:type="gramEnd"/>
    </w:p>
    <w:p w:rsidR="00902FBC" w:rsidRDefault="00AC28D5">
      <w:pPr>
        <w:ind w:left="413"/>
      </w:pPr>
      <w:r>
        <w:t xml:space="preserve">Kalkulace je stanovena na základě vyhlášky č. 107/2005 Sb., o školním stravování, ve znění pozdějších předpisů, dle věku strávníka, který dovrší v daném školním roce, tj. od </w:t>
      </w:r>
      <w:proofErr w:type="gramStart"/>
      <w:r>
        <w:t>01.09. do</w:t>
      </w:r>
      <w:proofErr w:type="gramEnd"/>
      <w:r>
        <w:t xml:space="preserve"> 31.08. daného školního roku.</w:t>
      </w:r>
    </w:p>
    <w:tbl>
      <w:tblPr>
        <w:tblStyle w:val="TableGrid"/>
        <w:tblW w:w="9028" w:type="dxa"/>
        <w:tblInd w:w="410" w:type="dxa"/>
        <w:tblCellMar>
          <w:top w:w="8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21"/>
      </w:tblGrid>
      <w:tr w:rsidR="00902FBC">
        <w:trPr>
          <w:trHeight w:val="519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FBC" w:rsidRDefault="00AC28D5">
            <w:pPr>
              <w:spacing w:after="0" w:line="259" w:lineRule="auto"/>
              <w:ind w:left="12" w:firstLine="0"/>
              <w:jc w:val="center"/>
            </w:pPr>
            <w:r>
              <w:t>KATEGORIE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FBC" w:rsidRDefault="00AC28D5">
            <w:pPr>
              <w:spacing w:after="0" w:line="259" w:lineRule="auto"/>
              <w:ind w:left="14" w:firstLine="0"/>
              <w:jc w:val="center"/>
            </w:pPr>
            <w:r>
              <w:t>PLATBA STRÁVNÍKA</w:t>
            </w:r>
          </w:p>
        </w:tc>
      </w:tr>
      <w:tr w:rsidR="00902FBC">
        <w:trPr>
          <w:trHeight w:val="601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FBC" w:rsidRDefault="00AC28D5">
            <w:pPr>
              <w:spacing w:after="0" w:line="259" w:lineRule="auto"/>
              <w:ind w:left="0" w:firstLine="0"/>
              <w:jc w:val="left"/>
            </w:pPr>
            <w:r>
              <w:t>ZÁKLADNÍ ŠKOLY (žáci 7 - 10 let)</w:t>
            </w:r>
          </w:p>
        </w:tc>
        <w:tc>
          <w:tcPr>
            <w:tcW w:w="4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2FBC" w:rsidRDefault="00902FBC">
            <w:pPr>
              <w:spacing w:after="160" w:line="259" w:lineRule="auto"/>
              <w:ind w:left="0" w:firstLine="0"/>
              <w:jc w:val="left"/>
            </w:pPr>
          </w:p>
        </w:tc>
      </w:tr>
      <w:tr w:rsidR="00902FBC">
        <w:trPr>
          <w:trHeight w:val="410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FBC" w:rsidRDefault="00AC28D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oběd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FBC" w:rsidRDefault="00AC28D5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21 Kč</w:t>
            </w:r>
          </w:p>
        </w:tc>
      </w:tr>
      <w:tr w:rsidR="00902FBC">
        <w:trPr>
          <w:trHeight w:val="576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FBC" w:rsidRDefault="00AC28D5">
            <w:pPr>
              <w:spacing w:after="0" w:line="259" w:lineRule="auto"/>
              <w:ind w:left="0" w:firstLine="0"/>
              <w:jc w:val="left"/>
            </w:pPr>
            <w:r>
              <w:t>ZÁKLADNÍ ŠKOLY (žáci 11 - 14 let)</w:t>
            </w:r>
          </w:p>
        </w:tc>
        <w:tc>
          <w:tcPr>
            <w:tcW w:w="4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2FBC" w:rsidRDefault="00902FBC">
            <w:pPr>
              <w:spacing w:after="160" w:line="259" w:lineRule="auto"/>
              <w:ind w:left="0" w:firstLine="0"/>
              <w:jc w:val="left"/>
            </w:pPr>
          </w:p>
        </w:tc>
      </w:tr>
      <w:tr w:rsidR="00902FBC">
        <w:trPr>
          <w:trHeight w:val="408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FBC" w:rsidRDefault="00AC28D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oběd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FBC" w:rsidRDefault="00AC28D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23 Kč</w:t>
            </w:r>
          </w:p>
        </w:tc>
      </w:tr>
      <w:tr w:rsidR="00902FBC">
        <w:trPr>
          <w:trHeight w:val="576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FBC" w:rsidRDefault="00AC28D5">
            <w:pPr>
              <w:spacing w:after="0" w:line="259" w:lineRule="auto"/>
              <w:ind w:left="0" w:firstLine="0"/>
              <w:jc w:val="left"/>
            </w:pPr>
            <w:r>
              <w:t>ZÁKLADNÍ ŠKOLY (žáci 15 a více let)</w:t>
            </w:r>
          </w:p>
        </w:tc>
        <w:tc>
          <w:tcPr>
            <w:tcW w:w="4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2FBC" w:rsidRDefault="00902FBC">
            <w:pPr>
              <w:spacing w:after="160" w:line="259" w:lineRule="auto"/>
              <w:ind w:left="0" w:firstLine="0"/>
              <w:jc w:val="left"/>
            </w:pPr>
          </w:p>
        </w:tc>
      </w:tr>
      <w:tr w:rsidR="00902FBC">
        <w:trPr>
          <w:trHeight w:val="410"/>
        </w:trPr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FBC" w:rsidRDefault="00AC28D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oběd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FBC" w:rsidRDefault="00AC28D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24 Kč</w:t>
            </w:r>
          </w:p>
        </w:tc>
      </w:tr>
    </w:tbl>
    <w:p w:rsidR="00ED4CEF" w:rsidRDefault="00ED4CEF">
      <w:pPr>
        <w:spacing w:after="213"/>
        <w:ind w:left="399"/>
      </w:pPr>
    </w:p>
    <w:p w:rsidR="00902FBC" w:rsidRDefault="00AC28D5">
      <w:pPr>
        <w:spacing w:after="213"/>
        <w:ind w:left="399"/>
      </w:pPr>
      <w:r>
        <w:t>Ve Šternberku dne.</w:t>
      </w:r>
      <w:r>
        <w:rPr>
          <w:noProof/>
        </w:rPr>
        <w:drawing>
          <wp:inline distT="0" distB="0" distL="0" distR="0">
            <wp:extent cx="520893" cy="22851"/>
            <wp:effectExtent l="0" t="0" r="0" b="0"/>
            <wp:docPr id="11640" name="Picture 1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" name="Picture 116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893" cy="2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02FBC">
      <w:type w:val="continuous"/>
      <w:pgSz w:w="11902" w:h="16834"/>
      <w:pgMar w:top="1210" w:right="1482" w:bottom="1790" w:left="9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BB" w:rsidRDefault="002C3DBB">
      <w:pPr>
        <w:spacing w:after="0" w:line="240" w:lineRule="auto"/>
      </w:pPr>
      <w:r>
        <w:separator/>
      </w:r>
    </w:p>
  </w:endnote>
  <w:endnote w:type="continuationSeparator" w:id="0">
    <w:p w:rsidR="002C3DBB" w:rsidRDefault="002C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C" w:rsidRDefault="00AC28D5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1</w:t>
    </w:r>
    <w:r>
      <w:rPr>
        <w:rFonts w:ascii="Times New Roman" w:eastAsia="Times New Roman" w:hAnsi="Times New Roman" w:cs="Times New Roman"/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C" w:rsidRDefault="00AC28D5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4BD" w:rsidRPr="00F924BD">
      <w:rPr>
        <w:rFonts w:ascii="Times New Roman" w:eastAsia="Times New Roman" w:hAnsi="Times New Roman" w:cs="Times New Roman"/>
        <w:noProof/>
        <w:sz w:val="30"/>
      </w:rPr>
      <w:t>4</w:t>
    </w:r>
    <w:r>
      <w:rPr>
        <w:rFonts w:ascii="Times New Roman" w:eastAsia="Times New Roman" w:hAnsi="Times New Roman" w:cs="Times New Roman"/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C" w:rsidRDefault="00AC28D5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1</w:t>
    </w:r>
    <w:r>
      <w:rPr>
        <w:rFonts w:ascii="Times New Roman" w:eastAsia="Times New Roman" w:hAnsi="Times New Roman" w:cs="Times New Roman"/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BB" w:rsidRDefault="002C3DBB">
      <w:pPr>
        <w:spacing w:after="0" w:line="240" w:lineRule="auto"/>
      </w:pPr>
      <w:r>
        <w:separator/>
      </w:r>
    </w:p>
  </w:footnote>
  <w:footnote w:type="continuationSeparator" w:id="0">
    <w:p w:rsidR="002C3DBB" w:rsidRDefault="002C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33E8"/>
    <w:multiLevelType w:val="hybridMultilevel"/>
    <w:tmpl w:val="EFBA4486"/>
    <w:lvl w:ilvl="0" w:tplc="27684734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84D88">
      <w:start w:val="1"/>
      <w:numFmt w:val="decimal"/>
      <w:lvlText w:val="%2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265B4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085754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3C8F0E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69C8C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16EB5E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A1862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0C131E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311FC"/>
    <w:multiLevelType w:val="hybridMultilevel"/>
    <w:tmpl w:val="59E04184"/>
    <w:lvl w:ilvl="0" w:tplc="EA6A97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AAFD4">
      <w:start w:val="1"/>
      <w:numFmt w:val="decimal"/>
      <w:lvlText w:val="%2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6D9A4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A328C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8AC62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6D616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C9982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C44B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8CE36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C"/>
    <w:rsid w:val="002C3DBB"/>
    <w:rsid w:val="00902FBC"/>
    <w:rsid w:val="00AC28D5"/>
    <w:rsid w:val="00ED4CEF"/>
    <w:rsid w:val="00F51D6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EC98"/>
  <w15:docId w15:val="{4D6CA9F6-9314-482D-8816-2B2AFB9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" w:line="217" w:lineRule="auto"/>
      <w:ind w:left="17" w:hanging="3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KMBT_C224e-20210428111717</vt:lpstr>
    </vt:vector>
  </TitlesOfParts>
  <Company>HP Inc.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KMBT_C224e-20210428111717</dc:title>
  <dc:subject/>
  <dc:creator>Sedláková Renata</dc:creator>
  <cp:keywords/>
  <cp:lastModifiedBy>Sedláková Renata</cp:lastModifiedBy>
  <cp:revision>4</cp:revision>
  <dcterms:created xsi:type="dcterms:W3CDTF">2021-06-16T12:29:00Z</dcterms:created>
  <dcterms:modified xsi:type="dcterms:W3CDTF">2021-06-21T11:12:00Z</dcterms:modified>
</cp:coreProperties>
</file>