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C4" w:rsidRDefault="008579AD" w:rsidP="008579AD">
      <w:pPr>
        <w:jc w:val="center"/>
        <w:outlineLvl w:val="0"/>
        <w:rPr>
          <w:b/>
          <w:sz w:val="28"/>
          <w:szCs w:val="28"/>
        </w:rPr>
      </w:pPr>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o poskytnutí do</w:t>
      </w:r>
      <w:r w:rsidRPr="007334D1">
        <w:rPr>
          <w:b/>
          <w:sz w:val="28"/>
          <w:szCs w:val="28"/>
        </w:rPr>
        <w:t>tace</w:t>
      </w:r>
      <w:r w:rsidR="00EA2988">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Default="008579AD" w:rsidP="008579AD">
      <w:pPr>
        <w:jc w:val="center"/>
        <w:outlineLvl w:val="0"/>
        <w:rPr>
          <w:b/>
        </w:rPr>
      </w:pPr>
      <w:r w:rsidRPr="00B07204">
        <w:rPr>
          <w:b/>
        </w:rPr>
        <w:t>Obecná ustanovení</w:t>
      </w:r>
    </w:p>
    <w:p w:rsidR="00EA2988" w:rsidRPr="00B07204" w:rsidRDefault="00EA2988" w:rsidP="008579AD">
      <w:pPr>
        <w:jc w:val="center"/>
        <w:outlineLvl w:val="0"/>
        <w:rPr>
          <w:b/>
        </w:rPr>
      </w:pPr>
    </w:p>
    <w:p w:rsidR="00EA2988" w:rsidRPr="00400261" w:rsidRDefault="00EA2988" w:rsidP="00EA2988">
      <w:pPr>
        <w:jc w:val="both"/>
      </w:pPr>
      <w:r w:rsidRPr="00D93AAA">
        <w:t xml:space="preserve">Zastupitelstvo města Slavkov u Brna  na svém </w:t>
      </w:r>
      <w:r>
        <w:t xml:space="preserve"> </w:t>
      </w:r>
      <w:r w:rsidR="00EE16A9">
        <w:t>2</w:t>
      </w:r>
      <w:r w:rsidR="00743F2A">
        <w:t>3</w:t>
      </w:r>
      <w:r>
        <w:t xml:space="preserve">. </w:t>
      </w:r>
      <w:r w:rsidRPr="00D93AAA">
        <w:t>zasedání rozhodl</w:t>
      </w:r>
      <w:r>
        <w:t xml:space="preserve">o dne </w:t>
      </w:r>
      <w:proofErr w:type="gramStart"/>
      <w:r w:rsidR="00743F2A">
        <w:t>0</w:t>
      </w:r>
      <w:r w:rsidR="00EE16A9">
        <w:t>7</w:t>
      </w:r>
      <w:r w:rsidR="00743F2A">
        <w:t>.06.202</w:t>
      </w:r>
      <w:r w:rsidR="00EE16A9">
        <w:t>1</w:t>
      </w:r>
      <w:proofErr w:type="gramEnd"/>
      <w:r>
        <w:t xml:space="preserve"> usnesením č. </w:t>
      </w:r>
      <w:r w:rsidR="00EE16A9">
        <w:t>345/23/ZM/2021</w:t>
      </w:r>
      <w:r w:rsidRPr="00D93AAA">
        <w:t>,</w:t>
      </w:r>
      <w:r w:rsidRPr="00B07204">
        <w:t xml:space="preserve"> </w:t>
      </w:r>
      <w:r w:rsidRPr="00400261">
        <w:t>(podle § 85 písm. c) zákona č. 128/2000 Sb., o obcích, nad 50 tis.)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1E5696">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31098D" w:rsidRDefault="008579AD" w:rsidP="0031098D">
      <w:pPr>
        <w:jc w:val="both"/>
      </w:pPr>
      <w:r>
        <w:t>Název:</w:t>
      </w:r>
      <w:r>
        <w:tab/>
      </w:r>
      <w:r>
        <w:tab/>
      </w:r>
      <w:r w:rsidR="001873BF">
        <w:t>SK Slavkov u Brna</w:t>
      </w:r>
      <w:r w:rsidR="0031098D">
        <w:t>,</w:t>
      </w:r>
      <w:r w:rsidR="001873BF">
        <w:t xml:space="preserve"> spolek</w:t>
      </w:r>
      <w:r w:rsidR="0031098D">
        <w:t xml:space="preserve"> </w:t>
      </w:r>
    </w:p>
    <w:p w:rsidR="0031098D" w:rsidRDefault="0031098D" w:rsidP="0031098D">
      <w:pPr>
        <w:jc w:val="both"/>
      </w:pPr>
      <w:r>
        <w:t>Sídlo:</w:t>
      </w:r>
      <w:r>
        <w:tab/>
      </w:r>
      <w:r>
        <w:tab/>
      </w:r>
      <w:r w:rsidR="001873BF">
        <w:t>Československé armády 943</w:t>
      </w:r>
      <w:r>
        <w:t xml:space="preserve">, </w:t>
      </w:r>
      <w:proofErr w:type="gramStart"/>
      <w:r>
        <w:t>684 01  Slavkov</w:t>
      </w:r>
      <w:proofErr w:type="gramEnd"/>
      <w:r>
        <w:t xml:space="preserve"> u Brna</w:t>
      </w:r>
    </w:p>
    <w:p w:rsidR="0031098D" w:rsidRDefault="0031098D" w:rsidP="0031098D">
      <w:pPr>
        <w:jc w:val="both"/>
      </w:pPr>
      <w:r>
        <w:t>IČ:</w:t>
      </w:r>
      <w:r>
        <w:tab/>
      </w:r>
      <w:r>
        <w:tab/>
      </w:r>
      <w:r w:rsidR="001873BF">
        <w:t>42660467</w:t>
      </w:r>
    </w:p>
    <w:p w:rsidR="0031098D" w:rsidRPr="00B07204" w:rsidRDefault="0031098D" w:rsidP="0031098D">
      <w:pPr>
        <w:ind w:left="1410" w:hanging="1410"/>
        <w:jc w:val="both"/>
      </w:pPr>
      <w:r>
        <w:t>Zastoupená</w:t>
      </w:r>
      <w:r>
        <w:tab/>
      </w:r>
      <w:r w:rsidR="001873BF">
        <w:t>Mgr. Přemyslem Jeřábkem, předseda</w:t>
      </w:r>
    </w:p>
    <w:p w:rsidR="0031098D" w:rsidRPr="00B07204" w:rsidRDefault="0031098D" w:rsidP="0031098D">
      <w:pPr>
        <w:jc w:val="both"/>
      </w:pPr>
      <w:r w:rsidRPr="00B07204">
        <w:t xml:space="preserve">č. </w:t>
      </w:r>
      <w:proofErr w:type="spellStart"/>
      <w:r w:rsidRPr="00B07204">
        <w:t>ú.</w:t>
      </w:r>
      <w:proofErr w:type="spellEnd"/>
      <w:r>
        <w:tab/>
      </w:r>
      <w:r>
        <w:tab/>
      </w:r>
      <w:r w:rsidR="000B0C9D">
        <w:t>………………………….</w:t>
      </w:r>
    </w:p>
    <w:p w:rsidR="008579AD" w:rsidRPr="00B07204" w:rsidRDefault="0031098D" w:rsidP="0031098D">
      <w:pPr>
        <w:jc w:val="both"/>
      </w:pPr>
      <w:r w:rsidRPr="00B07204">
        <w:t xml:space="preserve"> </w:t>
      </w:r>
      <w:r w:rsidR="008579AD" w:rsidRPr="00B07204">
        <w:t xml:space="preserve">(dále jen </w:t>
      </w:r>
      <w:r w:rsidR="008579AD">
        <w:t>„</w:t>
      </w:r>
      <w:r w:rsidR="008579AD" w:rsidRPr="00B07204">
        <w:t>příjemce</w:t>
      </w:r>
      <w:r w:rsidR="008579AD">
        <w:t>“</w:t>
      </w:r>
      <w:r w:rsidR="008579AD" w:rsidRPr="00B07204">
        <w:t>)</w:t>
      </w:r>
    </w:p>
    <w:p w:rsidR="008579AD" w:rsidRPr="00B07204" w:rsidRDefault="008579AD" w:rsidP="008579AD">
      <w:pPr>
        <w:jc w:val="both"/>
      </w:pP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 xml:space="preserve">     Účel dotace</w:t>
      </w:r>
    </w:p>
    <w:p w:rsidR="008579AD" w:rsidRPr="00B07204" w:rsidRDefault="008579AD" w:rsidP="008579AD">
      <w:pPr>
        <w:jc w:val="both"/>
        <w:rPr>
          <w:b/>
        </w:rPr>
      </w:pPr>
    </w:p>
    <w:p w:rsidR="0031098D" w:rsidRPr="00B07204" w:rsidRDefault="008579AD" w:rsidP="0031098D">
      <w:pPr>
        <w:numPr>
          <w:ilvl w:val="0"/>
          <w:numId w:val="2"/>
        </w:numPr>
        <w:jc w:val="both"/>
        <w:rPr>
          <w:i/>
          <w:color w:val="0070C0"/>
        </w:rPr>
      </w:pPr>
      <w:r w:rsidRPr="00B07204">
        <w:t xml:space="preserve">Poskytovatel tuto dotaci poskytuje </w:t>
      </w:r>
      <w:r>
        <w:t xml:space="preserve">na </w:t>
      </w:r>
      <w:r w:rsidR="00940D18">
        <w:t>materiálové</w:t>
      </w:r>
      <w:r w:rsidR="001873BF">
        <w:t xml:space="preserve"> a osobní</w:t>
      </w:r>
      <w:r w:rsidR="00940D18">
        <w:t xml:space="preserve"> výdaje</w:t>
      </w:r>
      <w:r w:rsidR="001873BF">
        <w:t xml:space="preserve">, </w:t>
      </w:r>
      <w:r w:rsidR="00940D18">
        <w:t xml:space="preserve">výdaje za </w:t>
      </w:r>
      <w:r w:rsidR="00940D18" w:rsidRPr="005A355B">
        <w:t>služby</w:t>
      </w:r>
      <w:r w:rsidR="00EA2988">
        <w:t>.</w:t>
      </w:r>
      <w:r w:rsidR="0031098D">
        <w:t xml:space="preserve"> </w:t>
      </w:r>
      <w:r w:rsidR="0031098D" w:rsidRPr="00BC7EA0">
        <w:t>Účelem</w:t>
      </w:r>
      <w:r w:rsidR="0031098D">
        <w:t xml:space="preserve"> dotace je příspěvek na </w:t>
      </w:r>
      <w:r w:rsidR="00A32D16">
        <w:t>sportovní činnost mládežnických oddílů</w:t>
      </w:r>
      <w:r w:rsidR="00743F2A">
        <w:t xml:space="preserve"> (tréninky, zápasy, rozhodčí, materiální vybavení, tělocvičny)</w:t>
      </w:r>
      <w:r w:rsidR="00A32D16">
        <w:t>.</w:t>
      </w:r>
    </w:p>
    <w:p w:rsidR="008579AD" w:rsidRPr="0031098D" w:rsidRDefault="008579AD" w:rsidP="0031098D">
      <w:pPr>
        <w:ind w:left="360"/>
        <w:jc w:val="both"/>
        <w:rPr>
          <w:i/>
          <w:color w:val="0070C0"/>
        </w:rPr>
      </w:pPr>
    </w:p>
    <w:p w:rsidR="008579AD" w:rsidRPr="00B07204" w:rsidRDefault="008579AD" w:rsidP="008579AD">
      <w:pPr>
        <w:numPr>
          <w:ilvl w:val="0"/>
          <w:numId w:val="2"/>
        </w:numPr>
        <w:jc w:val="both"/>
      </w:pPr>
      <w:r w:rsidRPr="00B07204">
        <w:t xml:space="preserve">Příjemce je povinen užít dotaci jen k účelu uvedenému v čl. III. odst. 1 této smlouvy a pouze za </w:t>
      </w:r>
      <w:r w:rsidRPr="00BC7EA0">
        <w:t>podmínek uvedených v</w:t>
      </w:r>
      <w:r w:rsidR="00B137A0" w:rsidRPr="00BC7EA0">
        <w:t xml:space="preserve"> žádosti </w:t>
      </w:r>
      <w:r w:rsidR="00135474" w:rsidRPr="00BC7EA0">
        <w:t>o poskytnutí dotace</w:t>
      </w:r>
      <w:r w:rsidR="00A21E7C">
        <w:t xml:space="preserve"> z programu „Podpora činností organizací pracujících s mládeží“</w:t>
      </w:r>
      <w:r w:rsidR="00135474">
        <w:t xml:space="preserve">. </w:t>
      </w:r>
      <w:r w:rsidRPr="00B07204">
        <w:t>Dotace nesmí být použita k jinému účelu.</w:t>
      </w:r>
    </w:p>
    <w:p w:rsidR="008579AD" w:rsidRPr="00B07204" w:rsidRDefault="008579AD" w:rsidP="008579AD">
      <w:pPr>
        <w:jc w:val="both"/>
      </w:pPr>
    </w:p>
    <w:p w:rsidR="008579AD" w:rsidRPr="00B07204" w:rsidRDefault="008579AD" w:rsidP="008579AD">
      <w:pPr>
        <w:numPr>
          <w:ilvl w:val="0"/>
          <w:numId w:val="2"/>
        </w:numPr>
        <w:jc w:val="both"/>
      </w:pPr>
      <w:r w:rsidRPr="00B07204">
        <w:t xml:space="preserve">Peněžní prostředky dotace nesmí příjemce poskytnout jiným právnickým nebo fyzickým osobám, pokud nejde o úhrady spojené s realizací účelu, na nějž byla dotace poskytnuta.     </w:t>
      </w:r>
    </w:p>
    <w:p w:rsidR="008579AD" w:rsidRDefault="008579AD" w:rsidP="008579AD">
      <w:pPr>
        <w:jc w:val="both"/>
      </w:pPr>
    </w:p>
    <w:p w:rsidR="00A21E7C" w:rsidRDefault="00A21E7C" w:rsidP="008579AD">
      <w:pPr>
        <w:jc w:val="both"/>
      </w:pPr>
    </w:p>
    <w:p w:rsidR="00A21E7C" w:rsidRDefault="00A21E7C" w:rsidP="008579AD">
      <w:pPr>
        <w:jc w:val="both"/>
      </w:pPr>
    </w:p>
    <w:p w:rsidR="00121F96" w:rsidRDefault="00121F96" w:rsidP="008579AD">
      <w:pPr>
        <w:jc w:val="both"/>
        <w:outlineLvl w:val="0"/>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IV.</w:t>
      </w:r>
    </w:p>
    <w:p w:rsidR="008579AD" w:rsidRPr="00B07204" w:rsidRDefault="008579AD" w:rsidP="008579AD">
      <w:pPr>
        <w:ind w:left="708"/>
        <w:jc w:val="both"/>
        <w:outlineLvl w:val="0"/>
        <w:rPr>
          <w:b/>
        </w:rPr>
      </w:pPr>
      <w:r w:rsidRPr="00B07204">
        <w:rPr>
          <w:b/>
        </w:rPr>
        <w:tab/>
        <w:t>Časové užití dotace a doba, ve které má být dosaženo účelu dotace</w:t>
      </w:r>
    </w:p>
    <w:p w:rsidR="008579AD" w:rsidRPr="00B07204" w:rsidRDefault="008579AD" w:rsidP="008579AD">
      <w:pPr>
        <w:jc w:val="both"/>
        <w:rPr>
          <w:b/>
        </w:rPr>
      </w:pPr>
    </w:p>
    <w:p w:rsidR="008579AD" w:rsidRPr="00B07204" w:rsidRDefault="008579AD" w:rsidP="008579AD">
      <w:pPr>
        <w:jc w:val="both"/>
      </w:pPr>
      <w:r w:rsidRPr="00B07204">
        <w:t xml:space="preserve">Dotace může být využita </w:t>
      </w:r>
      <w:r w:rsidRPr="00E62FF3">
        <w:t>od</w:t>
      </w:r>
      <w:r w:rsidR="00743F2A">
        <w:t xml:space="preserve"> 01. 01. 202</w:t>
      </w:r>
      <w:r w:rsidR="00EE16A9">
        <w:t>1</w:t>
      </w:r>
      <w:r w:rsidR="00743F2A">
        <w:t xml:space="preserve"> do 31. 12. 202</w:t>
      </w:r>
      <w:r w:rsidR="00EE16A9">
        <w:t>1</w:t>
      </w:r>
      <w:r w:rsidRPr="00E62FF3">
        <w:t xml:space="preserve"> a podléhá finančnímu vypořádání s rozpočtem poskytovatele za rok </w:t>
      </w:r>
      <w:r w:rsidR="00743F2A">
        <w:t>202</w:t>
      </w:r>
      <w:r w:rsidR="00EE16A9">
        <w:t>1</w:t>
      </w:r>
      <w:r w:rsidR="00E62FF3" w:rsidRPr="005A355B">
        <w:t>.</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V.</w:t>
      </w:r>
    </w:p>
    <w:p w:rsidR="008579AD" w:rsidRPr="00B07204" w:rsidRDefault="008579AD" w:rsidP="008579AD">
      <w:pPr>
        <w:jc w:val="center"/>
        <w:outlineLvl w:val="0"/>
        <w:rPr>
          <w:b/>
        </w:rPr>
      </w:pPr>
      <w:r w:rsidRPr="00B07204">
        <w:rPr>
          <w:b/>
        </w:rPr>
        <w:t>Výše a čerpání dotace (způsob proplacení dotace)</w:t>
      </w:r>
    </w:p>
    <w:p w:rsidR="008579AD" w:rsidRPr="00B07204" w:rsidRDefault="008579AD" w:rsidP="008579AD">
      <w:pPr>
        <w:jc w:val="both"/>
        <w:rPr>
          <w:b/>
        </w:rPr>
      </w:pPr>
    </w:p>
    <w:p w:rsidR="00EA2988" w:rsidRPr="00B07204" w:rsidRDefault="00EA2988" w:rsidP="00EA2988">
      <w:pPr>
        <w:numPr>
          <w:ilvl w:val="0"/>
          <w:numId w:val="3"/>
        </w:numPr>
        <w:jc w:val="both"/>
      </w:pPr>
      <w:r w:rsidRPr="00B07204">
        <w:t xml:space="preserve">Dotace bude poskytnuta </w:t>
      </w:r>
      <w:r w:rsidRPr="00B137A0">
        <w:rPr>
          <w:i/>
        </w:rPr>
        <w:t>jednorázově</w:t>
      </w:r>
      <w:r>
        <w:rPr>
          <w:i/>
        </w:rPr>
        <w:t xml:space="preserve"> </w:t>
      </w:r>
      <w:r w:rsidRPr="00B07204">
        <w:t xml:space="preserve">ve </w:t>
      </w:r>
      <w:proofErr w:type="gramStart"/>
      <w:r w:rsidRPr="00B07204">
        <w:t xml:space="preserve">výši </w:t>
      </w:r>
      <w:r>
        <w:t xml:space="preserve"> </w:t>
      </w:r>
      <w:r w:rsidR="00743F2A">
        <w:rPr>
          <w:b/>
        </w:rPr>
        <w:t>5</w:t>
      </w:r>
      <w:r w:rsidR="00EE16A9">
        <w:rPr>
          <w:b/>
        </w:rPr>
        <w:t>2</w:t>
      </w:r>
      <w:r>
        <w:rPr>
          <w:b/>
        </w:rPr>
        <w:t>.</w:t>
      </w:r>
      <w:r w:rsidR="00743F2A">
        <w:rPr>
          <w:b/>
        </w:rPr>
        <w:t>5</w:t>
      </w:r>
      <w:r>
        <w:rPr>
          <w:b/>
        </w:rPr>
        <w:t>00,</w:t>
      </w:r>
      <w:proofErr w:type="gramEnd"/>
      <w:r>
        <w:rPr>
          <w:b/>
        </w:rPr>
        <w:t>-Kč</w:t>
      </w:r>
      <w:r w:rsidRPr="00B07204">
        <w:t xml:space="preserve"> bezhotovostním převodem z bankovního účtu poskytovatele č</w:t>
      </w:r>
      <w:r>
        <w:t>. 729731/0100</w:t>
      </w:r>
      <w:r w:rsidRPr="00B07204">
        <w:t xml:space="preserve"> na účet příjemce č. </w:t>
      </w:r>
      <w:r w:rsidR="000B0C9D">
        <w:t>…………………………..</w:t>
      </w:r>
      <w:bookmarkStart w:id="0" w:name="_GoBack"/>
      <w:bookmarkEnd w:id="0"/>
      <w:r>
        <w:t>, a to</w:t>
      </w:r>
      <w:r w:rsidRPr="00B07204">
        <w:t xml:space="preserve"> po nabytí platnosti a účinnosti této smlouvy.</w:t>
      </w:r>
    </w:p>
    <w:p w:rsidR="00EA2988" w:rsidRPr="00135474" w:rsidRDefault="00EA2988" w:rsidP="00EA2988">
      <w:pPr>
        <w:jc w:val="both"/>
        <w:outlineLvl w:val="0"/>
        <w:rPr>
          <w:i/>
          <w:highlight w:val="lightGray"/>
        </w:rPr>
      </w:pPr>
    </w:p>
    <w:p w:rsidR="00EA2988" w:rsidRPr="00BC7EA0" w:rsidRDefault="00EA2988" w:rsidP="00EA2988">
      <w:pPr>
        <w:jc w:val="both"/>
      </w:pPr>
    </w:p>
    <w:p w:rsidR="00EA2988" w:rsidRPr="00BC7EA0" w:rsidRDefault="00EA2988" w:rsidP="00EA2988">
      <w:pPr>
        <w:numPr>
          <w:ilvl w:val="0"/>
          <w:numId w:val="3"/>
        </w:numPr>
        <w:jc w:val="both"/>
      </w:pPr>
      <w:r w:rsidRPr="00BC7EA0">
        <w:t xml:space="preserve">Nedílnou součástí této smlouvy je čestné prohlášení, zda je příjemce plátcem DPH. Příjemce je povinen oznámit poskytovateli dotace neprodleně změnu u neplátce DPH na plátce DPH společně se sdělením, zda v rámci této změny v souladu s ustanovením </w:t>
      </w:r>
      <w:r>
        <w:t xml:space="preserve">§ </w:t>
      </w:r>
      <w:r w:rsidRPr="00BC7EA0">
        <w:t>79 zákona č.235/2004 Sb., o dani z přidané hodnoty, ve znění pozdějších předpisů (dále jen zákon), uplatní nárok na odpočet daně při registraci.</w:t>
      </w:r>
      <w:r>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729731/0100 se stejným variabilním symbolem, pod kterým dotaci obdržel.</w:t>
      </w:r>
    </w:p>
    <w:p w:rsidR="008579AD" w:rsidRPr="00B07204" w:rsidRDefault="008579AD" w:rsidP="008579AD">
      <w:pPr>
        <w:jc w:val="both"/>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Pr="00B07204"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Pr="00B07204">
        <w:t xml:space="preserve"> nejpozději do 31.</w:t>
      </w:r>
      <w:r w:rsidR="0048441A">
        <w:t xml:space="preserve"> 1. 202</w:t>
      </w:r>
      <w:r w:rsidR="00EE16A9">
        <w:t>2</w:t>
      </w:r>
      <w:r w:rsidRPr="00B07204">
        <w:t>.</w:t>
      </w:r>
    </w:p>
    <w:p w:rsidR="008579AD" w:rsidRPr="00B07204" w:rsidRDefault="008579AD" w:rsidP="008579AD">
      <w:pPr>
        <w:jc w:val="both"/>
      </w:pPr>
    </w:p>
    <w:p w:rsidR="008579AD" w:rsidRDefault="008579AD" w:rsidP="008579AD">
      <w:pPr>
        <w:jc w:val="both"/>
      </w:pPr>
    </w:p>
    <w:p w:rsidR="0028738B" w:rsidRPr="00B07204" w:rsidRDefault="0028738B"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w:t>
      </w:r>
      <w:r w:rsidR="005A355B">
        <w:t>o dokladů.</w:t>
      </w:r>
      <w:r w:rsidRPr="00B07204">
        <w:t xml:space="preserve"> </w:t>
      </w:r>
      <w:r w:rsidRPr="00B07204">
        <w:rPr>
          <w:b/>
        </w:rPr>
        <w:t>Vyúčtování předloží příjemce poskytovateli nejpozději do 31. ledna následujícího roku.</w:t>
      </w:r>
    </w:p>
    <w:p w:rsidR="008579AD" w:rsidRDefault="008579AD" w:rsidP="008579AD">
      <w:pPr>
        <w:jc w:val="both"/>
      </w:pPr>
    </w:p>
    <w:p w:rsidR="0028738B" w:rsidRDefault="0028738B" w:rsidP="008579AD">
      <w:pPr>
        <w:jc w:val="both"/>
      </w:pPr>
    </w:p>
    <w:p w:rsidR="0028738B" w:rsidRDefault="0028738B" w:rsidP="008579AD">
      <w:pPr>
        <w:jc w:val="both"/>
      </w:pPr>
    </w:p>
    <w:p w:rsidR="0028738B" w:rsidRPr="00B07204" w:rsidRDefault="0028738B" w:rsidP="008579AD">
      <w:pPr>
        <w:jc w:val="both"/>
      </w:pPr>
    </w:p>
    <w:p w:rsidR="00256A84" w:rsidRDefault="00256A84" w:rsidP="008579AD">
      <w:pPr>
        <w:jc w:val="both"/>
      </w:pP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Default="008579AD" w:rsidP="008579AD">
      <w:pPr>
        <w:numPr>
          <w:ilvl w:val="0"/>
          <w:numId w:val="4"/>
        </w:numPr>
        <w:jc w:val="both"/>
      </w:pPr>
      <w:r w:rsidRPr="00B07204">
        <w:t xml:space="preserve">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w:t>
      </w:r>
      <w:r w:rsidRPr="00B07204">
        <w:lastRenderedPageBreak/>
        <w:t>případě má příjemce povinnost vrátit doposud vyplacenou veřejnou finanční podporu nebo její část způsobem a ve lhůtě stanovené výzvou poskytovatele.</w:t>
      </w:r>
    </w:p>
    <w:p w:rsidR="00743F2A" w:rsidRDefault="00743F2A" w:rsidP="00743F2A">
      <w:pPr>
        <w:pStyle w:val="Odstavecseseznamem"/>
      </w:pPr>
    </w:p>
    <w:p w:rsidR="00743F2A" w:rsidRPr="00B07204" w:rsidRDefault="00743F2A" w:rsidP="00743F2A">
      <w:pPr>
        <w:numPr>
          <w:ilvl w:val="0"/>
          <w:numId w:val="4"/>
        </w:numPr>
        <w:jc w:val="both"/>
      </w:pPr>
      <w:r w:rsidRPr="00B07204">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28738B" w:rsidRDefault="0028738B" w:rsidP="0028738B">
      <w:pPr>
        <w:pStyle w:val="Odstavecseseznamem"/>
        <w:rPr>
          <w:color w:val="000000" w:themeColor="text1"/>
        </w:rPr>
      </w:pPr>
    </w:p>
    <w:p w:rsidR="0028738B" w:rsidRPr="00225DA4" w:rsidRDefault="0028738B"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lastRenderedPageBreak/>
        <w:t xml:space="preserve">Příjemce je povinen umožnit poskytovateli provést kontrolu, jak v průběhu, tak i po ukončení realizace projektu, a to ještě po dobu </w:t>
      </w:r>
      <w:r w:rsidRPr="005A355B">
        <w:rPr>
          <w:rFonts w:ascii="Calibri" w:hAnsi="Calibri"/>
          <w:b/>
          <w:sz w:val="22"/>
          <w:szCs w:val="22"/>
        </w:rPr>
        <w:t>pěti let</w:t>
      </w:r>
      <w:r w:rsidR="00E62FF3" w:rsidRPr="005A355B">
        <w:rPr>
          <w:rFonts w:ascii="Calibri" w:hAnsi="Calibri"/>
          <w:b/>
          <w:sz w:val="22"/>
          <w:szCs w:val="22"/>
        </w:rPr>
        <w:t xml:space="preserve"> </w:t>
      </w:r>
      <w:r w:rsidRPr="005A355B">
        <w:rPr>
          <w:rFonts w:ascii="Calibri" w:hAnsi="Calibri"/>
          <w:sz w:val="22"/>
          <w:szCs w:val="22"/>
        </w:rPr>
        <w:t>od ukončení financování</w:t>
      </w:r>
      <w:r w:rsidR="00E62FF3" w:rsidRPr="005A355B">
        <w:rPr>
          <w:rFonts w:ascii="Calibri" w:hAnsi="Calibri"/>
          <w:sz w:val="22"/>
          <w:szCs w:val="22"/>
        </w:rPr>
        <w:t xml:space="preserve"> </w:t>
      </w:r>
      <w:r w:rsidRPr="005A355B">
        <w:rPr>
          <w:rFonts w:ascii="Calibri" w:hAnsi="Calibri"/>
          <w:sz w:val="22"/>
          <w:szCs w:val="22"/>
        </w:rPr>
        <w:t>projektu</w:t>
      </w:r>
      <w:r w:rsidRPr="00C54DE6">
        <w:rPr>
          <w:rFonts w:ascii="Calibri" w:hAnsi="Calibri"/>
          <w:sz w:val="22"/>
          <w:szCs w:val="22"/>
        </w:rPr>
        <w:t xml:space="preserve"> ze strany</w:t>
      </w:r>
      <w:r>
        <w:rPr>
          <w:rFonts w:ascii="Calibri" w:hAnsi="Calibri"/>
          <w:sz w:val="22"/>
          <w:szCs w:val="22"/>
        </w:rPr>
        <w:t xml:space="preserve"> poskytovatele.</w:t>
      </w:r>
    </w:p>
    <w:p w:rsidR="008579AD" w:rsidRPr="00C9782B" w:rsidRDefault="008579AD" w:rsidP="00C9782B">
      <w:pPr>
        <w:jc w:val="both"/>
      </w:pPr>
    </w:p>
    <w:p w:rsidR="005016CB" w:rsidRDefault="008579AD" w:rsidP="005016CB">
      <w:pPr>
        <w:pStyle w:val="Odstavecseseznamem"/>
        <w:numPr>
          <w:ilvl w:val="0"/>
          <w:numId w:val="8"/>
        </w:numPr>
        <w:jc w:val="both"/>
        <w:rPr>
          <w:rFonts w:ascii="Calibri" w:hAnsi="Calibri"/>
          <w:sz w:val="22"/>
          <w:szCs w:val="22"/>
        </w:rPr>
      </w:pPr>
      <w:r w:rsidRPr="00256A84">
        <w:rPr>
          <w:rFonts w:ascii="Calibri" w:hAnsi="Calibri"/>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w:t>
      </w:r>
    </w:p>
    <w:p w:rsidR="00743F2A" w:rsidRPr="00743F2A" w:rsidRDefault="00743F2A" w:rsidP="00743F2A">
      <w:pPr>
        <w:pStyle w:val="Odstavecseseznamem"/>
        <w:rPr>
          <w:rFonts w:ascii="Calibri" w:hAnsi="Calibri"/>
          <w:sz w:val="22"/>
          <w:szCs w:val="22"/>
        </w:rPr>
      </w:pPr>
    </w:p>
    <w:p w:rsidR="00743F2A" w:rsidRDefault="00743F2A" w:rsidP="00743F2A">
      <w:pPr>
        <w:pStyle w:val="Odstavecseseznamem"/>
        <w:ind w:left="360"/>
        <w:jc w:val="both"/>
        <w:rPr>
          <w:rFonts w:ascii="Calibri" w:hAnsi="Calibri"/>
          <w:sz w:val="22"/>
          <w:szCs w:val="22"/>
        </w:rPr>
      </w:pP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Smlouva je vyhotovena ve třech stejnopisech majících povahu originálu, dva stejnopisy obdrží </w:t>
      </w:r>
      <w:r w:rsidR="00E62FF3" w:rsidRPr="005A355B">
        <w:rPr>
          <w:rFonts w:ascii="Calibri" w:hAnsi="Calibri"/>
          <w:sz w:val="22"/>
          <w:szCs w:val="22"/>
        </w:rPr>
        <w:t>poskytovatel</w:t>
      </w:r>
      <w:r w:rsidRPr="00B07204">
        <w:rPr>
          <w:rFonts w:ascii="Calibri" w:hAnsi="Calibri"/>
          <w:sz w:val="22"/>
          <w:szCs w:val="22"/>
        </w:rPr>
        <w:t xml:space="preserve">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8579AD" w:rsidRPr="00B07204" w:rsidRDefault="008579AD" w:rsidP="008579AD">
      <w:pPr>
        <w:pStyle w:val="Odstavecseseznamem"/>
        <w:jc w:val="both"/>
        <w:rPr>
          <w:rFonts w:ascii="Calibri" w:hAnsi="Calibri"/>
          <w:sz w:val="22"/>
          <w:szCs w:val="22"/>
        </w:rPr>
      </w:pPr>
    </w:p>
    <w:p w:rsidR="008579AD" w:rsidRPr="00C66256" w:rsidRDefault="008579AD" w:rsidP="008579AD">
      <w:pPr>
        <w:pStyle w:val="Bezmezer"/>
        <w:numPr>
          <w:ilvl w:val="0"/>
          <w:numId w:val="6"/>
        </w:numPr>
        <w:jc w:val="both"/>
        <w:rPr>
          <w:rFonts w:cs="Calibri"/>
          <w:i/>
        </w:rPr>
      </w:pPr>
      <w:r w:rsidRPr="00C66256">
        <w:rPr>
          <w:rFonts w:cs="Calibri"/>
          <w:snapToGrid w:val="0"/>
        </w:rPr>
        <w:t xml:space="preserve">Smluvní strany tímto berou na vědomí, že tato smlouva je smlouvou, jejíž jednou stranou je územní samosprávný celek ve smyslu </w:t>
      </w:r>
      <w:proofErr w:type="spellStart"/>
      <w:r w:rsidRPr="00C66256">
        <w:rPr>
          <w:rFonts w:cs="Calibri"/>
          <w:snapToGrid w:val="0"/>
        </w:rPr>
        <w:t>ust</w:t>
      </w:r>
      <w:proofErr w:type="spellEnd"/>
      <w:r w:rsidRPr="00C66256">
        <w:rPr>
          <w:rFonts w:cs="Calibri"/>
          <w:snapToGrid w:val="0"/>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r w:rsidRPr="00C66256">
        <w:rPr>
          <w:i/>
        </w:rPr>
        <w:t>.</w:t>
      </w:r>
    </w:p>
    <w:p w:rsidR="00C66256" w:rsidRPr="00E706F3" w:rsidRDefault="00C66256" w:rsidP="00C66256">
      <w:pPr>
        <w:pStyle w:val="Bezmezer"/>
        <w:ind w:left="360"/>
        <w:jc w:val="both"/>
        <w:rPr>
          <w:rFonts w:cs="Calibri"/>
          <w:i/>
          <w:color w:val="0070C0"/>
        </w:rPr>
      </w:pPr>
    </w:p>
    <w:p w:rsidR="00183CAE" w:rsidRPr="002B0733" w:rsidRDefault="00183CAE" w:rsidP="00183CAE">
      <w:pPr>
        <w:pStyle w:val="Odstavecseseznamem"/>
        <w:numPr>
          <w:ilvl w:val="0"/>
          <w:numId w:val="6"/>
        </w:numPr>
        <w:jc w:val="both"/>
        <w:rPr>
          <w:rFonts w:ascii="Calibri" w:hAnsi="Calibri"/>
          <w:sz w:val="22"/>
          <w:szCs w:val="22"/>
        </w:rPr>
      </w:pPr>
      <w:r w:rsidRPr="002B0733">
        <w:rPr>
          <w:rFonts w:ascii="Calibri" w:hAnsi="Calibri"/>
          <w:sz w:val="22"/>
          <w:szCs w:val="22"/>
        </w:rPr>
        <w:t xml:space="preserve">Tato smlouva je platná </w:t>
      </w:r>
      <w:r w:rsidR="000E7165" w:rsidRPr="002B0733">
        <w:rPr>
          <w:rFonts w:ascii="Calibri" w:hAnsi="Calibri"/>
          <w:sz w:val="22"/>
          <w:szCs w:val="22"/>
        </w:rPr>
        <w:t xml:space="preserve">dnem podpisu obou smluvních stran </w:t>
      </w:r>
      <w:r w:rsidRPr="002B0733">
        <w:rPr>
          <w:rFonts w:ascii="Calibri" w:hAnsi="Calibri"/>
          <w:sz w:val="22"/>
          <w:szCs w:val="22"/>
        </w:rPr>
        <w:t>a účinná dnem</w:t>
      </w:r>
      <w:r w:rsidR="000E7165" w:rsidRPr="002B0733">
        <w:rPr>
          <w:rFonts w:ascii="Calibri" w:hAnsi="Calibri"/>
          <w:sz w:val="22"/>
          <w:szCs w:val="22"/>
        </w:rPr>
        <w:t xml:space="preserve"> zveřejnění v registru smluv dle zákona o registru smluv. </w:t>
      </w:r>
    </w:p>
    <w:p w:rsidR="008579AD" w:rsidRPr="00B07204" w:rsidRDefault="008579AD" w:rsidP="008579AD">
      <w:pPr>
        <w:pStyle w:val="Odstavecseseznamem"/>
        <w:ind w:left="0"/>
        <w:jc w:val="both"/>
        <w:rPr>
          <w:rFonts w:ascii="Calibri" w:hAnsi="Calibri"/>
          <w:sz w:val="22"/>
          <w:szCs w:val="22"/>
        </w:rPr>
      </w:pPr>
    </w:p>
    <w:p w:rsidR="0028738B" w:rsidRPr="00D93AAA" w:rsidRDefault="0028738B" w:rsidP="0028738B">
      <w:pPr>
        <w:pStyle w:val="Odstavecseseznamem"/>
        <w:numPr>
          <w:ilvl w:val="0"/>
          <w:numId w:val="6"/>
        </w:numPr>
        <w:jc w:val="both"/>
        <w:rPr>
          <w:rFonts w:ascii="Calibri" w:hAnsi="Calibri"/>
          <w:sz w:val="22"/>
          <w:szCs w:val="22"/>
        </w:rPr>
      </w:pPr>
      <w:r w:rsidRPr="00D93AAA">
        <w:rPr>
          <w:rFonts w:ascii="Calibri" w:hAnsi="Calibri"/>
          <w:sz w:val="22"/>
          <w:szCs w:val="22"/>
        </w:rPr>
        <w:t xml:space="preserve">Tato smlouva byla schválena usnesením Zastupitelstva města Slavkov u Brna na </w:t>
      </w:r>
      <w:r>
        <w:rPr>
          <w:rFonts w:ascii="Calibri" w:hAnsi="Calibri"/>
          <w:sz w:val="22"/>
          <w:szCs w:val="22"/>
        </w:rPr>
        <w:t xml:space="preserve"> jeho  </w:t>
      </w:r>
      <w:r w:rsidR="00EE16A9">
        <w:rPr>
          <w:rFonts w:ascii="Calibri" w:hAnsi="Calibri"/>
          <w:sz w:val="22"/>
          <w:szCs w:val="22"/>
        </w:rPr>
        <w:t>2</w:t>
      </w:r>
      <w:r w:rsidR="00743F2A">
        <w:rPr>
          <w:rFonts w:ascii="Calibri" w:hAnsi="Calibri"/>
          <w:sz w:val="22"/>
          <w:szCs w:val="22"/>
        </w:rPr>
        <w:t>3</w:t>
      </w:r>
      <w:r w:rsidRPr="00D93AAA">
        <w:rPr>
          <w:rFonts w:ascii="Calibri" w:hAnsi="Calibri"/>
          <w:sz w:val="22"/>
          <w:szCs w:val="22"/>
        </w:rPr>
        <w:t>.</w:t>
      </w:r>
      <w:r>
        <w:rPr>
          <w:rFonts w:ascii="Calibri" w:hAnsi="Calibri"/>
          <w:sz w:val="22"/>
          <w:szCs w:val="22"/>
        </w:rPr>
        <w:t xml:space="preserve"> </w:t>
      </w:r>
      <w:r w:rsidRPr="00D93AAA">
        <w:rPr>
          <w:rFonts w:ascii="Calibri" w:hAnsi="Calibri"/>
          <w:sz w:val="22"/>
          <w:szCs w:val="22"/>
        </w:rPr>
        <w:t>zasedání, dne</w:t>
      </w:r>
      <w:r w:rsidR="00743F2A">
        <w:rPr>
          <w:rFonts w:ascii="Calibri" w:hAnsi="Calibri"/>
          <w:sz w:val="22"/>
          <w:szCs w:val="22"/>
        </w:rPr>
        <w:t xml:space="preserve"> </w:t>
      </w:r>
      <w:proofErr w:type="gramStart"/>
      <w:r w:rsidR="00743F2A">
        <w:rPr>
          <w:rFonts w:ascii="Calibri" w:hAnsi="Calibri"/>
          <w:sz w:val="22"/>
          <w:szCs w:val="22"/>
        </w:rPr>
        <w:t>0</w:t>
      </w:r>
      <w:r w:rsidR="00EE16A9">
        <w:rPr>
          <w:rFonts w:ascii="Calibri" w:hAnsi="Calibri"/>
          <w:sz w:val="22"/>
          <w:szCs w:val="22"/>
        </w:rPr>
        <w:t>7</w:t>
      </w:r>
      <w:r w:rsidR="00743F2A">
        <w:rPr>
          <w:rFonts w:ascii="Calibri" w:hAnsi="Calibri"/>
          <w:sz w:val="22"/>
          <w:szCs w:val="22"/>
        </w:rPr>
        <w:t>.06.202</w:t>
      </w:r>
      <w:r w:rsidR="00EE16A9">
        <w:rPr>
          <w:rFonts w:ascii="Calibri" w:hAnsi="Calibri"/>
          <w:sz w:val="22"/>
          <w:szCs w:val="22"/>
        </w:rPr>
        <w:t>1</w:t>
      </w:r>
      <w:proofErr w:type="gramEnd"/>
      <w:r w:rsidRPr="00D93AAA">
        <w:rPr>
          <w:rFonts w:ascii="Calibri" w:hAnsi="Calibri"/>
          <w:sz w:val="22"/>
          <w:szCs w:val="22"/>
        </w:rPr>
        <w:t>, č. usnesení</w:t>
      </w:r>
      <w:r>
        <w:rPr>
          <w:rFonts w:ascii="Calibri" w:hAnsi="Calibri"/>
          <w:sz w:val="22"/>
          <w:szCs w:val="22"/>
        </w:rPr>
        <w:t xml:space="preserve"> </w:t>
      </w:r>
      <w:r w:rsidR="00EE16A9">
        <w:rPr>
          <w:rFonts w:ascii="Calibri" w:hAnsi="Calibri"/>
          <w:sz w:val="22"/>
          <w:szCs w:val="22"/>
        </w:rPr>
        <w:t>345/2</w:t>
      </w:r>
      <w:r w:rsidR="00743F2A">
        <w:rPr>
          <w:rFonts w:ascii="Calibri" w:hAnsi="Calibri"/>
          <w:sz w:val="22"/>
          <w:szCs w:val="22"/>
        </w:rPr>
        <w:t>3/ZM/202</w:t>
      </w:r>
      <w:r w:rsidR="00EE16A9">
        <w:rPr>
          <w:rFonts w:ascii="Calibri" w:hAnsi="Calibri"/>
          <w:sz w:val="22"/>
          <w:szCs w:val="22"/>
        </w:rPr>
        <w:t>1</w:t>
      </w:r>
      <w:r>
        <w:rPr>
          <w:rFonts w:ascii="Calibri" w:hAnsi="Calibri"/>
          <w:sz w:val="22"/>
          <w:szCs w:val="22"/>
        </w:rPr>
        <w: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256A84">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roofErr w:type="gramStart"/>
      <w:r w:rsidRPr="00B07204">
        <w:rPr>
          <w:rFonts w:ascii="Calibri" w:hAnsi="Calibri"/>
          <w:sz w:val="22"/>
          <w:szCs w:val="22"/>
        </w:rPr>
        <w:t>…..</w:t>
      </w:r>
      <w:proofErr w:type="gramEnd"/>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w:t>
      </w:r>
    </w:p>
    <w:p w:rsidR="008579AD" w:rsidRPr="00780B25" w:rsidRDefault="007868F1" w:rsidP="00780B25">
      <w:pPr>
        <w:jc w:val="both"/>
        <w:rPr>
          <w:rFonts w:ascii="Arial" w:hAnsi="Arial" w:cs="Arial"/>
        </w:rPr>
      </w:pPr>
      <w:r>
        <w:rPr>
          <w:rFonts w:ascii="Arial" w:hAnsi="Arial" w:cs="Arial"/>
        </w:rPr>
        <w:t xml:space="preserve">Bc. </w:t>
      </w:r>
      <w:r w:rsidR="002E4FC7">
        <w:rPr>
          <w:rFonts w:ascii="Arial" w:hAnsi="Arial" w:cs="Arial"/>
        </w:rPr>
        <w:t>Michal Boudný</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1873BF">
        <w:rPr>
          <w:rFonts w:ascii="Arial" w:hAnsi="Arial" w:cs="Arial"/>
        </w:rPr>
        <w:t>Mgr. Přemysl Jeřábek</w:t>
      </w:r>
    </w:p>
    <w:p w:rsidR="008579AD" w:rsidRPr="00780B25" w:rsidRDefault="002E4FC7" w:rsidP="00780B25">
      <w:pPr>
        <w:jc w:val="both"/>
        <w:rPr>
          <w:rFonts w:ascii="Arial" w:hAnsi="Arial" w:cs="Arial"/>
        </w:rPr>
      </w:pPr>
      <w:r>
        <w:rPr>
          <w:rFonts w:ascii="Arial" w:hAnsi="Arial" w:cs="Arial"/>
        </w:rPr>
        <w:t>s</w:t>
      </w:r>
      <w:r w:rsidR="008579AD" w:rsidRPr="00780B25">
        <w:rPr>
          <w:rFonts w:ascii="Arial" w:hAnsi="Arial" w:cs="Arial"/>
        </w:rPr>
        <w:t>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873BF">
        <w:rPr>
          <w:rFonts w:ascii="Arial" w:hAnsi="Arial" w:cs="Arial"/>
        </w:rPr>
        <w:t>předseda</w:t>
      </w:r>
    </w:p>
    <w:p w:rsidR="00613F76" w:rsidRDefault="00BC7EA0" w:rsidP="00743F2A">
      <w:pPr>
        <w:pStyle w:val="Odstavecseseznamem"/>
        <w:ind w:left="0"/>
        <w:jc w:val="both"/>
      </w:pPr>
      <w:r>
        <w:rPr>
          <w:rFonts w:ascii="Arial" w:hAnsi="Arial" w:cs="Arial"/>
          <w:sz w:val="22"/>
          <w:szCs w:val="22"/>
        </w:rPr>
        <w:t>za poskytovatele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62FF3">
        <w:rPr>
          <w:rFonts w:ascii="Arial" w:hAnsi="Arial" w:cs="Arial"/>
          <w:sz w:val="22"/>
          <w:szCs w:val="22"/>
        </w:rPr>
        <w:t xml:space="preserve">            </w:t>
      </w:r>
      <w:r w:rsidR="008579AD" w:rsidRPr="005A355B">
        <w:rPr>
          <w:rFonts w:ascii="Arial" w:hAnsi="Arial" w:cs="Arial"/>
          <w:sz w:val="22"/>
          <w:szCs w:val="22"/>
        </w:rPr>
        <w:t>za příjemce</w:t>
      </w:r>
    </w:p>
    <w:sectPr w:rsidR="00613F76" w:rsidSect="00A4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6F104000"/>
    <w:lvl w:ilvl="0" w:tplc="C46AAC2C">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67770"/>
    <w:rsid w:val="000A4046"/>
    <w:rsid w:val="000B0C9D"/>
    <w:rsid w:val="000E7165"/>
    <w:rsid w:val="000F4313"/>
    <w:rsid w:val="0010412D"/>
    <w:rsid w:val="00121F96"/>
    <w:rsid w:val="00135474"/>
    <w:rsid w:val="00183CAE"/>
    <w:rsid w:val="001873BF"/>
    <w:rsid w:val="001E5696"/>
    <w:rsid w:val="00225DA4"/>
    <w:rsid w:val="00256A84"/>
    <w:rsid w:val="0028738B"/>
    <w:rsid w:val="002B0733"/>
    <w:rsid w:val="002E4FC7"/>
    <w:rsid w:val="0031098D"/>
    <w:rsid w:val="00316266"/>
    <w:rsid w:val="00373FF5"/>
    <w:rsid w:val="003A772B"/>
    <w:rsid w:val="003E12D6"/>
    <w:rsid w:val="00472C5A"/>
    <w:rsid w:val="0048441A"/>
    <w:rsid w:val="004B1B51"/>
    <w:rsid w:val="005016CB"/>
    <w:rsid w:val="005A355B"/>
    <w:rsid w:val="00613F76"/>
    <w:rsid w:val="00724E88"/>
    <w:rsid w:val="00734B87"/>
    <w:rsid w:val="007433B3"/>
    <w:rsid w:val="00743F2A"/>
    <w:rsid w:val="00780B25"/>
    <w:rsid w:val="007868F1"/>
    <w:rsid w:val="007921C4"/>
    <w:rsid w:val="00810892"/>
    <w:rsid w:val="008579AD"/>
    <w:rsid w:val="00940D18"/>
    <w:rsid w:val="009E59DA"/>
    <w:rsid w:val="00A21E7C"/>
    <w:rsid w:val="00A32D16"/>
    <w:rsid w:val="00A4154F"/>
    <w:rsid w:val="00A80B74"/>
    <w:rsid w:val="00AD32E6"/>
    <w:rsid w:val="00B137A0"/>
    <w:rsid w:val="00B149EB"/>
    <w:rsid w:val="00BC7EA0"/>
    <w:rsid w:val="00C66256"/>
    <w:rsid w:val="00C9782B"/>
    <w:rsid w:val="00D426DF"/>
    <w:rsid w:val="00E10E14"/>
    <w:rsid w:val="00E62FF3"/>
    <w:rsid w:val="00EA2988"/>
    <w:rsid w:val="00EE16A9"/>
    <w:rsid w:val="00F0705B"/>
    <w:rsid w:val="00FE50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1814</Words>
  <Characters>10703</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Petra Pospíchalová Nedvědová</cp:lastModifiedBy>
  <cp:revision>3</cp:revision>
  <cp:lastPrinted>2017-06-30T05:51:00Z</cp:lastPrinted>
  <dcterms:created xsi:type="dcterms:W3CDTF">2021-06-22T06:01:00Z</dcterms:created>
  <dcterms:modified xsi:type="dcterms:W3CDTF">2021-06-22T06:03:00Z</dcterms:modified>
</cp:coreProperties>
</file>