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10C207B2"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4DEDDD36" w:rsidR="00727960" w:rsidRPr="00727960" w:rsidRDefault="009855F8" w:rsidP="009855F8">
      <w:pPr>
        <w:pStyle w:val="Bezmezer"/>
        <w:jc w:val="center"/>
        <w:rPr>
          <w:b/>
          <w:bCs/>
          <w:sz w:val="24"/>
          <w:szCs w:val="24"/>
        </w:rPr>
      </w:pPr>
      <w:r>
        <w:rPr>
          <w:b/>
          <w:bCs/>
          <w:sz w:val="24"/>
          <w:szCs w:val="24"/>
        </w:rPr>
        <w:t xml:space="preserve">číslo </w:t>
      </w:r>
      <w:r w:rsidR="00687825">
        <w:rPr>
          <w:b/>
          <w:bCs/>
          <w:sz w:val="24"/>
          <w:szCs w:val="24"/>
        </w:rPr>
        <w:t>103/2021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47D0D8FF" w:rsidR="00727960" w:rsidRDefault="00727960" w:rsidP="00727960">
      <w:pPr>
        <w:pStyle w:val="Bezmezer"/>
      </w:pPr>
      <w:r>
        <w:t>zastoupená</w:t>
      </w:r>
      <w:r w:rsidR="00146E60">
        <w:t>:</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14292751" w14:textId="3FC8B75D" w:rsidR="00146E60" w:rsidRDefault="003F0791" w:rsidP="00727960">
      <w:pPr>
        <w:pStyle w:val="Bezmezer"/>
      </w:pPr>
      <w:r>
        <w:t>kontaktní osoba</w:t>
      </w:r>
      <w:r w:rsidR="00146E60">
        <w:t>: provozně dopravní referent</w:t>
      </w:r>
    </w:p>
    <w:p w14:paraId="0733D4E5" w14:textId="65B2B726"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5AC20010" w:rsidR="00727960" w:rsidRDefault="00727960" w:rsidP="00727960">
      <w:pPr>
        <w:pStyle w:val="Bezmezer"/>
      </w:pPr>
      <w:r>
        <w:t xml:space="preserve">firma: </w:t>
      </w:r>
      <w:r w:rsidR="000544DD">
        <w:t>INFOBUS s.r.o.</w:t>
      </w:r>
    </w:p>
    <w:p w14:paraId="43D2A7C5" w14:textId="395B9D82" w:rsidR="003F0791" w:rsidRDefault="00727960" w:rsidP="00727960">
      <w:pPr>
        <w:pStyle w:val="Bezmezer"/>
      </w:pPr>
      <w:r>
        <w:t xml:space="preserve">sídlo:  </w:t>
      </w:r>
      <w:r w:rsidR="000544DD">
        <w:t>Pod Harfou 938/42, Vysočany, 190 00 Praha 9</w:t>
      </w:r>
    </w:p>
    <w:p w14:paraId="18024694" w14:textId="4083C85C" w:rsidR="003F0791" w:rsidRDefault="000D76BC" w:rsidP="00727960">
      <w:pPr>
        <w:pStyle w:val="Bezmezer"/>
      </w:pPr>
      <w:r>
        <w:t>zastoupená:</w:t>
      </w:r>
      <w:r w:rsidR="000544DD">
        <w:t xml:space="preserve"> jednatel</w:t>
      </w:r>
      <w:r w:rsidR="00ED3208">
        <w:t>em</w:t>
      </w:r>
    </w:p>
    <w:p w14:paraId="788FEBB4" w14:textId="078519AC" w:rsidR="003F0791" w:rsidRDefault="000D76BC" w:rsidP="00727960">
      <w:pPr>
        <w:pStyle w:val="Bezmezer"/>
      </w:pPr>
      <w:r>
        <w:t>IČO:</w:t>
      </w:r>
      <w:r w:rsidR="000544DD">
        <w:t xml:space="preserve"> 24245224</w:t>
      </w:r>
    </w:p>
    <w:p w14:paraId="41F006AA" w14:textId="48E49033" w:rsidR="003F0791" w:rsidRDefault="000D76BC" w:rsidP="00727960">
      <w:pPr>
        <w:pStyle w:val="Bezmezer"/>
      </w:pPr>
      <w:r>
        <w:t>DIČ:</w:t>
      </w:r>
      <w:r w:rsidR="000544DD">
        <w:t xml:space="preserve"> CZ24245224</w:t>
      </w:r>
    </w:p>
    <w:p w14:paraId="0C499F8D" w14:textId="3AAF8340" w:rsidR="003F0791" w:rsidRDefault="003F0791" w:rsidP="00727960">
      <w:pPr>
        <w:pStyle w:val="Bezmezer"/>
      </w:pPr>
      <w:r>
        <w:t xml:space="preserve">bankovní </w:t>
      </w:r>
      <w:r w:rsidR="000D76BC">
        <w:t>spojení:</w:t>
      </w:r>
    </w:p>
    <w:p w14:paraId="4145B158" w14:textId="2ACFF40C" w:rsidR="003F0791" w:rsidRDefault="003F0791" w:rsidP="00727960">
      <w:pPr>
        <w:pStyle w:val="Bezmezer"/>
      </w:pPr>
      <w:r>
        <w:t xml:space="preserve">číslo </w:t>
      </w:r>
      <w:r w:rsidR="000D76BC">
        <w:t>účtu:</w:t>
      </w:r>
    </w:p>
    <w:p w14:paraId="35CAA884" w14:textId="38DB42B1" w:rsidR="000D76BC" w:rsidRDefault="003F0791" w:rsidP="00727960">
      <w:pPr>
        <w:pStyle w:val="Bezmezer"/>
      </w:pPr>
      <w:r>
        <w:t>zapsaná u MS</w:t>
      </w:r>
      <w:r w:rsidR="000544DD">
        <w:t xml:space="preserve"> v Praze, </w:t>
      </w:r>
      <w:r w:rsidR="000D76BC">
        <w:t>odd.</w:t>
      </w:r>
      <w:r w:rsidR="000544DD">
        <w:t xml:space="preserve"> C, </w:t>
      </w:r>
      <w:r w:rsidR="000D76BC">
        <w:t>vložka</w:t>
      </w:r>
      <w:r w:rsidR="000544DD">
        <w:t xml:space="preserve"> 196191</w:t>
      </w:r>
    </w:p>
    <w:p w14:paraId="7F74A0C3" w14:textId="77777777" w:rsidR="00737D69" w:rsidRDefault="00737D69" w:rsidP="000D76BC">
      <w:pPr>
        <w:pStyle w:val="Bezmezer"/>
      </w:pPr>
    </w:p>
    <w:p w14:paraId="49C675BE" w14:textId="44729304" w:rsidR="00737D69" w:rsidRDefault="00737D69" w:rsidP="00727960">
      <w:pPr>
        <w:pStyle w:val="Bezmezer"/>
      </w:pPr>
      <w:r>
        <w:t>k</w:t>
      </w:r>
      <w:r w:rsidR="00727960">
        <w:t>ontaktní osoba</w:t>
      </w:r>
      <w:r w:rsidR="00146E60">
        <w:t>: jednatel společnosti</w:t>
      </w: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lastRenderedPageBreak/>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t xml:space="preserve">schváleno předem </w:t>
      </w:r>
      <w:r w:rsidR="001E3F07">
        <w:t>Společností.</w:t>
      </w:r>
      <w:r w:rsidR="006F083E">
        <w:t xml:space="preserve"> Dopravce je povinen </w:t>
      </w:r>
      <w:r w:rsidR="00570252">
        <w:t xml:space="preserve">projednat se Společností nejpozději 15 dnů před </w:t>
      </w:r>
      <w:r w:rsidR="00570252">
        <w:lastRenderedPageBreak/>
        <w:t>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w:t>
      </w:r>
      <w:r w:rsidR="00B956BB">
        <w:lastRenderedPageBreak/>
        <w:t xml:space="preserve">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lastRenderedPageBreak/>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E2A15A4"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r w:rsidR="005902DD">
        <w:t>2.000,-</w:t>
      </w:r>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675CD5E9"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6F8733A4" w14:textId="30D51F47" w:rsidR="00BA6322" w:rsidRDefault="00BA6322" w:rsidP="00FF131C">
      <w:pPr>
        <w:pStyle w:val="Bezmezer"/>
        <w:jc w:val="both"/>
      </w:pPr>
    </w:p>
    <w:p w14:paraId="10F62220" w14:textId="614639AD" w:rsidR="00BA6322" w:rsidRPr="00BA6322" w:rsidRDefault="00BA6322" w:rsidP="00BA6322">
      <w:r>
        <w:t>6.3.</w:t>
      </w:r>
      <w:r>
        <w:tab/>
        <w:t>Dopravce</w:t>
      </w:r>
      <w:r w:rsidRPr="00BA6322">
        <w:t xml:space="preserve"> souhlasí s obsahem výše uvedené smlouvy</w:t>
      </w:r>
      <w:r>
        <w:t xml:space="preserve"> a zodpovídá</w:t>
      </w:r>
      <w:r w:rsidRPr="00BA6322">
        <w:t xml:space="preserve"> za finanční závazky, týkajících se pla</w:t>
      </w:r>
      <w:r>
        <w:t>teb za vjezdy</w:t>
      </w:r>
      <w:r w:rsidRPr="00BA6322">
        <w:t xml:space="preserve"> na nádraží a pokut společnosti TOV Lvivske ATP-14631.</w:t>
      </w:r>
    </w:p>
    <w:p w14:paraId="7B1DB4A4" w14:textId="4D87D7FA" w:rsidR="00BA6322" w:rsidRDefault="00BA6322" w:rsidP="00FF131C">
      <w:pPr>
        <w:pStyle w:val="Bezmezer"/>
        <w:jc w:val="both"/>
      </w:pP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4D1204A2"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r w:rsidR="001A4C2A" w:rsidRPr="001A4C2A">
        <w:t xml:space="preserve">od  </w:t>
      </w:r>
      <w:r w:rsidR="00687825">
        <w:t>1.6.2021</w:t>
      </w:r>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w:t>
      </w:r>
      <w:r w:rsidR="00E5152A">
        <w:lastRenderedPageBreak/>
        <w:t xml:space="preserve">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4EAA08A" w:rsidR="00727960" w:rsidRDefault="00727960" w:rsidP="00727960">
      <w:pPr>
        <w:pStyle w:val="Bezmezer"/>
      </w:pPr>
      <w:r>
        <w:t>V Mladé Boleslav</w:t>
      </w:r>
      <w:r w:rsidR="00FB1266">
        <w:t xml:space="preserve">i </w:t>
      </w:r>
      <w:r>
        <w:t>dne      ……………….</w:t>
      </w:r>
      <w:r w:rsidR="00FB1266">
        <w:t xml:space="preserve">    </w:t>
      </w:r>
      <w:r w:rsidR="00FB1266">
        <w:tab/>
      </w:r>
      <w:r w:rsidR="00FB1266">
        <w:tab/>
      </w:r>
      <w:r w:rsidR="00FB1266">
        <w:tab/>
        <w:t>V …………………………  dne ………………..</w:t>
      </w:r>
    </w:p>
    <w:p w14:paraId="3B334BBC"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t>…………………………</w:t>
      </w:r>
      <w:r w:rsidR="00FB1266">
        <w:t>……..</w:t>
      </w:r>
      <w:r>
        <w:t>….</w:t>
      </w:r>
      <w:r>
        <w:tab/>
        <w:t xml:space="preserve">                                              </w:t>
      </w:r>
      <w:r w:rsidR="00FB1266">
        <w:t>.</w:t>
      </w:r>
      <w:r>
        <w:t>…………………………..</w:t>
      </w:r>
    </w:p>
    <w:p w14:paraId="3A45FB52" w14:textId="77777777" w:rsidR="00727960" w:rsidRDefault="00727960" w:rsidP="00727960">
      <w:pPr>
        <w:pStyle w:val="Bezmezer"/>
      </w:pPr>
      <w:r>
        <w:t xml:space="preserve">          jednatel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Přílohy Smlouvy :</w:t>
      </w:r>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7A7EC888" w:rsidR="0059037F" w:rsidRDefault="0059037F" w:rsidP="00727960">
      <w:pPr>
        <w:pStyle w:val="Bezmezer"/>
      </w:pPr>
    </w:p>
    <w:p w14:paraId="6CDFFF91" w14:textId="685C48BF" w:rsidR="00146E60" w:rsidRDefault="00146E60" w:rsidP="00727960">
      <w:pPr>
        <w:pStyle w:val="Bezmezer"/>
      </w:pPr>
    </w:p>
    <w:p w14:paraId="375FB6F5" w14:textId="77777777" w:rsidR="00146E60" w:rsidRDefault="00146E60" w:rsidP="00727960">
      <w:pPr>
        <w:pStyle w:val="Bezmezer"/>
      </w:pPr>
    </w:p>
    <w:p w14:paraId="66AD6ADB" w14:textId="25E943BA" w:rsidR="0059037F" w:rsidRDefault="0059037F" w:rsidP="00727960">
      <w:pPr>
        <w:pStyle w:val="Bezmezer"/>
      </w:pPr>
    </w:p>
    <w:p w14:paraId="154F43C7" w14:textId="6D510761" w:rsidR="00D77E3E" w:rsidRDefault="00D77E3E" w:rsidP="00727960">
      <w:pPr>
        <w:pStyle w:val="Bezmezer"/>
      </w:pPr>
    </w:p>
    <w:p w14:paraId="5894F68B" w14:textId="77777777" w:rsidR="00EC5937" w:rsidRDefault="00EC5937" w:rsidP="00727960">
      <w:pPr>
        <w:pStyle w:val="Bezmezer"/>
      </w:pPr>
    </w:p>
    <w:p w14:paraId="061E8277" w14:textId="5B7FCFE4" w:rsidR="00D77E3E" w:rsidRDefault="00D77E3E"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0D083AE9" w:rsidR="00D77E3E" w:rsidRPr="00D77E3E"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75A3A">
              <w:rPr>
                <w:rFonts w:ascii="Calibri" w:eastAsia="Times New Roman" w:hAnsi="Calibri" w:cs="Calibri"/>
                <w:color w:val="000000"/>
                <w:lang w:eastAsia="cs-CZ"/>
              </w:rPr>
              <w:t>INFOBUS s.r.o.</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62CE281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544DD">
              <w:rPr>
                <w:rFonts w:ascii="Calibri" w:eastAsia="Times New Roman" w:hAnsi="Calibri" w:cs="Calibri"/>
                <w:color w:val="000000"/>
                <w:lang w:eastAsia="cs-CZ"/>
              </w:rPr>
              <w:t>Platná od 8.2.20217</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146E60">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7FBA1F" w14:textId="41FBE9B5"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2613FA53" w14:textId="6DFA9A3C"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hideMark/>
          </w:tcPr>
          <w:p w14:paraId="67770B6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38BA4D5"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D7FAC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ABB6E8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3ACA3CF5"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D2DA1">
              <w:rPr>
                <w:rFonts w:ascii="Calibri" w:eastAsia="Times New Roman" w:hAnsi="Calibri" w:cs="Calibri"/>
                <w:color w:val="000000"/>
                <w:lang w:eastAsia="cs-CZ"/>
              </w:rPr>
              <w:t>000</w:t>
            </w:r>
            <w:r w:rsidR="00675A3A">
              <w:rPr>
                <w:rFonts w:ascii="Calibri" w:eastAsia="Times New Roman" w:hAnsi="Calibri" w:cs="Calibri"/>
                <w:color w:val="000000"/>
                <w:lang w:eastAsia="cs-CZ"/>
              </w:rPr>
              <w:t>288</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511D6A9C"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CD36A4">
              <w:rPr>
                <w:rFonts w:ascii="Calibri" w:eastAsia="Times New Roman" w:hAnsi="Calibri" w:cs="Calibri"/>
                <w:color w:val="000000"/>
                <w:lang w:eastAsia="cs-CZ"/>
              </w:rPr>
              <w:t>1</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19B50872"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544DD">
              <w:rPr>
                <w:rFonts w:ascii="Calibri" w:eastAsia="Times New Roman" w:hAnsi="Calibri" w:cs="Calibri"/>
                <w:color w:val="000000"/>
                <w:lang w:eastAsia="cs-CZ"/>
              </w:rPr>
              <w:t>24.6.2022</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2E05D67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D2DA1">
              <w:rPr>
                <w:rFonts w:ascii="Calibri" w:eastAsia="Times New Roman" w:hAnsi="Calibri" w:cs="Calibri"/>
                <w:color w:val="000000"/>
                <w:lang w:eastAsia="cs-CZ"/>
              </w:rPr>
              <w:t>Mezinárodní</w:t>
            </w:r>
          </w:p>
        </w:tc>
        <w:tc>
          <w:tcPr>
            <w:tcW w:w="3055" w:type="dxa"/>
            <w:tcBorders>
              <w:top w:val="nil"/>
              <w:left w:val="nil"/>
              <w:bottom w:val="single" w:sz="4" w:space="0" w:color="auto"/>
              <w:right w:val="single" w:sz="4" w:space="0" w:color="auto"/>
            </w:tcBorders>
            <w:shd w:val="clear" w:color="auto" w:fill="auto"/>
            <w:noWrap/>
            <w:vAlign w:val="bottom"/>
            <w:hideMark/>
          </w:tcPr>
          <w:p w14:paraId="53E0312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44A9EB6" w14:textId="77777777" w:rsidTr="00345951">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4EC37E3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tcPr>
          <w:p w14:paraId="4FBB43BE" w14:textId="32F124E7" w:rsidR="00D77E3E" w:rsidRPr="00D77E3E" w:rsidRDefault="00D77E3E" w:rsidP="00D77E3E">
            <w:pPr>
              <w:spacing w:after="0" w:line="240" w:lineRule="auto"/>
              <w:rPr>
                <w:rFonts w:ascii="Calibri" w:eastAsia="Times New Roman" w:hAnsi="Calibri" w:cs="Calibri"/>
                <w:color w:val="000000"/>
                <w:lang w:eastAsia="cs-CZ"/>
              </w:rPr>
            </w:pPr>
          </w:p>
        </w:tc>
        <w:tc>
          <w:tcPr>
            <w:tcW w:w="1424" w:type="dxa"/>
            <w:tcBorders>
              <w:top w:val="nil"/>
              <w:left w:val="nil"/>
              <w:bottom w:val="single" w:sz="4" w:space="0" w:color="auto"/>
              <w:right w:val="single" w:sz="4" w:space="0" w:color="auto"/>
            </w:tcBorders>
            <w:shd w:val="clear" w:color="auto" w:fill="auto"/>
            <w:noWrap/>
            <w:vAlign w:val="bottom"/>
          </w:tcPr>
          <w:p w14:paraId="5E229E2C" w14:textId="6A434D16"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711AF498" w14:textId="21197FA9"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322659AA" w14:textId="3CCD0A86"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4CE3BA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DB758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C4487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E1BB3D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7CE75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D2E94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289EFD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CF3DD9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C5F24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187AB5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03FDB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B467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515754AA" w14:textId="77777777" w:rsidR="00D77E3E" w:rsidRDefault="00D77E3E" w:rsidP="00727960">
      <w:pPr>
        <w:pStyle w:val="Bezmezer"/>
      </w:pPr>
    </w:p>
    <w:p w14:paraId="05BC1DEF" w14:textId="77777777" w:rsidR="00146E60" w:rsidRDefault="00146E60" w:rsidP="00727960">
      <w:pPr>
        <w:pStyle w:val="Bezmezer"/>
        <w:rPr>
          <w:b/>
          <w:bCs/>
          <w:u w:val="single"/>
        </w:rPr>
      </w:pPr>
    </w:p>
    <w:p w14:paraId="331EA3A6" w14:textId="77777777" w:rsidR="00146E60" w:rsidRDefault="00146E60" w:rsidP="00727960">
      <w:pPr>
        <w:pStyle w:val="Bezmezer"/>
        <w:rPr>
          <w:b/>
          <w:bCs/>
          <w:u w:val="single"/>
        </w:rPr>
      </w:pPr>
    </w:p>
    <w:p w14:paraId="6C9D4E95" w14:textId="77777777" w:rsidR="00146E60" w:rsidRDefault="00146E60" w:rsidP="00727960">
      <w:pPr>
        <w:pStyle w:val="Bezmezer"/>
        <w:rPr>
          <w:b/>
          <w:bCs/>
          <w:u w:val="single"/>
        </w:rPr>
      </w:pPr>
    </w:p>
    <w:p w14:paraId="4D5D8038" w14:textId="77777777" w:rsidR="00146E60" w:rsidRDefault="00146E60" w:rsidP="00727960">
      <w:pPr>
        <w:pStyle w:val="Bezmezer"/>
        <w:rPr>
          <w:b/>
          <w:bCs/>
          <w:u w:val="single"/>
        </w:rPr>
      </w:pPr>
    </w:p>
    <w:p w14:paraId="0E1AFF6A" w14:textId="69DC8EC1" w:rsidR="00727960" w:rsidRPr="00D77E3E" w:rsidRDefault="00D77E3E" w:rsidP="00727960">
      <w:pPr>
        <w:pStyle w:val="Bezmezer"/>
        <w:rPr>
          <w:b/>
          <w:bCs/>
          <w:u w:val="single"/>
        </w:rPr>
      </w:pPr>
      <w:r w:rsidRPr="00D77E3E">
        <w:rPr>
          <w:b/>
          <w:bCs/>
          <w:u w:val="single"/>
        </w:rPr>
        <w:lastRenderedPageBreak/>
        <w:t xml:space="preserve">Příloha č.2  Dopravně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5D311688"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hodin)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V Mladé Boleslavi  dne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7CD39EE1" w14:textId="77777777"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lastRenderedPageBreak/>
        <w:t>Příloha č.3  Ceník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6B83F627"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Pr="007B774A">
        <w:t>65,-- Kč</w:t>
      </w:r>
    </w:p>
    <w:p w14:paraId="6D55E282" w14:textId="40DC18B2"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Pr="007B774A">
        <w:t>65,-- Kč</w:t>
      </w:r>
    </w:p>
    <w:p w14:paraId="24AB6333" w14:textId="58AED4A6"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Pr="007B774A">
        <w:t>65,--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4DE8" w14:textId="77777777" w:rsidR="00AF7EDF" w:rsidRDefault="00AF7EDF">
      <w:pPr>
        <w:spacing w:after="0" w:line="240" w:lineRule="auto"/>
      </w:pPr>
      <w:r>
        <w:separator/>
      </w:r>
    </w:p>
  </w:endnote>
  <w:endnote w:type="continuationSeparator" w:id="0">
    <w:p w14:paraId="60F21D0E" w14:textId="77777777" w:rsidR="00AF7EDF" w:rsidRDefault="00AF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C259" w14:textId="77777777" w:rsidR="00AF7EDF" w:rsidRDefault="00AF7EDF">
      <w:pPr>
        <w:spacing w:after="0" w:line="240" w:lineRule="auto"/>
      </w:pPr>
      <w:r>
        <w:separator/>
      </w:r>
    </w:p>
  </w:footnote>
  <w:footnote w:type="continuationSeparator" w:id="0">
    <w:p w14:paraId="25A8BDA7" w14:textId="77777777" w:rsidR="00AF7EDF" w:rsidRDefault="00AF7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544DD"/>
    <w:rsid w:val="00074809"/>
    <w:rsid w:val="000822EC"/>
    <w:rsid w:val="000A6F3A"/>
    <w:rsid w:val="000B013F"/>
    <w:rsid w:val="000B54A7"/>
    <w:rsid w:val="000D3C7A"/>
    <w:rsid w:val="000D76BC"/>
    <w:rsid w:val="001202F6"/>
    <w:rsid w:val="00126893"/>
    <w:rsid w:val="00142571"/>
    <w:rsid w:val="00146E60"/>
    <w:rsid w:val="00171BE5"/>
    <w:rsid w:val="00174064"/>
    <w:rsid w:val="001A4C2A"/>
    <w:rsid w:val="001B5DB9"/>
    <w:rsid w:val="001C6E65"/>
    <w:rsid w:val="001E3F07"/>
    <w:rsid w:val="001F28E6"/>
    <w:rsid w:val="001F4718"/>
    <w:rsid w:val="002357C5"/>
    <w:rsid w:val="00250118"/>
    <w:rsid w:val="002A7E52"/>
    <w:rsid w:val="002E2E01"/>
    <w:rsid w:val="00316FE3"/>
    <w:rsid w:val="0034114B"/>
    <w:rsid w:val="00345951"/>
    <w:rsid w:val="00347104"/>
    <w:rsid w:val="00354C5D"/>
    <w:rsid w:val="00356448"/>
    <w:rsid w:val="00380245"/>
    <w:rsid w:val="003969FF"/>
    <w:rsid w:val="003A195E"/>
    <w:rsid w:val="003A6CBD"/>
    <w:rsid w:val="003C1E98"/>
    <w:rsid w:val="003F0791"/>
    <w:rsid w:val="0040166C"/>
    <w:rsid w:val="00432907"/>
    <w:rsid w:val="0044024F"/>
    <w:rsid w:val="0044461B"/>
    <w:rsid w:val="00477C62"/>
    <w:rsid w:val="00495D1A"/>
    <w:rsid w:val="00497733"/>
    <w:rsid w:val="004E75C5"/>
    <w:rsid w:val="0051096F"/>
    <w:rsid w:val="00511218"/>
    <w:rsid w:val="0052242A"/>
    <w:rsid w:val="00527400"/>
    <w:rsid w:val="00551DFF"/>
    <w:rsid w:val="0055413C"/>
    <w:rsid w:val="00563B95"/>
    <w:rsid w:val="00570252"/>
    <w:rsid w:val="005726D2"/>
    <w:rsid w:val="005902DD"/>
    <w:rsid w:val="0059037F"/>
    <w:rsid w:val="00594561"/>
    <w:rsid w:val="005A0985"/>
    <w:rsid w:val="005A4B9D"/>
    <w:rsid w:val="005C288C"/>
    <w:rsid w:val="005E4578"/>
    <w:rsid w:val="005F18A9"/>
    <w:rsid w:val="00651ECB"/>
    <w:rsid w:val="00660D3D"/>
    <w:rsid w:val="00675A3A"/>
    <w:rsid w:val="00687825"/>
    <w:rsid w:val="006A30C9"/>
    <w:rsid w:val="006B0085"/>
    <w:rsid w:val="006B53DA"/>
    <w:rsid w:val="006C3E26"/>
    <w:rsid w:val="006C4F16"/>
    <w:rsid w:val="006D788D"/>
    <w:rsid w:val="006F083E"/>
    <w:rsid w:val="006F267F"/>
    <w:rsid w:val="00705A0E"/>
    <w:rsid w:val="00727960"/>
    <w:rsid w:val="00737D69"/>
    <w:rsid w:val="00744762"/>
    <w:rsid w:val="00775D8C"/>
    <w:rsid w:val="007A7755"/>
    <w:rsid w:val="007B26F1"/>
    <w:rsid w:val="007B774A"/>
    <w:rsid w:val="007C4C3A"/>
    <w:rsid w:val="007E6550"/>
    <w:rsid w:val="008205E1"/>
    <w:rsid w:val="00834007"/>
    <w:rsid w:val="008628FC"/>
    <w:rsid w:val="00872F25"/>
    <w:rsid w:val="0087551E"/>
    <w:rsid w:val="0088417D"/>
    <w:rsid w:val="008C6ABD"/>
    <w:rsid w:val="008D2DA1"/>
    <w:rsid w:val="008E6FE8"/>
    <w:rsid w:val="008F4919"/>
    <w:rsid w:val="00937286"/>
    <w:rsid w:val="00944ACF"/>
    <w:rsid w:val="00963B17"/>
    <w:rsid w:val="00967380"/>
    <w:rsid w:val="009855F8"/>
    <w:rsid w:val="009938E5"/>
    <w:rsid w:val="009D5725"/>
    <w:rsid w:val="00A050EB"/>
    <w:rsid w:val="00AE645C"/>
    <w:rsid w:val="00AF7EDF"/>
    <w:rsid w:val="00B01511"/>
    <w:rsid w:val="00B029DC"/>
    <w:rsid w:val="00B868F4"/>
    <w:rsid w:val="00B956BB"/>
    <w:rsid w:val="00B97ED6"/>
    <w:rsid w:val="00BA523E"/>
    <w:rsid w:val="00BA6322"/>
    <w:rsid w:val="00BD51ED"/>
    <w:rsid w:val="00BE2B83"/>
    <w:rsid w:val="00C0347D"/>
    <w:rsid w:val="00C22C45"/>
    <w:rsid w:val="00C22CEE"/>
    <w:rsid w:val="00C758C1"/>
    <w:rsid w:val="00C85309"/>
    <w:rsid w:val="00C870CC"/>
    <w:rsid w:val="00CC49C7"/>
    <w:rsid w:val="00CC63A8"/>
    <w:rsid w:val="00CC72B8"/>
    <w:rsid w:val="00CD36A4"/>
    <w:rsid w:val="00CD443B"/>
    <w:rsid w:val="00D32877"/>
    <w:rsid w:val="00D337A7"/>
    <w:rsid w:val="00D33CA0"/>
    <w:rsid w:val="00D35BE5"/>
    <w:rsid w:val="00D438D8"/>
    <w:rsid w:val="00D51289"/>
    <w:rsid w:val="00D51E95"/>
    <w:rsid w:val="00D67447"/>
    <w:rsid w:val="00D77E3E"/>
    <w:rsid w:val="00D925B1"/>
    <w:rsid w:val="00D95591"/>
    <w:rsid w:val="00DA3912"/>
    <w:rsid w:val="00DA5ECA"/>
    <w:rsid w:val="00DC6884"/>
    <w:rsid w:val="00DE38E0"/>
    <w:rsid w:val="00E123EA"/>
    <w:rsid w:val="00E5152A"/>
    <w:rsid w:val="00E6782E"/>
    <w:rsid w:val="00E8383A"/>
    <w:rsid w:val="00E91700"/>
    <w:rsid w:val="00E977CB"/>
    <w:rsid w:val="00EB15EC"/>
    <w:rsid w:val="00EC2DEB"/>
    <w:rsid w:val="00EC5937"/>
    <w:rsid w:val="00EC6074"/>
    <w:rsid w:val="00ED3208"/>
    <w:rsid w:val="00ED42DF"/>
    <w:rsid w:val="00EE59E9"/>
    <w:rsid w:val="00F22ECF"/>
    <w:rsid w:val="00F30451"/>
    <w:rsid w:val="00F52879"/>
    <w:rsid w:val="00F5534E"/>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3425</Words>
  <Characters>20208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10</cp:revision>
  <dcterms:created xsi:type="dcterms:W3CDTF">2021-03-16T11:18:00Z</dcterms:created>
  <dcterms:modified xsi:type="dcterms:W3CDTF">2021-06-18T09:41:00Z</dcterms:modified>
</cp:coreProperties>
</file>