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076BB868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4B6A75" w:rsidRPr="004B6A75">
        <w:rPr>
          <w:rFonts w:asciiTheme="minorHAnsi" w:hAnsiTheme="minorHAnsi"/>
          <w:b/>
          <w:sz w:val="28"/>
          <w:szCs w:val="28"/>
        </w:rPr>
        <w:t>00062</w:t>
      </w:r>
      <w:r>
        <w:rPr>
          <w:rFonts w:asciiTheme="minorHAnsi" w:hAnsiTheme="minorHAnsi"/>
          <w:b/>
          <w:sz w:val="28"/>
          <w:szCs w:val="28"/>
        </w:rPr>
        <w:t>/</w:t>
      </w:r>
      <w:r w:rsidR="008A2C59">
        <w:rPr>
          <w:rFonts w:asciiTheme="minorHAnsi" w:hAnsiTheme="minorHAnsi"/>
          <w:b/>
          <w:sz w:val="28"/>
          <w:szCs w:val="28"/>
        </w:rPr>
        <w:t>2</w:t>
      </w:r>
      <w:r w:rsidR="00AF28B3">
        <w:rPr>
          <w:rFonts w:asciiTheme="minorHAnsi" w:hAnsiTheme="minorHAnsi"/>
          <w:b/>
          <w:sz w:val="28"/>
          <w:szCs w:val="28"/>
        </w:rPr>
        <w:t>1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0808CF">
      <w:p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4446BE43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E40EF4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49ABEB5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</w:t>
      </w:r>
      <w:r w:rsidR="009C4C9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0808CF">
      <w:pPr>
        <w:widowControl w:val="0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9DE0C8A" w14:textId="0BFA9219" w:rsidR="00524459" w:rsidRPr="00524459" w:rsidRDefault="00524459" w:rsidP="0052445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524459">
        <w:rPr>
          <w:rFonts w:asciiTheme="minorHAnsi" w:hAnsiTheme="minorHAnsi"/>
          <w:sz w:val="22"/>
          <w:szCs w:val="22"/>
        </w:rPr>
        <w:t>DAE Services s.r.o.</w:t>
      </w:r>
    </w:p>
    <w:p w14:paraId="06940758" w14:textId="77777777" w:rsidR="00524459" w:rsidRPr="00524459" w:rsidRDefault="00524459" w:rsidP="0052445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ab/>
        <w:t>sídlo: Smilova 103, Zelené Předměstí, 530 02 Pardubice,</w:t>
      </w:r>
    </w:p>
    <w:p w14:paraId="77EA5C15" w14:textId="77777777" w:rsidR="00524459" w:rsidRPr="00524459" w:rsidRDefault="00524459" w:rsidP="0052445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ab/>
        <w:t>IČO: 03115062,</w:t>
      </w:r>
    </w:p>
    <w:p w14:paraId="74DB9CC5" w14:textId="77777777" w:rsidR="00524459" w:rsidRPr="00524459" w:rsidRDefault="00524459" w:rsidP="0052445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ab/>
        <w:t>číslo bankovního účtu: 265393612/0300,</w:t>
      </w:r>
    </w:p>
    <w:p w14:paraId="5723E044" w14:textId="281A173F" w:rsidR="005A34F0" w:rsidRPr="00515D12" w:rsidRDefault="00524459" w:rsidP="0052445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ab/>
        <w:t>zastoupená: Evou Novákovou, MBA, jednatelkou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4E114CC0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980AE2">
        <w:rPr>
          <w:rFonts w:asciiTheme="minorHAnsi" w:hAnsiTheme="minorHAnsi"/>
          <w:sz w:val="22"/>
          <w:szCs w:val="22"/>
        </w:rPr>
        <w:t xml:space="preserve"> 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6FAD71B" w:rsidR="005A34F0" w:rsidRDefault="008A2C59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 w:rsidR="00980AE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schválená Zastupitelstvem města Pardubic na jednání dne 1</w:t>
      </w:r>
      <w:r w:rsidR="00980AE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.12.20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usnesením č. Z/</w:t>
      </w:r>
      <w:r w:rsidR="00980AE2">
        <w:rPr>
          <w:rFonts w:asciiTheme="minorHAnsi" w:hAnsiTheme="minorHAnsi"/>
          <w:sz w:val="22"/>
          <w:szCs w:val="22"/>
        </w:rPr>
        <w:t>1850</w:t>
      </w:r>
      <w:r>
        <w:rPr>
          <w:rFonts w:asciiTheme="minorHAnsi" w:hAnsiTheme="minorHAnsi"/>
          <w:sz w:val="22"/>
          <w:szCs w:val="22"/>
        </w:rPr>
        <w:t>/20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980AE2">
        <w:rPr>
          <w:rFonts w:asciiTheme="minorHAnsi" w:hAnsiTheme="minorHAnsi"/>
          <w:sz w:val="22"/>
          <w:szCs w:val="22"/>
        </w:rPr>
        <w:t>17</w:t>
      </w:r>
      <w:r>
        <w:rPr>
          <w:rFonts w:asciiTheme="minorHAnsi" w:hAnsiTheme="minorHAnsi"/>
          <w:sz w:val="22"/>
          <w:szCs w:val="22"/>
        </w:rPr>
        <w:t>.12.20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usnesením č. Z/</w:t>
      </w:r>
      <w:r w:rsidR="00980AE2">
        <w:rPr>
          <w:rFonts w:asciiTheme="minorHAnsi" w:hAnsiTheme="minorHAnsi"/>
          <w:sz w:val="22"/>
          <w:szCs w:val="22"/>
        </w:rPr>
        <w:t>1845</w:t>
      </w:r>
      <w:r>
        <w:rPr>
          <w:rFonts w:asciiTheme="minorHAnsi" w:hAnsiTheme="minorHAnsi"/>
          <w:sz w:val="22"/>
          <w:szCs w:val="22"/>
        </w:rPr>
        <w:t>/20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980AE2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2085630" w14:textId="77777777" w:rsidR="00FD44FA" w:rsidRDefault="005A34F0" w:rsidP="00FD44FA">
      <w:pPr>
        <w:jc w:val="both"/>
        <w:rPr>
          <w:rFonts w:asciiTheme="minorHAnsi" w:hAnsiTheme="minorHAnsi"/>
          <w:sz w:val="22"/>
          <w:szCs w:val="22"/>
        </w:rPr>
        <w:sectPr w:rsidR="00FD44FA" w:rsidSect="00FD44FA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058F88D" w14:textId="77777777" w:rsidR="005A34F0" w:rsidRPr="00524459" w:rsidRDefault="005A34F0" w:rsidP="005A34F0">
      <w:pPr>
        <w:jc w:val="center"/>
        <w:rPr>
          <w:rFonts w:asciiTheme="minorHAnsi" w:hAnsiTheme="minorHAnsi"/>
          <w:b/>
        </w:rPr>
      </w:pPr>
      <w:r w:rsidRPr="00524459">
        <w:rPr>
          <w:rFonts w:asciiTheme="minorHAnsi" w:hAnsiTheme="minorHAnsi"/>
          <w:b/>
        </w:rPr>
        <w:lastRenderedPageBreak/>
        <w:t>IV. Výše, účel a způsob poskytnutí dotace</w:t>
      </w:r>
    </w:p>
    <w:p w14:paraId="204428A5" w14:textId="77777777" w:rsidR="005A34F0" w:rsidRPr="00524459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1A08E" w14:textId="1A5F9F28" w:rsidR="004A524F" w:rsidRPr="00524459" w:rsidRDefault="004A524F" w:rsidP="00524459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>Poskytovatel touto smlouvou poskytuje příjemci dotaci z Programu podpory sportu pro rok 20</w:t>
      </w:r>
      <w:r w:rsidR="008A2C59" w:rsidRPr="00524459">
        <w:rPr>
          <w:rFonts w:asciiTheme="minorHAnsi" w:hAnsiTheme="minorHAnsi"/>
          <w:sz w:val="22"/>
          <w:szCs w:val="22"/>
        </w:rPr>
        <w:t>2</w:t>
      </w:r>
      <w:r w:rsidR="00980AE2" w:rsidRPr="00524459">
        <w:rPr>
          <w:rFonts w:asciiTheme="minorHAnsi" w:hAnsiTheme="minorHAnsi"/>
          <w:sz w:val="22"/>
          <w:szCs w:val="22"/>
        </w:rPr>
        <w:t>1</w:t>
      </w:r>
      <w:r w:rsidRPr="00524459">
        <w:rPr>
          <w:rFonts w:asciiTheme="minorHAnsi" w:hAnsiTheme="minorHAnsi"/>
          <w:sz w:val="22"/>
          <w:szCs w:val="22"/>
        </w:rPr>
        <w:t xml:space="preserve"> ve výši</w:t>
      </w:r>
      <w:r w:rsidRPr="00524459">
        <w:rPr>
          <w:rFonts w:asciiTheme="minorHAnsi" w:hAnsiTheme="minorHAnsi"/>
          <w:b/>
          <w:sz w:val="22"/>
          <w:szCs w:val="22"/>
        </w:rPr>
        <w:t xml:space="preserve"> </w:t>
      </w:r>
      <w:r w:rsidR="00524459" w:rsidRPr="00524459">
        <w:rPr>
          <w:rFonts w:asciiTheme="minorHAnsi" w:hAnsiTheme="minorHAnsi"/>
          <w:b/>
          <w:sz w:val="22"/>
          <w:szCs w:val="22"/>
        </w:rPr>
        <w:t>195.000</w:t>
      </w:r>
      <w:r w:rsidRPr="00524459">
        <w:rPr>
          <w:rFonts w:asciiTheme="minorHAnsi" w:hAnsiTheme="minorHAnsi"/>
          <w:b/>
          <w:sz w:val="22"/>
          <w:szCs w:val="22"/>
        </w:rPr>
        <w:t xml:space="preserve">,- Kč </w:t>
      </w:r>
      <w:r w:rsidRPr="00524459">
        <w:rPr>
          <w:rFonts w:asciiTheme="minorHAnsi" w:hAnsiTheme="minorHAnsi"/>
          <w:sz w:val="22"/>
          <w:szCs w:val="22"/>
        </w:rPr>
        <w:t xml:space="preserve">(slovy: </w:t>
      </w:r>
      <w:r w:rsidR="00524459" w:rsidRPr="00524459">
        <w:rPr>
          <w:rFonts w:asciiTheme="minorHAnsi" w:hAnsiTheme="minorHAnsi"/>
          <w:sz w:val="22"/>
          <w:szCs w:val="22"/>
        </w:rPr>
        <w:t>jedno sto devadesát pět</w:t>
      </w:r>
      <w:r w:rsidRPr="00524459">
        <w:rPr>
          <w:rFonts w:asciiTheme="minorHAnsi" w:hAnsiTheme="minorHAnsi"/>
          <w:sz w:val="22"/>
          <w:szCs w:val="22"/>
        </w:rPr>
        <w:t xml:space="preserve"> tisíc korun českých) na realizaci projektu „</w:t>
      </w:r>
      <w:r w:rsidR="00524459" w:rsidRPr="00524459">
        <w:rPr>
          <w:rFonts w:asciiTheme="minorHAnsi" w:hAnsiTheme="minorHAnsi"/>
          <w:b/>
          <w:sz w:val="22"/>
          <w:szCs w:val="22"/>
        </w:rPr>
        <w:t>MONETA Pardubice Open 2021</w:t>
      </w:r>
      <w:r w:rsidRPr="00524459">
        <w:rPr>
          <w:rFonts w:asciiTheme="minorHAnsi" w:hAnsiTheme="minorHAnsi"/>
          <w:sz w:val="22"/>
          <w:szCs w:val="22"/>
        </w:rPr>
        <w:t xml:space="preserve">“ (dále jen </w:t>
      </w:r>
      <w:r w:rsidRPr="00524459">
        <w:rPr>
          <w:rFonts w:asciiTheme="minorHAnsi" w:hAnsiTheme="minorHAnsi"/>
          <w:i/>
          <w:sz w:val="22"/>
          <w:szCs w:val="22"/>
        </w:rPr>
        <w:t>„projekt“</w:t>
      </w:r>
      <w:r w:rsidRPr="00524459">
        <w:rPr>
          <w:rFonts w:asciiTheme="minorHAnsi" w:hAnsiTheme="minorHAnsi"/>
          <w:sz w:val="22"/>
          <w:szCs w:val="22"/>
        </w:rPr>
        <w:t>).</w:t>
      </w:r>
    </w:p>
    <w:p w14:paraId="2C9ABD10" w14:textId="77777777" w:rsidR="004A524F" w:rsidRPr="00524459" w:rsidRDefault="004A524F" w:rsidP="004A524F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26984BA6" w14:textId="2148C6DB" w:rsidR="00606EDE" w:rsidRPr="00524459" w:rsidRDefault="00606EDE" w:rsidP="00524459">
      <w:pPr>
        <w:numPr>
          <w:ilvl w:val="0"/>
          <w:numId w:val="2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Pr="00524459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157A4B06" w14:textId="77777777" w:rsidR="005A34F0" w:rsidRPr="00524459" w:rsidRDefault="005A34F0" w:rsidP="00524459">
      <w:pPr>
        <w:pStyle w:val="Default"/>
        <w:numPr>
          <w:ilvl w:val="0"/>
          <w:numId w:val="21"/>
        </w:numPr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  <w:r w:rsidRPr="00524459">
        <w:rPr>
          <w:rFonts w:asciiTheme="minorHAnsi" w:hAnsiTheme="minorHAnsi"/>
          <w:sz w:val="22"/>
          <w:szCs w:val="22"/>
          <w:u w:val="single"/>
        </w:rPr>
        <w:t xml:space="preserve">Finanční prostředky shora uvedené jsou poskytovány v režimu podpory „de minimis“, ve smyslu Nařízení Komise </w:t>
      </w:r>
      <w:r w:rsidRPr="00524459">
        <w:rPr>
          <w:rFonts w:asciiTheme="minorHAnsi" w:hAnsiTheme="minorHAnsi"/>
          <w:iCs/>
          <w:sz w:val="22"/>
          <w:szCs w:val="22"/>
          <w:u w:val="single"/>
        </w:rPr>
        <w:t xml:space="preserve">(EU) č. 1407/2013 ze dne 18. prosince 2013 o použití článků 107 a 108 Smlouvy o fungování Evropské unie na podporu de minimis (Úř. věst. L 352, 24. 12. 2013, s. 1). </w:t>
      </w:r>
    </w:p>
    <w:p w14:paraId="0F9CF49B" w14:textId="77777777" w:rsidR="005A34F0" w:rsidRPr="00524459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360A678" w14:textId="77777777" w:rsidR="005A34F0" w:rsidRPr="00524459" w:rsidRDefault="005A34F0" w:rsidP="00524459">
      <w:pPr>
        <w:pStyle w:val="Zkladntext"/>
        <w:numPr>
          <w:ilvl w:val="0"/>
          <w:numId w:val="21"/>
        </w:numPr>
        <w:spacing w:before="120"/>
        <w:ind w:left="426" w:hanging="426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524459">
        <w:rPr>
          <w:rFonts w:asciiTheme="minorHAnsi" w:hAnsiTheme="minorHAnsi" w:cs="Tahoma"/>
          <w:b w:val="0"/>
          <w:bCs w:val="0"/>
          <w:sz w:val="22"/>
          <w:szCs w:val="22"/>
        </w:rPr>
        <w:t>Příjemce prohlašuje, že nenastaly okolnosti, které by vylučovaly aplikaci pravidla de minimis (viz zejm. čl. 1 až 5 Nařízení Komise /EU/ č. 1407/2013), zejm. že poskytnutím této dotace nedojde k takové kumulaci s jinou veřejnou podporu ohledně týchž nákladů, která by způsobila překročení povolené míry veřejné podpory, a že v posledních 3 letech mu nebyla poskytnuta podpora de minimis, která by v součtu s podporou de minimis poskytovanou na základě této smlouvy překročila maximální částku povolenou právními předpisy EU upravujícími oblast veřejné podpory (zejména Nařízením Komise /EU/č. 1407/2013).</w:t>
      </w:r>
    </w:p>
    <w:p w14:paraId="7DDEF9FE" w14:textId="77777777" w:rsidR="005A34F0" w:rsidRPr="00524459" w:rsidRDefault="005A34F0" w:rsidP="005A34F0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E299283" w14:textId="77777777" w:rsidR="005A34F0" w:rsidRPr="00524459" w:rsidRDefault="005A34F0" w:rsidP="00524459">
      <w:pPr>
        <w:pStyle w:val="Default"/>
        <w:numPr>
          <w:ilvl w:val="0"/>
          <w:numId w:val="2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 Obdobně má příjemce povinnost informovat poskytovatele v případě fúze či změně právní formy a v případě jeho zrušení s likvidací. Při nesplnění dané povinnosti se příjemce vystavuje případnému odejmutí předmětné podpory. </w:t>
      </w:r>
    </w:p>
    <w:p w14:paraId="4BE69490" w14:textId="77777777" w:rsidR="005A34F0" w:rsidRPr="00524459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Pr="00524459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24459" w:rsidRDefault="005A34F0" w:rsidP="005A34F0">
      <w:pPr>
        <w:jc w:val="center"/>
        <w:rPr>
          <w:rFonts w:asciiTheme="minorHAnsi" w:hAnsiTheme="minorHAnsi"/>
          <w:b/>
        </w:rPr>
      </w:pPr>
      <w:r w:rsidRPr="00524459">
        <w:rPr>
          <w:rFonts w:asciiTheme="minorHAnsi" w:hAnsiTheme="minorHAnsi"/>
          <w:b/>
        </w:rPr>
        <w:t>V. Doba dosažení účelu dotace</w:t>
      </w:r>
    </w:p>
    <w:p w14:paraId="1413799A" w14:textId="77777777" w:rsidR="005A34F0" w:rsidRPr="00524459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E4539C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0808CF" w:rsidRPr="00524459">
        <w:rPr>
          <w:rFonts w:asciiTheme="minorHAnsi" w:hAnsiTheme="minorHAnsi"/>
          <w:b/>
          <w:sz w:val="22"/>
          <w:szCs w:val="22"/>
        </w:rPr>
        <w:t>31.</w:t>
      </w:r>
      <w:r w:rsidRPr="00524459">
        <w:rPr>
          <w:rFonts w:asciiTheme="minorHAnsi" w:hAnsiTheme="minorHAnsi"/>
          <w:b/>
          <w:sz w:val="22"/>
          <w:szCs w:val="22"/>
        </w:rPr>
        <w:t>12</w:t>
      </w:r>
      <w:r w:rsidR="000808CF" w:rsidRPr="00524459">
        <w:rPr>
          <w:rFonts w:asciiTheme="minorHAnsi" w:hAnsiTheme="minorHAnsi"/>
          <w:b/>
          <w:sz w:val="22"/>
          <w:szCs w:val="22"/>
        </w:rPr>
        <w:t>.</w:t>
      </w:r>
      <w:r w:rsidRPr="00524459">
        <w:rPr>
          <w:rFonts w:asciiTheme="minorHAnsi" w:hAnsiTheme="minorHAnsi"/>
          <w:b/>
          <w:sz w:val="22"/>
          <w:szCs w:val="22"/>
        </w:rPr>
        <w:t>20</w:t>
      </w:r>
      <w:r w:rsidR="008A2C59" w:rsidRPr="00524459">
        <w:rPr>
          <w:rFonts w:asciiTheme="minorHAnsi" w:hAnsiTheme="minorHAnsi"/>
          <w:b/>
          <w:sz w:val="22"/>
          <w:szCs w:val="22"/>
        </w:rPr>
        <w:t>2</w:t>
      </w:r>
      <w:r w:rsidR="00980AE2" w:rsidRPr="00524459">
        <w:rPr>
          <w:rFonts w:asciiTheme="minorHAnsi" w:hAnsiTheme="minorHAnsi"/>
          <w:b/>
          <w:sz w:val="22"/>
          <w:szCs w:val="22"/>
        </w:rPr>
        <w:t>1</w:t>
      </w:r>
      <w:r w:rsidRPr="0052445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3E0695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15C77B89" w:rsidR="005A34F0" w:rsidRPr="00524459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</w:t>
      </w:r>
      <w:r w:rsidRPr="00524459">
        <w:rPr>
          <w:rFonts w:asciiTheme="minorHAnsi" w:hAnsiTheme="minorHAnsi"/>
          <w:sz w:val="22"/>
          <w:szCs w:val="22"/>
        </w:rPr>
        <w:t xml:space="preserve">dotaci k účelu stanovenému v žádosti podané příjemcem dne </w:t>
      </w:r>
      <w:r w:rsidR="00524459" w:rsidRPr="00524459">
        <w:rPr>
          <w:rFonts w:asciiTheme="minorHAnsi" w:hAnsiTheme="minorHAnsi"/>
          <w:sz w:val="22"/>
          <w:szCs w:val="22"/>
        </w:rPr>
        <w:t>08.02.2021</w:t>
      </w:r>
      <w:r w:rsidRPr="00524459">
        <w:rPr>
          <w:rFonts w:asciiTheme="minorHAnsi" w:hAnsiTheme="minorHAnsi"/>
          <w:sz w:val="22"/>
          <w:szCs w:val="22"/>
        </w:rPr>
        <w:t xml:space="preserve"> a zaevidované poskytovatelem pod č.j. </w:t>
      </w:r>
      <w:r w:rsidR="00524459" w:rsidRPr="00524459">
        <w:rPr>
          <w:rFonts w:asciiTheme="minorHAnsi" w:hAnsiTheme="minorHAnsi"/>
          <w:sz w:val="22"/>
          <w:szCs w:val="22"/>
        </w:rPr>
        <w:t>14429</w:t>
      </w:r>
      <w:r w:rsidRPr="00524459">
        <w:rPr>
          <w:rFonts w:asciiTheme="minorHAnsi" w:hAnsiTheme="minorHAnsi"/>
          <w:sz w:val="22"/>
          <w:szCs w:val="22"/>
        </w:rPr>
        <w:t>/20</w:t>
      </w:r>
      <w:r w:rsidR="008A2C59" w:rsidRPr="00524459">
        <w:rPr>
          <w:rFonts w:asciiTheme="minorHAnsi" w:hAnsiTheme="minorHAnsi"/>
          <w:sz w:val="22"/>
          <w:szCs w:val="22"/>
        </w:rPr>
        <w:t>2</w:t>
      </w:r>
      <w:r w:rsidR="00980AE2" w:rsidRPr="00524459">
        <w:rPr>
          <w:rFonts w:asciiTheme="minorHAnsi" w:hAnsiTheme="minorHAnsi"/>
          <w:sz w:val="22"/>
          <w:szCs w:val="22"/>
        </w:rPr>
        <w:t>1</w:t>
      </w:r>
      <w:r w:rsidRPr="00524459">
        <w:rPr>
          <w:rFonts w:asciiTheme="minorHAnsi" w:hAnsiTheme="minorHAnsi"/>
          <w:sz w:val="22"/>
          <w:szCs w:val="22"/>
        </w:rPr>
        <w:t>, vyúčtovat dotaci na položky stanovené v rozpočt</w:t>
      </w:r>
      <w:r w:rsidR="00524459" w:rsidRPr="00524459">
        <w:rPr>
          <w:rFonts w:asciiTheme="minorHAnsi" w:hAnsiTheme="minorHAnsi"/>
          <w:sz w:val="22"/>
          <w:szCs w:val="22"/>
        </w:rPr>
        <w:t>u</w:t>
      </w:r>
      <w:r w:rsidRPr="00524459">
        <w:rPr>
          <w:rFonts w:asciiTheme="minorHAnsi" w:hAnsiTheme="minorHAnsi"/>
          <w:sz w:val="22"/>
          <w:szCs w:val="22"/>
        </w:rPr>
        <w:t>, kter</w:t>
      </w:r>
      <w:r w:rsidR="00524459" w:rsidRPr="00524459">
        <w:rPr>
          <w:rFonts w:asciiTheme="minorHAnsi" w:hAnsiTheme="minorHAnsi"/>
          <w:sz w:val="22"/>
          <w:szCs w:val="22"/>
        </w:rPr>
        <w:t>ý</w:t>
      </w:r>
      <w:r w:rsidRPr="00524459">
        <w:rPr>
          <w:rFonts w:asciiTheme="minorHAnsi" w:hAnsiTheme="minorHAnsi"/>
          <w:sz w:val="22"/>
          <w:szCs w:val="22"/>
        </w:rPr>
        <w:t xml:space="preserve"> j</w:t>
      </w:r>
      <w:r w:rsidR="00524459" w:rsidRPr="00524459">
        <w:rPr>
          <w:rFonts w:asciiTheme="minorHAnsi" w:hAnsiTheme="minorHAnsi"/>
          <w:sz w:val="22"/>
          <w:szCs w:val="22"/>
        </w:rPr>
        <w:t>e</w:t>
      </w:r>
      <w:r w:rsidRPr="00524459">
        <w:rPr>
          <w:rFonts w:asciiTheme="minorHAnsi" w:hAnsiTheme="minorHAnsi"/>
          <w:sz w:val="22"/>
          <w:szCs w:val="22"/>
        </w:rPr>
        <w:t xml:space="preserve"> nedílnou součástí této smlouvy jako příloh</w:t>
      </w:r>
      <w:r w:rsidR="00524459" w:rsidRPr="00524459">
        <w:rPr>
          <w:rFonts w:asciiTheme="minorHAnsi" w:hAnsiTheme="minorHAnsi"/>
          <w:sz w:val="22"/>
          <w:szCs w:val="22"/>
        </w:rPr>
        <w:t>a</w:t>
      </w:r>
      <w:r w:rsidRPr="00524459">
        <w:rPr>
          <w:rFonts w:asciiTheme="minorHAnsi" w:hAnsiTheme="minorHAnsi"/>
          <w:sz w:val="22"/>
          <w:szCs w:val="22"/>
        </w:rPr>
        <w:t xml:space="preserve"> č. 1,</w:t>
      </w:r>
    </w:p>
    <w:p w14:paraId="49634624" w14:textId="7E1E9598" w:rsidR="005A34F0" w:rsidRPr="00524459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D52F02" w:rsidRPr="00524459">
        <w:rPr>
          <w:rFonts w:asciiTheme="minorHAnsi" w:hAnsiTheme="minorHAnsi"/>
          <w:sz w:val="22"/>
          <w:szCs w:val="22"/>
        </w:rPr>
        <w:t>7</w:t>
      </w:r>
      <w:r w:rsidRPr="00524459">
        <w:rPr>
          <w:rFonts w:asciiTheme="minorHAnsi" w:hAnsiTheme="minorHAnsi"/>
          <w:sz w:val="22"/>
          <w:szCs w:val="22"/>
        </w:rPr>
        <w:t xml:space="preserve">0 % z celkových </w:t>
      </w:r>
      <w:r w:rsidR="009C4C9A" w:rsidRPr="00524459">
        <w:rPr>
          <w:rFonts w:asciiTheme="minorHAnsi" w:hAnsiTheme="minorHAnsi"/>
          <w:sz w:val="22"/>
          <w:szCs w:val="22"/>
        </w:rPr>
        <w:t>vynaložených</w:t>
      </w:r>
      <w:r w:rsidRPr="00524459">
        <w:rPr>
          <w:rFonts w:asciiTheme="minorHAnsi" w:hAnsiTheme="minorHAnsi"/>
          <w:sz w:val="22"/>
          <w:szCs w:val="22"/>
        </w:rPr>
        <w:t xml:space="preserve"> nákladů projektu,</w:t>
      </w:r>
    </w:p>
    <w:p w14:paraId="0086AE0C" w14:textId="77777777" w:rsidR="005A34F0" w:rsidRPr="00D52F02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>vést ve svém účetnictví přehled</w:t>
      </w:r>
      <w:r w:rsidRPr="00D52F02">
        <w:rPr>
          <w:rFonts w:asciiTheme="minorHAnsi" w:hAnsiTheme="minorHAnsi"/>
          <w:sz w:val="22"/>
          <w:szCs w:val="22"/>
        </w:rPr>
        <w:t xml:space="preserve">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</w:t>
      </w:r>
      <w:r w:rsidRPr="00D52F02">
        <w:rPr>
          <w:rFonts w:asciiTheme="minorHAnsi" w:hAnsiTheme="minorHAnsi"/>
          <w:sz w:val="22"/>
          <w:szCs w:val="22"/>
        </w:rPr>
        <w:lastRenderedPageBreak/>
        <w:t xml:space="preserve">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D52F02">
        <w:rPr>
          <w:rFonts w:asciiTheme="minorHAnsi" w:hAnsiTheme="minorHAnsi" w:cstheme="minorHAnsi"/>
          <w:sz w:val="22"/>
          <w:szCs w:val="22"/>
        </w:rPr>
        <w:t>,</w:t>
      </w:r>
      <w:r w:rsidRPr="00D52F02">
        <w:rPr>
          <w:rFonts w:asciiTheme="minorHAnsi" w:hAnsiTheme="minorHAnsi"/>
          <w:sz w:val="22"/>
          <w:szCs w:val="22"/>
        </w:rPr>
        <w:t xml:space="preserve"> </w:t>
      </w:r>
    </w:p>
    <w:p w14:paraId="46D994B4" w14:textId="796F01E5" w:rsidR="00D52F02" w:rsidRPr="00D52F02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="00524459" w:rsidRPr="00FA2CBA">
        <w:rPr>
          <w:rFonts w:ascii="Calibri" w:hAnsi="Calibri"/>
          <w:b/>
          <w:sz w:val="22"/>
          <w:szCs w:val="22"/>
        </w:rPr>
        <w:t>nejpozději do</w:t>
      </w:r>
      <w:r w:rsidR="00524459">
        <w:rPr>
          <w:rFonts w:ascii="Calibri" w:hAnsi="Calibri"/>
          <w:b/>
          <w:sz w:val="22"/>
          <w:szCs w:val="22"/>
        </w:rPr>
        <w:t xml:space="preserve"> 31.12.2021</w:t>
      </w:r>
      <w:r w:rsidR="00524459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</w:t>
      </w:r>
    </w:p>
    <w:p w14:paraId="3DB104BF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24AD1906" w:rsidR="005A34F0" w:rsidRPr="008E6F39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4425D34A" w14:textId="77777777" w:rsidR="005A34F0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Pr="00524459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Čerpáním dotace se rozumí úhrada uznatelných výdajů vzniklých při </w:t>
      </w:r>
      <w:r w:rsidRPr="00524459">
        <w:rPr>
          <w:rFonts w:asciiTheme="minorHAnsi" w:hAnsiTheme="minorHAnsi"/>
          <w:sz w:val="22"/>
          <w:szCs w:val="22"/>
        </w:rPr>
        <w:t>realizaci projektu.</w:t>
      </w:r>
    </w:p>
    <w:p w14:paraId="73A4BEB1" w14:textId="77777777" w:rsidR="005A34F0" w:rsidRPr="00524459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59FE4F3" w:rsidR="005A34F0" w:rsidRPr="00524459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524459">
        <w:rPr>
          <w:rFonts w:asciiTheme="minorHAnsi" w:hAnsiTheme="minorHAnsi"/>
          <w:b/>
          <w:sz w:val="22"/>
          <w:szCs w:val="22"/>
        </w:rPr>
        <w:t xml:space="preserve">nejpozději do </w:t>
      </w:r>
      <w:r w:rsidR="000808CF" w:rsidRPr="00524459">
        <w:rPr>
          <w:rFonts w:asciiTheme="minorHAnsi" w:hAnsiTheme="minorHAnsi"/>
          <w:b/>
          <w:sz w:val="22"/>
          <w:szCs w:val="22"/>
        </w:rPr>
        <w:t>31.</w:t>
      </w:r>
      <w:r w:rsidRPr="00524459">
        <w:rPr>
          <w:rFonts w:asciiTheme="minorHAnsi" w:hAnsiTheme="minorHAnsi"/>
          <w:b/>
          <w:sz w:val="22"/>
          <w:szCs w:val="22"/>
        </w:rPr>
        <w:t>12.20</w:t>
      </w:r>
      <w:r w:rsidR="008A2C59" w:rsidRPr="00524459">
        <w:rPr>
          <w:rFonts w:asciiTheme="minorHAnsi" w:hAnsiTheme="minorHAnsi"/>
          <w:b/>
          <w:sz w:val="22"/>
          <w:szCs w:val="22"/>
        </w:rPr>
        <w:t>2</w:t>
      </w:r>
      <w:r w:rsidR="00980AE2" w:rsidRPr="00524459">
        <w:rPr>
          <w:rFonts w:asciiTheme="minorHAnsi" w:hAnsiTheme="minorHAnsi"/>
          <w:b/>
          <w:sz w:val="22"/>
          <w:szCs w:val="22"/>
        </w:rPr>
        <w:t>1</w:t>
      </w:r>
      <w:r w:rsidRPr="00524459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524459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524459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524459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34DEAC6" w:rsidR="005A34F0" w:rsidRPr="00524459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lastRenderedPageBreak/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524459">
        <w:rPr>
          <w:rFonts w:asciiTheme="minorHAnsi" w:hAnsiTheme="minorHAnsi"/>
          <w:b/>
          <w:sz w:val="22"/>
          <w:szCs w:val="22"/>
        </w:rPr>
        <w:t>nejpozději</w:t>
      </w:r>
      <w:r w:rsidRPr="00524459">
        <w:rPr>
          <w:rFonts w:asciiTheme="minorHAnsi" w:hAnsiTheme="minorHAnsi"/>
          <w:sz w:val="22"/>
          <w:szCs w:val="22"/>
        </w:rPr>
        <w:t xml:space="preserve"> </w:t>
      </w:r>
      <w:r w:rsidRPr="00524459">
        <w:rPr>
          <w:rFonts w:asciiTheme="minorHAnsi" w:hAnsiTheme="minorHAnsi"/>
          <w:b/>
          <w:sz w:val="22"/>
          <w:szCs w:val="22"/>
        </w:rPr>
        <w:t>do 31.</w:t>
      </w:r>
      <w:r w:rsidR="00761C1D" w:rsidRPr="00524459">
        <w:rPr>
          <w:rFonts w:asciiTheme="minorHAnsi" w:hAnsiTheme="minorHAnsi"/>
          <w:b/>
          <w:sz w:val="22"/>
          <w:szCs w:val="22"/>
        </w:rPr>
        <w:t>12</w:t>
      </w:r>
      <w:r w:rsidRPr="00524459">
        <w:rPr>
          <w:rFonts w:asciiTheme="minorHAnsi" w:hAnsiTheme="minorHAnsi"/>
          <w:b/>
          <w:sz w:val="22"/>
          <w:szCs w:val="22"/>
        </w:rPr>
        <w:t>.20</w:t>
      </w:r>
      <w:r w:rsidR="008A2C59" w:rsidRPr="00524459">
        <w:rPr>
          <w:rFonts w:asciiTheme="minorHAnsi" w:hAnsiTheme="minorHAnsi"/>
          <w:b/>
          <w:sz w:val="22"/>
          <w:szCs w:val="22"/>
        </w:rPr>
        <w:t>2</w:t>
      </w:r>
      <w:r w:rsidR="00980AE2" w:rsidRPr="00524459">
        <w:rPr>
          <w:rFonts w:asciiTheme="minorHAnsi" w:hAnsiTheme="minorHAnsi"/>
          <w:b/>
          <w:sz w:val="22"/>
          <w:szCs w:val="22"/>
        </w:rPr>
        <w:t>1</w:t>
      </w:r>
      <w:r w:rsidRPr="00524459">
        <w:rPr>
          <w:rFonts w:asciiTheme="minorHAnsi" w:hAnsiTheme="minorHAnsi"/>
          <w:b/>
          <w:sz w:val="22"/>
          <w:szCs w:val="22"/>
        </w:rPr>
        <w:t>.</w:t>
      </w:r>
      <w:r w:rsidRPr="00524459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524459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4CB10918" w:rsidR="005A34F0" w:rsidRPr="00524459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524459">
        <w:rPr>
          <w:rFonts w:asciiTheme="minorHAnsi" w:hAnsiTheme="minorHAnsi"/>
          <w:b/>
          <w:sz w:val="22"/>
          <w:szCs w:val="22"/>
        </w:rPr>
        <w:t>nejpozději do 31.</w:t>
      </w:r>
      <w:r w:rsidR="00761C1D" w:rsidRPr="00524459">
        <w:rPr>
          <w:rFonts w:asciiTheme="minorHAnsi" w:hAnsiTheme="minorHAnsi"/>
          <w:b/>
          <w:sz w:val="22"/>
          <w:szCs w:val="22"/>
        </w:rPr>
        <w:t>12</w:t>
      </w:r>
      <w:r w:rsidRPr="00524459">
        <w:rPr>
          <w:rFonts w:asciiTheme="minorHAnsi" w:hAnsiTheme="minorHAnsi"/>
          <w:b/>
          <w:sz w:val="22"/>
          <w:szCs w:val="22"/>
        </w:rPr>
        <w:t>.20</w:t>
      </w:r>
      <w:r w:rsidR="008A2C59" w:rsidRPr="00524459">
        <w:rPr>
          <w:rFonts w:asciiTheme="minorHAnsi" w:hAnsiTheme="minorHAnsi"/>
          <w:b/>
          <w:sz w:val="22"/>
          <w:szCs w:val="22"/>
        </w:rPr>
        <w:t>2</w:t>
      </w:r>
      <w:r w:rsidR="00980AE2" w:rsidRPr="00524459">
        <w:rPr>
          <w:rFonts w:asciiTheme="minorHAnsi" w:hAnsiTheme="minorHAnsi"/>
          <w:b/>
          <w:sz w:val="22"/>
          <w:szCs w:val="22"/>
        </w:rPr>
        <w:t>1</w:t>
      </w:r>
      <w:r w:rsidRPr="00524459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524459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53C8006C" w:rsidR="005A34F0" w:rsidRPr="00524459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24459"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D52F02" w:rsidRPr="00524459">
        <w:rPr>
          <w:rFonts w:asciiTheme="minorHAnsi" w:hAnsiTheme="minorHAnsi"/>
          <w:sz w:val="22"/>
          <w:szCs w:val="22"/>
        </w:rPr>
        <w:t>7</w:t>
      </w:r>
      <w:r w:rsidRPr="00524459">
        <w:rPr>
          <w:rFonts w:asciiTheme="minorHAnsi" w:hAnsiTheme="minorHAnsi"/>
          <w:sz w:val="22"/>
          <w:szCs w:val="22"/>
        </w:rPr>
        <w:t xml:space="preserve">0 % z celkových </w:t>
      </w:r>
      <w:r w:rsidR="009C4C9A" w:rsidRPr="00524459">
        <w:rPr>
          <w:rFonts w:asciiTheme="minorHAnsi" w:hAnsiTheme="minorHAnsi"/>
          <w:sz w:val="22"/>
          <w:szCs w:val="22"/>
        </w:rPr>
        <w:t>vynaložených</w:t>
      </w:r>
      <w:r w:rsidRPr="00524459">
        <w:rPr>
          <w:rFonts w:asciiTheme="minorHAnsi" w:hAnsiTheme="minorHAnsi"/>
          <w:sz w:val="22"/>
          <w:szCs w:val="22"/>
        </w:rPr>
        <w:t xml:space="preserve"> nákladů na projekt, je příjemce dotace povinen vrátit část poskytnuté dotace převyšující maximální stanovenou výši. </w:t>
      </w:r>
    </w:p>
    <w:p w14:paraId="6F9680E1" w14:textId="77777777" w:rsidR="009D73C2" w:rsidRPr="00675069" w:rsidRDefault="009D73C2" w:rsidP="009D73C2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5D43B6FC" w:rsidR="005A34F0" w:rsidRPr="000808CF" w:rsidRDefault="005A34F0" w:rsidP="000808CF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CFCF05" w14:textId="77777777" w:rsidR="000808CF" w:rsidRPr="00101351" w:rsidRDefault="000808CF" w:rsidP="000808CF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79C1E5" w14:textId="77777777" w:rsidR="005A34F0" w:rsidRPr="00E52AC4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193BA89C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20C03999" w14:textId="77777777" w:rsidR="000808CF" w:rsidRPr="00D37FCA" w:rsidRDefault="000808CF" w:rsidP="000808CF">
      <w:pPr>
        <w:suppressAutoHyphens/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6C596DA8" w14:textId="77777777" w:rsidR="005A34F0" w:rsidRPr="00604D57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4D0DA5CE" w14:textId="234753B4" w:rsidR="007A10B0" w:rsidRDefault="007A10B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7A10B0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>
        <w:rPr>
          <w:rFonts w:asciiTheme="minorHAnsi" w:hAnsiTheme="minorHAnsi" w:cs="Tahoma"/>
          <w:sz w:val="22"/>
          <w:szCs w:val="22"/>
        </w:rPr>
        <w:t xml:space="preserve">, </w:t>
      </w:r>
      <w:r w:rsidRPr="007A10B0">
        <w:rPr>
          <w:rFonts w:asciiTheme="minorHAnsi" w:hAnsiTheme="minorHAnsi" w:cs="Tahoma"/>
          <w:sz w:val="22"/>
          <w:szCs w:val="22"/>
        </w:rPr>
        <w:t>toto omezení se nevztahuje na výdaje za činnost</w:t>
      </w:r>
      <w:r>
        <w:rPr>
          <w:rFonts w:asciiTheme="minorHAnsi" w:hAnsiTheme="minorHAnsi" w:cs="Tahoma"/>
          <w:sz w:val="22"/>
          <w:szCs w:val="22"/>
        </w:rPr>
        <w:t xml:space="preserve"> rozhodčích</w:t>
      </w:r>
      <w:r w:rsidRPr="007A10B0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při podpořené akci</w:t>
      </w:r>
      <w:r w:rsidRPr="007A10B0">
        <w:rPr>
          <w:rFonts w:asciiTheme="minorHAnsi" w:hAnsiTheme="minorHAnsi" w:cs="Tahoma"/>
          <w:sz w:val="22"/>
          <w:szCs w:val="22"/>
        </w:rPr>
        <w:t>,</w:t>
      </w:r>
    </w:p>
    <w:p w14:paraId="496B7781" w14:textId="77777777" w:rsidR="005A34F0" w:rsidRPr="001E5D57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</w:t>
      </w:r>
      <w:r w:rsidRPr="00D67640">
        <w:rPr>
          <w:rFonts w:asciiTheme="minorHAnsi" w:hAnsiTheme="minorHAnsi"/>
          <w:sz w:val="22"/>
          <w:szCs w:val="22"/>
        </w:rPr>
        <w:lastRenderedPageBreak/>
        <w:t xml:space="preserve">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3D14C258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81B3AAC" w:rsidR="005A34F0" w:rsidRPr="00FA2CBA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 w:rsidR="00A024FC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A024FC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2FC03D5C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7CFEB661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statutární město Pardubice bezodkladně po uzavření této smlouvy odešle ji k řádnému uveřejnění do registru smluv. O uveřejnění této smlouvy statutární město </w:t>
      </w:r>
      <w:r w:rsidRPr="000808CF">
        <w:rPr>
          <w:rFonts w:asciiTheme="minorHAnsi" w:hAnsiTheme="minorHAnsi" w:cstheme="minorHAnsi"/>
          <w:b w:val="0"/>
          <w:sz w:val="22"/>
          <w:szCs w:val="22"/>
        </w:rPr>
        <w:lastRenderedPageBreak/>
        <w:t>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2A564E8E" w:rsidR="005A34F0" w:rsidRPr="000808CF" w:rsidRDefault="00A024FC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Osobní údaje příjemce poskytnuté v souvislosti s poskytnutím dotace je poskytovatel povinen zpracovávat v souladu s ust. čl. 6 Nařízení Evropského parlamentu a Rady (EU) 2016/679 ze dne 27. dubna 2016 o ochraně fyzických osob v souvislosti se zpracováním osobních údajů a o volném pohybu těchto údajů a o zrušení směrnice 95/46/ES (obecné nařízení o ochraně osobních údajů - GDPR).</w:t>
      </w:r>
    </w:p>
    <w:p w14:paraId="00360843" w14:textId="77777777" w:rsidR="00606EDE" w:rsidRPr="000808CF" w:rsidRDefault="00606EDE" w:rsidP="000808CF">
      <w:pPr>
        <w:pStyle w:val="Nadpis1"/>
        <w:keepNext w:val="0"/>
        <w:tabs>
          <w:tab w:val="clear" w:pos="8931"/>
        </w:tabs>
        <w:ind w:left="426" w:right="0"/>
        <w:rPr>
          <w:rFonts w:asciiTheme="minorHAnsi" w:hAnsiTheme="minorHAnsi" w:cstheme="minorHAnsi"/>
          <w:b w:val="0"/>
          <w:sz w:val="22"/>
          <w:szCs w:val="22"/>
        </w:rPr>
      </w:pPr>
    </w:p>
    <w:p w14:paraId="26A910D4" w14:textId="33E792DC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2A760315" w:rsidR="005A34F0" w:rsidRDefault="005A34F0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  <w:r w:rsidR="007172B3">
        <w:rPr>
          <w:rFonts w:asciiTheme="minorHAnsi" w:hAnsiTheme="minorHAnsi"/>
          <w:sz w:val="22"/>
          <w:szCs w:val="22"/>
        </w:rPr>
        <w:t xml:space="preserve"> </w:t>
      </w:r>
      <w:r w:rsidR="007172B3" w:rsidRPr="00D52F02">
        <w:rPr>
          <w:rFonts w:asciiTheme="minorHAnsi" w:hAnsiTheme="minorHAnsi"/>
          <w:sz w:val="22"/>
          <w:szCs w:val="22"/>
        </w:rPr>
        <w:t>„</w:t>
      </w:r>
      <w:r w:rsidR="00524459" w:rsidRPr="00524459">
        <w:rPr>
          <w:rFonts w:asciiTheme="minorHAnsi" w:hAnsiTheme="minorHAnsi"/>
          <w:sz w:val="22"/>
          <w:szCs w:val="22"/>
        </w:rPr>
        <w:t>MONETA Pardubice Open 2021</w:t>
      </w:r>
      <w:r w:rsidR="007172B3" w:rsidRPr="00D52F02">
        <w:rPr>
          <w:rFonts w:asciiTheme="minorHAnsi" w:hAnsiTheme="minorHAnsi"/>
          <w:sz w:val="22"/>
          <w:szCs w:val="22"/>
        </w:rPr>
        <w:t>“</w:t>
      </w:r>
    </w:p>
    <w:p w14:paraId="04425935" w14:textId="55E799C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347DBF1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5D4454">
        <w:rPr>
          <w:rFonts w:asciiTheme="minorHAnsi" w:hAnsiTheme="minorHAnsi"/>
          <w:sz w:val="22"/>
          <w:szCs w:val="22"/>
        </w:rPr>
        <w:t>21.6.2021</w:t>
      </w:r>
    </w:p>
    <w:p w14:paraId="2B78D747" w14:textId="77777777" w:rsidR="00236F3F" w:rsidRDefault="00236F3F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6A1AEF5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0EB61624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7A7C2D54" w14:textId="77777777" w:rsidR="00236F3F" w:rsidRPr="00515D12" w:rsidRDefault="00236F3F" w:rsidP="005A34F0">
      <w:pPr>
        <w:rPr>
          <w:rFonts w:asciiTheme="minorHAnsi" w:hAnsiTheme="minorHAnsi"/>
          <w:sz w:val="22"/>
          <w:szCs w:val="22"/>
        </w:rPr>
      </w:pPr>
    </w:p>
    <w:p w14:paraId="48C2E300" w14:textId="381C6231" w:rsidR="005A34F0" w:rsidRDefault="00FD44FA" w:rsidP="00FD44FA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02DD643F" w14:textId="50628114" w:rsidR="000C2C38" w:rsidRPr="00515D12" w:rsidRDefault="000C2C38" w:rsidP="00FD44FA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524459" w:rsidRPr="00524459">
        <w:rPr>
          <w:rFonts w:asciiTheme="minorHAnsi" w:hAnsiTheme="minorHAnsi"/>
          <w:sz w:val="22"/>
          <w:szCs w:val="22"/>
        </w:rPr>
        <w:t>Eva Nováková, MBA</w:t>
      </w:r>
    </w:p>
    <w:p w14:paraId="01E4ADD8" w14:textId="0D7047AA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277A0247" w14:textId="77777777" w:rsidR="00236F3F" w:rsidRPr="00515D12" w:rsidRDefault="00236F3F" w:rsidP="005A34F0">
      <w:pPr>
        <w:rPr>
          <w:rFonts w:asciiTheme="minorHAnsi" w:hAnsiTheme="minorHAnsi"/>
          <w:sz w:val="22"/>
          <w:szCs w:val="22"/>
        </w:rPr>
      </w:pPr>
    </w:p>
    <w:p w14:paraId="34619408" w14:textId="4507D104" w:rsidR="005A34F0" w:rsidRPr="00524459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24459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236F3F" w:rsidRPr="00524459">
        <w:rPr>
          <w:rFonts w:asciiTheme="minorHAnsi" w:hAnsiTheme="minorHAnsi"/>
          <w:sz w:val="20"/>
          <w:szCs w:val="20"/>
        </w:rPr>
        <w:t>Zastupitelstva</w:t>
      </w:r>
      <w:r w:rsidRPr="00524459">
        <w:rPr>
          <w:rFonts w:asciiTheme="minorHAnsi" w:hAnsiTheme="minorHAnsi"/>
          <w:sz w:val="20"/>
          <w:szCs w:val="20"/>
        </w:rPr>
        <w:t xml:space="preserve"> </w:t>
      </w:r>
      <w:r w:rsidRPr="00524459">
        <w:rPr>
          <w:rFonts w:asciiTheme="minorHAnsi" w:hAnsiTheme="minorHAnsi"/>
          <w:sz w:val="20"/>
          <w:szCs w:val="20"/>
        </w:rPr>
        <w:fldChar w:fldCharType="begin"/>
      </w:r>
      <w:r w:rsidRPr="00524459">
        <w:rPr>
          <w:rFonts w:asciiTheme="minorHAnsi" w:hAnsiTheme="minorHAnsi"/>
          <w:sz w:val="20"/>
          <w:szCs w:val="20"/>
        </w:rPr>
        <w:instrText xml:space="preserve"> Schvaleno </w:instrText>
      </w:r>
      <w:r w:rsidRPr="00524459">
        <w:rPr>
          <w:rFonts w:asciiTheme="minorHAnsi" w:hAnsiTheme="minorHAnsi"/>
          <w:sz w:val="20"/>
          <w:szCs w:val="20"/>
        </w:rPr>
        <w:fldChar w:fldCharType="separate"/>
      </w:r>
      <w:r w:rsidRPr="00524459">
        <w:rPr>
          <w:rFonts w:ascii="Calibri" w:hAnsi="Calibri"/>
          <w:sz w:val="20"/>
          <w:szCs w:val="20"/>
        </w:rPr>
        <w:t>města Pardubic</w:t>
      </w:r>
      <w:r w:rsidRPr="00524459">
        <w:rPr>
          <w:rFonts w:asciiTheme="minorHAnsi" w:hAnsiTheme="minorHAnsi"/>
          <w:sz w:val="20"/>
          <w:szCs w:val="20"/>
        </w:rPr>
        <w:fldChar w:fldCharType="end"/>
      </w:r>
      <w:r w:rsidRPr="00524459">
        <w:rPr>
          <w:rFonts w:asciiTheme="minorHAnsi" w:hAnsiTheme="minorHAnsi"/>
          <w:sz w:val="20"/>
          <w:szCs w:val="20"/>
        </w:rPr>
        <w:t xml:space="preserve"> č. </w:t>
      </w:r>
      <w:r w:rsidR="00980AE2" w:rsidRPr="00524459">
        <w:rPr>
          <w:rFonts w:asciiTheme="minorHAnsi" w:hAnsiTheme="minorHAnsi"/>
          <w:sz w:val="20"/>
          <w:szCs w:val="20"/>
        </w:rPr>
        <w:t>Z</w:t>
      </w:r>
      <w:r w:rsidRPr="00524459">
        <w:rPr>
          <w:rFonts w:asciiTheme="minorHAnsi" w:hAnsiTheme="minorHAnsi"/>
          <w:sz w:val="20"/>
          <w:szCs w:val="20"/>
        </w:rPr>
        <w:t>/</w:t>
      </w:r>
      <w:r w:rsidR="006379BD" w:rsidRPr="006379BD">
        <w:rPr>
          <w:rFonts w:asciiTheme="minorHAnsi" w:hAnsiTheme="minorHAnsi"/>
          <w:sz w:val="20"/>
          <w:szCs w:val="20"/>
        </w:rPr>
        <w:t>2093</w:t>
      </w:r>
      <w:r w:rsidRPr="00524459">
        <w:rPr>
          <w:rFonts w:asciiTheme="minorHAnsi" w:hAnsiTheme="minorHAnsi"/>
          <w:sz w:val="20"/>
          <w:szCs w:val="20"/>
        </w:rPr>
        <w:t>/20</w:t>
      </w:r>
      <w:r w:rsidR="008A2C59" w:rsidRPr="00524459">
        <w:rPr>
          <w:rFonts w:asciiTheme="minorHAnsi" w:hAnsiTheme="minorHAnsi"/>
          <w:sz w:val="20"/>
          <w:szCs w:val="20"/>
        </w:rPr>
        <w:t>2</w:t>
      </w:r>
      <w:r w:rsidR="00AF28B3" w:rsidRPr="00524459">
        <w:rPr>
          <w:rFonts w:asciiTheme="minorHAnsi" w:hAnsiTheme="minorHAnsi"/>
          <w:sz w:val="20"/>
          <w:szCs w:val="20"/>
        </w:rPr>
        <w:t>1</w:t>
      </w:r>
      <w:r w:rsidRPr="00524459">
        <w:rPr>
          <w:rFonts w:asciiTheme="minorHAnsi" w:hAnsiTheme="minorHAnsi"/>
          <w:sz w:val="20"/>
          <w:szCs w:val="20"/>
        </w:rPr>
        <w:t xml:space="preserve"> ze dne </w:t>
      </w:r>
      <w:r w:rsidR="00980AE2" w:rsidRPr="00524459">
        <w:rPr>
          <w:rFonts w:asciiTheme="minorHAnsi" w:hAnsiTheme="minorHAnsi"/>
          <w:sz w:val="20"/>
          <w:szCs w:val="20"/>
        </w:rPr>
        <w:t>25</w:t>
      </w:r>
      <w:r w:rsidR="00D82A8E" w:rsidRPr="00524459">
        <w:rPr>
          <w:rFonts w:asciiTheme="minorHAnsi" w:hAnsiTheme="minorHAnsi"/>
          <w:sz w:val="20"/>
          <w:szCs w:val="20"/>
        </w:rPr>
        <w:t>.</w:t>
      </w:r>
      <w:r w:rsidR="00B46DE9">
        <w:rPr>
          <w:rFonts w:asciiTheme="minorHAnsi" w:hAnsiTheme="minorHAnsi"/>
          <w:sz w:val="20"/>
          <w:szCs w:val="20"/>
        </w:rPr>
        <w:t>3</w:t>
      </w:r>
      <w:r w:rsidR="00236F3F" w:rsidRPr="00524459">
        <w:rPr>
          <w:rFonts w:asciiTheme="minorHAnsi" w:hAnsiTheme="minorHAnsi"/>
          <w:sz w:val="20"/>
          <w:szCs w:val="20"/>
        </w:rPr>
        <w:t>.</w:t>
      </w:r>
      <w:r w:rsidRPr="00524459">
        <w:rPr>
          <w:rFonts w:asciiTheme="minorHAnsi" w:hAnsiTheme="minorHAnsi"/>
          <w:sz w:val="20"/>
          <w:szCs w:val="20"/>
        </w:rPr>
        <w:t>20</w:t>
      </w:r>
      <w:r w:rsidR="008A2C59" w:rsidRPr="00524459">
        <w:rPr>
          <w:rFonts w:asciiTheme="minorHAnsi" w:hAnsiTheme="minorHAnsi"/>
          <w:sz w:val="20"/>
          <w:szCs w:val="20"/>
        </w:rPr>
        <w:t>2</w:t>
      </w:r>
      <w:r w:rsidR="00980AE2" w:rsidRPr="00524459">
        <w:rPr>
          <w:rFonts w:asciiTheme="minorHAnsi" w:hAnsiTheme="minorHAnsi"/>
          <w:sz w:val="20"/>
          <w:szCs w:val="20"/>
        </w:rPr>
        <w:t>1</w:t>
      </w:r>
      <w:r w:rsidRPr="00524459">
        <w:rPr>
          <w:rFonts w:asciiTheme="minorHAnsi" w:hAnsiTheme="minorHAnsi"/>
          <w:sz w:val="20"/>
          <w:szCs w:val="20"/>
        </w:rPr>
        <w:t>.</w:t>
      </w:r>
    </w:p>
    <w:p w14:paraId="1E78C8F5" w14:textId="36A234FD" w:rsidR="005A34F0" w:rsidRDefault="007172B3" w:rsidP="005A34F0">
      <w:pPr>
        <w:jc w:val="center"/>
        <w:rPr>
          <w:rFonts w:asciiTheme="minorHAnsi" w:hAnsiTheme="minorHAnsi"/>
          <w:sz w:val="20"/>
          <w:szCs w:val="20"/>
        </w:rPr>
      </w:pPr>
      <w:r w:rsidRPr="00524459">
        <w:rPr>
          <w:rFonts w:asciiTheme="minorHAnsi" w:hAnsiTheme="minorHAnsi"/>
          <w:sz w:val="20"/>
          <w:szCs w:val="20"/>
        </w:rPr>
        <w:t>Mgr. Ondřej Kopecký</w:t>
      </w:r>
      <w:r w:rsidR="005A34F0" w:rsidRPr="00524459">
        <w:rPr>
          <w:rFonts w:asciiTheme="minorHAnsi" w:hAnsiTheme="minorHAnsi"/>
          <w:sz w:val="20"/>
          <w:szCs w:val="20"/>
        </w:rPr>
        <w:t>, ekonomické</w:t>
      </w:r>
      <w:r w:rsidR="005A34F0" w:rsidRPr="009840BC">
        <w:rPr>
          <w:rFonts w:asciiTheme="minorHAnsi" w:hAnsiTheme="minorHAnsi"/>
          <w:sz w:val="20"/>
          <w:szCs w:val="20"/>
        </w:rPr>
        <w:t xml:space="preserve">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2EEEA736" w14:textId="77DB6640" w:rsidR="007172B3" w:rsidRDefault="007172B3" w:rsidP="005A34F0">
      <w:pPr>
        <w:rPr>
          <w:rFonts w:asciiTheme="minorHAnsi" w:hAnsiTheme="minorHAnsi"/>
          <w:sz w:val="20"/>
          <w:szCs w:val="20"/>
        </w:rPr>
        <w:sectPr w:rsidR="007172B3" w:rsidSect="00524459">
          <w:headerReference w:type="first" r:id="rId12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</w:p>
    <w:p w14:paraId="21B37136" w14:textId="541118BB" w:rsidR="005A34F0" w:rsidRPr="007172B3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524459" w:rsidRPr="00524459" w14:paraId="0B86EB3B" w14:textId="77777777" w:rsidTr="00524459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483F4" w14:textId="77777777" w:rsidR="00524459" w:rsidRPr="00524459" w:rsidRDefault="00524459" w:rsidP="00524459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24459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524459" w:rsidRPr="00524459" w14:paraId="2100ABEC" w14:textId="77777777" w:rsidTr="00524459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51FAE3C4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524459" w:rsidRPr="00524459" w14:paraId="1F6B2487" w14:textId="77777777" w:rsidTr="00524459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04EC8" w14:textId="77777777" w:rsidR="00524459" w:rsidRPr="00524459" w:rsidRDefault="00524459" w:rsidP="00524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MONETA Pardubice Open 2021</w:t>
            </w:r>
          </w:p>
        </w:tc>
      </w:tr>
      <w:tr w:rsidR="00524459" w:rsidRPr="00524459" w14:paraId="7B0A2F61" w14:textId="77777777" w:rsidTr="00524459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508A9" w14:textId="77777777" w:rsidR="00524459" w:rsidRPr="00524459" w:rsidRDefault="00524459" w:rsidP="00524459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524459" w:rsidRPr="00524459" w14:paraId="7F26CE59" w14:textId="77777777" w:rsidTr="00524459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0C8A355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2EE0E6" w14:textId="77777777" w:rsidR="00524459" w:rsidRPr="00524459" w:rsidRDefault="00524459" w:rsidP="00524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D76BC68" w14:textId="77777777" w:rsidR="00524459" w:rsidRPr="00524459" w:rsidRDefault="00524459" w:rsidP="00524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524459" w:rsidRPr="00524459" w14:paraId="1A7580DA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C7342E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Dotace turnaje $25 000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98854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575 000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FBA28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24459" w:rsidRPr="00524459" w14:paraId="1FD8C1F5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DCE963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Licence ITF $2 500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4BAA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57 500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D844A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55 000 Kč</w:t>
            </w:r>
          </w:p>
        </w:tc>
      </w:tr>
      <w:tr w:rsidR="00524459" w:rsidRPr="00524459" w14:paraId="2C871D85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959AE3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Nájemné: tenisový areál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3C9DC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60 500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3DD22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50 000 Kč</w:t>
            </w:r>
          </w:p>
        </w:tc>
      </w:tr>
      <w:tr w:rsidR="00524459" w:rsidRPr="00524459" w14:paraId="395F3295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844BAF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Rozhodčí (odměny + stravné)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866A5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85 000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69B43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70 000 Kč</w:t>
            </w:r>
          </w:p>
        </w:tc>
      </w:tr>
      <w:tr w:rsidR="00524459" w:rsidRPr="00524459" w14:paraId="5C5DDE4D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43E6C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Reklamní materiály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B62DD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CA9E1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24459" w:rsidRPr="00524459" w14:paraId="702F95F8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60758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Organizační výbor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46682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D2ACC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20 000 Kč</w:t>
            </w:r>
          </w:p>
        </w:tc>
      </w:tr>
      <w:tr w:rsidR="00524459" w:rsidRPr="00524459" w14:paraId="79A094A8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993E55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Míče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2ACE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BF846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24459" w:rsidRPr="00524459" w14:paraId="5C96C074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3DB5B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Propagace + doprovodné akce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3024F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C58C8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24459" w:rsidRPr="00524459" w14:paraId="6217FDEF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20D24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Občerstvení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EE03E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D6CEA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24459" w:rsidRPr="00524459" w14:paraId="6A41FD62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75AB1E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ITF technika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69F4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77721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24459" w:rsidRPr="00524459" w14:paraId="525138D2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A294FD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Ostatní (úklid, foto, ubytování, atd.)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A4F1A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55 000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98431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24459" w:rsidRPr="00524459" w14:paraId="055CB455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FDB538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DF284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DB59A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24459" w:rsidRPr="00524459" w14:paraId="78D5FF9F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132001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F80BB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A72E1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244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24459" w:rsidRPr="00524459" w14:paraId="61ACAC73" w14:textId="77777777" w:rsidTr="00524459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4BC6774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D9AE2D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1 173 000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BFBB070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195 000 Kč</w:t>
            </w:r>
          </w:p>
        </w:tc>
      </w:tr>
      <w:tr w:rsidR="00524459" w:rsidRPr="00524459" w14:paraId="6F656209" w14:textId="77777777" w:rsidTr="00524459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0A9F8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4459" w:rsidRPr="00524459" w14:paraId="577690CD" w14:textId="77777777" w:rsidTr="00524459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F6EF665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EF55BB" w14:textId="77777777" w:rsidR="00524459" w:rsidRPr="00524459" w:rsidRDefault="00524459" w:rsidP="00524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8ED5B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3B7DE440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F304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0EBE6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195 000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68B62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44C852BA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472F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9D169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35BDE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5670DB23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85CE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C20AE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850 000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E7BD1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561FF98F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C23A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F1638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43271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478E36AE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BAFE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36629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2FC1B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5113C641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84C2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5E543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90C90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6F892A38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9290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88E2E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35BE5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626DAE21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91DD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9BE4D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662EB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30009F2D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233F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AFA02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5FB91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23660381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4F5A" w14:textId="77777777" w:rsidR="00524459" w:rsidRPr="00524459" w:rsidRDefault="00524459" w:rsidP="00524459">
            <w:pPr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BE68C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2445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83AD5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16FA5EE7" w14:textId="77777777" w:rsidTr="00524459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A124BD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0B14F8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1 145 000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02B50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0DBC3B02" w14:textId="77777777" w:rsidTr="00524459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7784C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EADD1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0ED2DE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32623B34" w14:textId="77777777" w:rsidTr="00524459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9308397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34E364" w14:textId="77777777" w:rsidR="00524459" w:rsidRPr="00524459" w:rsidRDefault="00524459" w:rsidP="005244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43B42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4459" w:rsidRPr="00524459" w14:paraId="5916931E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06D7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54DA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1 145 000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0F4A8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78CAD7C8" w14:textId="77777777" w:rsidTr="00524459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C7AE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399F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1 173 000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A79AD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47D5DF0E" w14:textId="77777777" w:rsidTr="00524459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1044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B6E0" w14:textId="77777777" w:rsidR="00524459" w:rsidRPr="00524459" w:rsidRDefault="00524459" w:rsidP="0052445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4459">
              <w:rPr>
                <w:rFonts w:ascii="Calibri" w:hAnsi="Calibri" w:cs="Calibri"/>
                <w:b/>
                <w:bCs/>
                <w:sz w:val="22"/>
                <w:szCs w:val="22"/>
              </w:rPr>
              <w:t>-28 000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D95BA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4459" w:rsidRPr="00524459" w14:paraId="4562E62B" w14:textId="77777777" w:rsidTr="00524459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AF7CC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13389" w14:textId="77777777" w:rsidR="00524459" w:rsidRPr="00524459" w:rsidRDefault="00524459" w:rsidP="00524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2F44D" w14:textId="77777777" w:rsidR="00524459" w:rsidRPr="00524459" w:rsidRDefault="00524459" w:rsidP="00524459">
            <w:pPr>
              <w:rPr>
                <w:rFonts w:ascii="Calibri" w:hAnsi="Calibri" w:cs="Calibri"/>
                <w:sz w:val="22"/>
                <w:szCs w:val="22"/>
              </w:rPr>
            </w:pPr>
            <w:r w:rsidRPr="005244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C0AF23D" w14:textId="77777777" w:rsidR="005A34F0" w:rsidRPr="007172B3" w:rsidRDefault="005A34F0" w:rsidP="005A34F0">
      <w:pPr>
        <w:rPr>
          <w:rFonts w:asciiTheme="minorHAnsi" w:hAnsiTheme="minorHAnsi"/>
          <w:sz w:val="22"/>
          <w:szCs w:val="20"/>
        </w:rPr>
      </w:pPr>
    </w:p>
    <w:sectPr w:rsidR="005A34F0" w:rsidRPr="007172B3" w:rsidSect="00BC41E3">
      <w:headerReference w:type="first" r:id="rId13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5D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3620" w14:textId="77777777" w:rsidR="00241A8F" w:rsidRDefault="005D445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205F" w14:textId="08612692" w:rsidR="007172B3" w:rsidRDefault="007172B3">
    <w:pPr>
      <w:pStyle w:val="Zhlav"/>
    </w:pPr>
  </w:p>
  <w:p w14:paraId="121154F5" w14:textId="3DF4EB09" w:rsidR="007172B3" w:rsidRDefault="007172B3">
    <w:pPr>
      <w:pStyle w:val="Zhlav"/>
    </w:pPr>
  </w:p>
  <w:p w14:paraId="77E97C4D" w14:textId="77777777" w:rsidR="007172B3" w:rsidRDefault="007172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2F5C" w14:textId="53F5E0CE" w:rsidR="007172B3" w:rsidRDefault="007172B3">
    <w:pPr>
      <w:pStyle w:val="Zhlav"/>
    </w:pPr>
  </w:p>
  <w:p w14:paraId="1ABE324E" w14:textId="10B5BD6B" w:rsidR="007172B3" w:rsidRDefault="007172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009E" w14:textId="77777777" w:rsidR="00524459" w:rsidRDefault="00524459">
    <w:pPr>
      <w:pStyle w:val="Zhlav"/>
    </w:pPr>
  </w:p>
  <w:p w14:paraId="756076AD" w14:textId="77777777" w:rsidR="00524459" w:rsidRDefault="0052445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88E4" w14:textId="77777777" w:rsidR="007172B3" w:rsidRDefault="007172B3">
    <w:pPr>
      <w:pStyle w:val="Zhlav"/>
    </w:pPr>
  </w:p>
  <w:p w14:paraId="3D888DDC" w14:textId="77777777" w:rsidR="007172B3" w:rsidRDefault="007172B3">
    <w:pPr>
      <w:pStyle w:val="Zhlav"/>
    </w:pPr>
  </w:p>
  <w:p w14:paraId="3AB714A7" w14:textId="77777777" w:rsidR="007172B3" w:rsidRPr="007172B3" w:rsidRDefault="007172B3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1 ke smlouvě o poskytnutí dotace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6D4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A00E06"/>
    <w:multiLevelType w:val="hybridMultilevel"/>
    <w:tmpl w:val="611CE666"/>
    <w:lvl w:ilvl="0" w:tplc="DD606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1D392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9"/>
  </w:num>
  <w:num w:numId="5">
    <w:abstractNumId w:val="6"/>
  </w:num>
  <w:num w:numId="6">
    <w:abstractNumId w:val="8"/>
  </w:num>
  <w:num w:numId="7">
    <w:abstractNumId w:val="15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20"/>
  </w:num>
  <w:num w:numId="14">
    <w:abstractNumId w:val="9"/>
  </w:num>
  <w:num w:numId="15">
    <w:abstractNumId w:val="10"/>
  </w:num>
  <w:num w:numId="16">
    <w:abstractNumId w:val="1"/>
  </w:num>
  <w:num w:numId="17">
    <w:abstractNumId w:val="5"/>
  </w:num>
  <w:num w:numId="18">
    <w:abstractNumId w:val="16"/>
  </w:num>
  <w:num w:numId="19">
    <w:abstractNumId w:val="3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808CF"/>
    <w:rsid w:val="000C2C38"/>
    <w:rsid w:val="000E0EA6"/>
    <w:rsid w:val="00236F3F"/>
    <w:rsid w:val="00314183"/>
    <w:rsid w:val="004A524F"/>
    <w:rsid w:val="004B6A75"/>
    <w:rsid w:val="00516862"/>
    <w:rsid w:val="00524459"/>
    <w:rsid w:val="00565A3E"/>
    <w:rsid w:val="00566FB1"/>
    <w:rsid w:val="005A34F0"/>
    <w:rsid w:val="005D4454"/>
    <w:rsid w:val="00606EDE"/>
    <w:rsid w:val="00612737"/>
    <w:rsid w:val="006157F4"/>
    <w:rsid w:val="006379BD"/>
    <w:rsid w:val="006956A8"/>
    <w:rsid w:val="00696DCD"/>
    <w:rsid w:val="006F35A1"/>
    <w:rsid w:val="007172B3"/>
    <w:rsid w:val="00755A16"/>
    <w:rsid w:val="00761C1D"/>
    <w:rsid w:val="007A10B0"/>
    <w:rsid w:val="007E2C95"/>
    <w:rsid w:val="00865D93"/>
    <w:rsid w:val="008A2C59"/>
    <w:rsid w:val="00980AE2"/>
    <w:rsid w:val="009C4C9A"/>
    <w:rsid w:val="009D73C2"/>
    <w:rsid w:val="00A024FC"/>
    <w:rsid w:val="00A06820"/>
    <w:rsid w:val="00AF28B3"/>
    <w:rsid w:val="00B46DE9"/>
    <w:rsid w:val="00CB1DCA"/>
    <w:rsid w:val="00CE6B8B"/>
    <w:rsid w:val="00D52F02"/>
    <w:rsid w:val="00D54EC3"/>
    <w:rsid w:val="00D82A8E"/>
    <w:rsid w:val="00D86E6F"/>
    <w:rsid w:val="00DD2CA6"/>
    <w:rsid w:val="00E40EF4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2677</Words>
  <Characters>15800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Menyhárt Ondřej</cp:lastModifiedBy>
  <cp:revision>8</cp:revision>
  <cp:lastPrinted>2021-04-08T13:18:00Z</cp:lastPrinted>
  <dcterms:created xsi:type="dcterms:W3CDTF">2021-03-08T09:18:00Z</dcterms:created>
  <dcterms:modified xsi:type="dcterms:W3CDTF">2021-06-21T07:23:00Z</dcterms:modified>
</cp:coreProperties>
</file>