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77A206D" w14:textId="19D467AF"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4A70A77D"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9-BVT</w:t>
      </w:r>
      <w:r w:rsidR="002B5644" w:rsidRPr="008A3359">
        <w:rPr>
          <w:rFonts w:asciiTheme="minorHAnsi" w:hAnsiTheme="minorHAnsi" w:cstheme="minorHAnsi"/>
          <w:b/>
          <w:bCs/>
          <w:sz w:val="28"/>
          <w:szCs w:val="28"/>
        </w:rPr>
        <w:t>-</w:t>
      </w:r>
      <w:r w:rsidR="008A3359" w:rsidRPr="008A3359">
        <w:rPr>
          <w:rFonts w:asciiTheme="minorHAnsi" w:hAnsiTheme="minorHAnsi" w:cstheme="minorHAnsi"/>
          <w:b/>
          <w:bCs/>
          <w:sz w:val="28"/>
          <w:szCs w:val="28"/>
        </w:rPr>
        <w:t>02</w:t>
      </w:r>
      <w:r w:rsidR="00A76DBA">
        <w:rPr>
          <w:rFonts w:asciiTheme="minorHAnsi" w:hAnsiTheme="minorHAnsi" w:cstheme="minorHAnsi"/>
          <w:b/>
          <w:bCs/>
          <w:sz w:val="28"/>
          <w:szCs w:val="28"/>
        </w:rPr>
        <w:t>7</w:t>
      </w:r>
      <w:r w:rsidR="002B5644" w:rsidRPr="008A3359">
        <w:rPr>
          <w:rFonts w:asciiTheme="minorHAnsi" w:hAnsiTheme="minorHAnsi" w:cstheme="minorHAnsi"/>
          <w:b/>
          <w:bCs/>
          <w:sz w:val="28"/>
          <w:szCs w:val="28"/>
        </w:rPr>
        <w:t>-0-</w:t>
      </w:r>
      <w:r w:rsidR="008A3359" w:rsidRPr="008A3359">
        <w:rPr>
          <w:rFonts w:asciiTheme="minorHAnsi" w:hAnsiTheme="minorHAnsi" w:cstheme="minorHAnsi"/>
          <w:b/>
          <w:bCs/>
          <w:sz w:val="28"/>
          <w:szCs w:val="28"/>
        </w:rPr>
        <w:t>2021</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3E6673FC" w14:textId="77777777" w:rsidR="008A3359" w:rsidRPr="002A1B6E" w:rsidRDefault="008A3359" w:rsidP="008A3359">
      <w:pPr>
        <w:pStyle w:val="Odstavecseseznamem"/>
        <w:numPr>
          <w:ilvl w:val="1"/>
          <w:numId w:val="18"/>
        </w:numPr>
        <w:tabs>
          <w:tab w:val="left" w:pos="1985"/>
        </w:tabs>
        <w:spacing w:after="0" w:line="240" w:lineRule="auto"/>
        <w:ind w:left="567" w:hanging="1000"/>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7B7C50D4"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rPr>
        <w:t xml:space="preserve">Sídlo: </w:t>
      </w:r>
      <w:proofErr w:type="spellStart"/>
      <w:r w:rsidRPr="002A1B6E">
        <w:rPr>
          <w:rFonts w:ascii="Calibri" w:hAnsi="Calibri" w:cs="Calibri"/>
        </w:rPr>
        <w:t>Cholinská</w:t>
      </w:r>
      <w:proofErr w:type="spellEnd"/>
      <w:r w:rsidRPr="002A1B6E">
        <w:rPr>
          <w:rFonts w:ascii="Calibri" w:hAnsi="Calibri" w:cs="Calibri"/>
        </w:rPr>
        <w:t xml:space="preserve"> 1120, 784 01 Litovel</w:t>
      </w:r>
    </w:p>
    <w:p w14:paraId="6B35BD63"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07AF8038"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72D6A48E" w14:textId="77777777" w:rsidR="008A3359" w:rsidRPr="002A1B6E" w:rsidRDefault="008A3359" w:rsidP="008A335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2F73CEFA" w14:textId="77777777" w:rsidR="008A3359" w:rsidRPr="002A1B6E" w:rsidRDefault="008A3359" w:rsidP="008A335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8D81C2C" w14:textId="77777777" w:rsidR="008A3359" w:rsidRPr="002A1B6E" w:rsidRDefault="008A3359" w:rsidP="008A335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proofErr w:type="spellStart"/>
      <w:r w:rsidRPr="002A1B6E">
        <w:rPr>
          <w:rFonts w:ascii="Calibri" w:hAnsi="Calibri" w:cs="Calibri"/>
        </w:rPr>
        <w:t>Sberbank</w:t>
      </w:r>
      <w:proofErr w:type="spellEnd"/>
      <w:r w:rsidRPr="002A1B6E">
        <w:rPr>
          <w:rFonts w:ascii="Calibri" w:hAnsi="Calibri" w:cs="Calibri"/>
        </w:rPr>
        <w:t xml:space="preserve"> Olomouc</w:t>
      </w:r>
      <w:r w:rsidRPr="002A1B6E">
        <w:rPr>
          <w:rFonts w:ascii="Calibri" w:hAnsi="Calibri" w:cs="Calibri"/>
        </w:rPr>
        <w:tab/>
        <w:t>číslo účtu: 4200241069/6800</w:t>
      </w:r>
    </w:p>
    <w:p w14:paraId="65BD852C" w14:textId="77777777" w:rsidR="008A3359" w:rsidRPr="002A1B6E" w:rsidRDefault="008A3359" w:rsidP="008A335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32AAC3E0" w14:textId="77777777" w:rsidR="008A3359" w:rsidRPr="002A1B6E" w:rsidRDefault="008A3359" w:rsidP="008A3359">
      <w:pPr>
        <w:pStyle w:val="Odstavecseseznamem"/>
        <w:spacing w:after="0" w:line="240" w:lineRule="auto"/>
        <w:ind w:left="993" w:hanging="433"/>
        <w:jc w:val="both"/>
        <w:rPr>
          <w:rFonts w:ascii="Calibri" w:hAnsi="Calibri" w:cs="Calibri"/>
        </w:rPr>
      </w:pPr>
      <w:r w:rsidRPr="002A1B6E">
        <w:rPr>
          <w:rFonts w:ascii="Calibri" w:hAnsi="Calibri" w:cs="Calibri"/>
        </w:rPr>
        <w:t xml:space="preserve">Tel. / Fax / E-mail:  585342366 / </w:t>
      </w:r>
      <w:hyperlink r:id="rId9" w:history="1">
        <w:r w:rsidRPr="002A1B6E">
          <w:rPr>
            <w:rStyle w:val="Hypertextovodkaz"/>
            <w:rFonts w:ascii="Calibri" w:hAnsi="Calibri" w:cs="Calibri"/>
          </w:rPr>
          <w:t>cerlinka@cerlinka.cz</w:t>
        </w:r>
      </w:hyperlink>
    </w:p>
    <w:p w14:paraId="5C292883" w14:textId="77777777" w:rsidR="008A3359" w:rsidRPr="002A1B6E" w:rsidRDefault="008A3359" w:rsidP="008A3359">
      <w:pPr>
        <w:pStyle w:val="Odstavecseseznamem"/>
        <w:spacing w:after="0" w:line="240" w:lineRule="auto"/>
        <w:ind w:left="993" w:hanging="433"/>
        <w:jc w:val="both"/>
        <w:rPr>
          <w:rFonts w:ascii="Calibri" w:hAnsi="Calibri" w:cs="Calibri"/>
        </w:rPr>
      </w:pP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w:t>
      </w:r>
      <w:proofErr w:type="spellStart"/>
      <w:r w:rsidR="00E009E5" w:rsidRPr="00ED5EEF">
        <w:rPr>
          <w:rFonts w:cstheme="minorHAnsi"/>
        </w:rPr>
        <w:t>Nouzce</w:t>
      </w:r>
      <w:proofErr w:type="spellEnd"/>
      <w:r w:rsidR="00E009E5" w:rsidRPr="00ED5EEF">
        <w:rPr>
          <w:rFonts w:cstheme="minorHAnsi"/>
        </w:rPr>
        <w:t xml:space="preserv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ED5EEF"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 xml:space="preserve">Ing. Štěpán </w:t>
      </w:r>
      <w:proofErr w:type="spellStart"/>
      <w:r w:rsidR="00E009E5" w:rsidRPr="00ED5EEF">
        <w:rPr>
          <w:rFonts w:cstheme="minorHAnsi"/>
        </w:rPr>
        <w:t>Leitner</w:t>
      </w:r>
      <w:proofErr w:type="spellEnd"/>
      <w:r w:rsidR="00E009E5" w:rsidRPr="00ED5EEF">
        <w:rPr>
          <w:rFonts w:cstheme="minorHAnsi"/>
        </w:rPr>
        <w:t>, jednatel společnosti</w:t>
      </w:r>
    </w:p>
    <w:p w14:paraId="4C9F41FF" w14:textId="460B6A0D" w:rsidR="002227CE" w:rsidRPr="008A3359"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A3359">
        <w:rPr>
          <w:rFonts w:cstheme="minorHAnsi"/>
        </w:rPr>
        <w:t xml:space="preserve">ve věcech technických: </w:t>
      </w:r>
      <w:r w:rsidR="00E009E5" w:rsidRPr="008A3359">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031E781A"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w:t>
      </w:r>
      <w:r w:rsidR="008A3359">
        <w:rPr>
          <w:rFonts w:cstheme="minorHAnsi"/>
        </w:rPr>
        <w:t xml:space="preserve">hotovitel zavazuje provést dílo: </w:t>
      </w:r>
      <w:r w:rsidR="008A3359" w:rsidRPr="008A3359">
        <w:rPr>
          <w:rFonts w:cstheme="minorHAnsi"/>
          <w:b/>
        </w:rPr>
        <w:t xml:space="preserve">,, </w:t>
      </w:r>
      <w:r w:rsidR="00A76DBA">
        <w:rPr>
          <w:rFonts w:cstheme="minorHAnsi"/>
          <w:b/>
        </w:rPr>
        <w:t>Mladeč – oprava kanalizace</w:t>
      </w:r>
      <w:r w:rsidR="008A3359" w:rsidRPr="008A3359">
        <w:rPr>
          <w:rFonts w:cstheme="minorHAnsi"/>
          <w:b/>
        </w:rPr>
        <w:t>“</w:t>
      </w:r>
      <w:r w:rsidR="008A3359">
        <w:rPr>
          <w:rFonts w:cstheme="minorHAnsi"/>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1A0780C0" w:rsidR="00B53FB9" w:rsidRPr="008A3359"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provést </w:t>
      </w:r>
      <w:r w:rsidRPr="008A3359">
        <w:rPr>
          <w:rFonts w:cstheme="minorHAnsi"/>
        </w:rPr>
        <w:t xml:space="preserve">dílo je </w:t>
      </w:r>
      <w:r w:rsidR="008A3359" w:rsidRPr="008A3359">
        <w:rPr>
          <w:rFonts w:cstheme="minorHAnsi"/>
        </w:rPr>
        <w:t xml:space="preserve">obec </w:t>
      </w:r>
      <w:r w:rsidR="00A76DBA">
        <w:rPr>
          <w:rFonts w:cstheme="minorHAnsi"/>
        </w:rPr>
        <w:t>Mladeč</w:t>
      </w:r>
      <w:r w:rsidR="008A3359" w:rsidRPr="008A3359">
        <w:rPr>
          <w:rFonts w:cstheme="minorHAnsi"/>
        </w:rPr>
        <w:t>.</w:t>
      </w:r>
    </w:p>
    <w:p w14:paraId="4E11EAAD" w14:textId="1D1009D2" w:rsidR="003A1390" w:rsidRPr="008A3359" w:rsidRDefault="003A1390" w:rsidP="002B5644">
      <w:pPr>
        <w:pStyle w:val="Odstavecseseznamem"/>
        <w:numPr>
          <w:ilvl w:val="1"/>
          <w:numId w:val="2"/>
        </w:numPr>
        <w:spacing w:after="60" w:line="240" w:lineRule="auto"/>
        <w:ind w:left="567" w:hanging="567"/>
        <w:contextualSpacing w:val="0"/>
        <w:jc w:val="both"/>
        <w:rPr>
          <w:rFonts w:cstheme="minorHAnsi"/>
        </w:rPr>
      </w:pPr>
      <w:bookmarkStart w:id="1" w:name="_Hlk43883881"/>
      <w:r w:rsidRPr="008A3359">
        <w:rPr>
          <w:rFonts w:cstheme="minorHAnsi"/>
        </w:rPr>
        <w:t>Dílo je blíže specifikováno v </w:t>
      </w:r>
      <w:r w:rsidR="003C0F9B" w:rsidRPr="008A3359">
        <w:rPr>
          <w:rFonts w:cstheme="minorHAnsi"/>
        </w:rPr>
        <w:t xml:space="preserve"> </w:t>
      </w:r>
      <w:r w:rsidR="009A4F34" w:rsidRPr="008A3359">
        <w:rPr>
          <w:rFonts w:cstheme="minorHAnsi"/>
        </w:rPr>
        <w:t xml:space="preserve">a bude provedeno </w:t>
      </w:r>
      <w:r w:rsidR="003C0F9B" w:rsidRPr="008A3359">
        <w:rPr>
          <w:rFonts w:cstheme="minorHAnsi"/>
        </w:rPr>
        <w:t>v rozsahu cenové nabídky zhotovitele</w:t>
      </w:r>
      <w:r w:rsidR="003570D6" w:rsidRPr="008A3359">
        <w:rPr>
          <w:rFonts w:cstheme="minorHAnsi"/>
        </w:rPr>
        <w:t xml:space="preserve"> č. </w:t>
      </w:r>
      <w:r w:rsidR="008A3359" w:rsidRPr="008A3359">
        <w:rPr>
          <w:rFonts w:cstheme="minorHAnsi"/>
        </w:rPr>
        <w:t>BVT-</w:t>
      </w:r>
      <w:r w:rsidR="00A76DBA">
        <w:rPr>
          <w:rFonts w:cstheme="minorHAnsi"/>
        </w:rPr>
        <w:t>151a</w:t>
      </w:r>
      <w:r w:rsidR="008A3359" w:rsidRPr="008A3359">
        <w:rPr>
          <w:rFonts w:cstheme="minorHAnsi"/>
        </w:rPr>
        <w:t>-202</w:t>
      </w:r>
      <w:r w:rsidR="00A76DBA">
        <w:rPr>
          <w:rFonts w:cstheme="minorHAnsi"/>
        </w:rPr>
        <w:t>1</w:t>
      </w:r>
      <w:r w:rsidR="003570D6" w:rsidRPr="008A3359">
        <w:rPr>
          <w:rFonts w:cstheme="minorHAnsi"/>
        </w:rPr>
        <w:t xml:space="preserve"> ze dne </w:t>
      </w:r>
      <w:r w:rsidR="008A3359" w:rsidRPr="008A3359">
        <w:rPr>
          <w:rFonts w:cstheme="minorHAnsi"/>
        </w:rPr>
        <w:t>1</w:t>
      </w:r>
      <w:r w:rsidR="002743D8">
        <w:rPr>
          <w:rFonts w:cstheme="minorHAnsi"/>
        </w:rPr>
        <w:t>2.5.2021</w:t>
      </w:r>
      <w:r w:rsidR="003570D6" w:rsidRPr="008A3359">
        <w:rPr>
          <w:rFonts w:cstheme="minorHAnsi"/>
        </w:rPr>
        <w:t xml:space="preserve">, jejíž součástí je </w:t>
      </w:r>
      <w:r w:rsidR="003C0F9B" w:rsidRPr="008A3359">
        <w:rPr>
          <w:rFonts w:cstheme="minorHAnsi"/>
        </w:rPr>
        <w:t xml:space="preserve">položkový rozpočet </w:t>
      </w:r>
      <w:r w:rsidRPr="008A3359">
        <w:rPr>
          <w:rFonts w:cstheme="minorHAnsi"/>
        </w:rPr>
        <w:t>(dále jen „cenová nabídka“)</w:t>
      </w:r>
      <w:r w:rsidR="008B6748" w:rsidRPr="008A3359">
        <w:rPr>
          <w:rFonts w:cstheme="minorHAnsi"/>
        </w:rPr>
        <w:t>.</w:t>
      </w:r>
      <w:r w:rsidR="00C93781" w:rsidRPr="008A3359">
        <w:rPr>
          <w:rFonts w:cstheme="minorHAnsi"/>
        </w:rPr>
        <w:t xml:space="preserve"> </w:t>
      </w:r>
      <w:r w:rsidR="008C7596" w:rsidRPr="008A3359">
        <w:rPr>
          <w:rFonts w:cstheme="minorHAnsi"/>
        </w:rPr>
        <w:t>Cenová nabídka je jako příloha č. 1 nedílnou součástí této smlouvy.</w:t>
      </w:r>
      <w:bookmarkEnd w:id="1"/>
      <w:r w:rsidR="008C7596" w:rsidRPr="008A3359">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194AB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194AB6">
        <w:rPr>
          <w:rFonts w:cstheme="minorHAnsi"/>
          <w:bCs/>
        </w:rPr>
        <w:t xml:space="preserve">zajistit </w:t>
      </w:r>
      <w:r w:rsidR="000C2AAB" w:rsidRPr="00194AB6">
        <w:rPr>
          <w:rFonts w:cstheme="minorHAnsi"/>
          <w:bCs/>
        </w:rPr>
        <w:t>přístup techniky k šachtám kanalizačního úseku a volnost všech kanalizačních šachet i celého úseku kanalizace kdykoli dle požadavků zhotovitele,</w:t>
      </w:r>
    </w:p>
    <w:p w14:paraId="40855855" w14:textId="77777777"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umožnit zhotoviteli </w:t>
      </w:r>
      <w:r w:rsidR="000C2AAB" w:rsidRPr="00194AB6">
        <w:rPr>
          <w:rFonts w:cstheme="minorHAnsi"/>
        </w:rPr>
        <w:t>provádění díla od okamžiku zahájení provádění díla do okamžiku dokončení díla,</w:t>
      </w:r>
    </w:p>
    <w:p w14:paraId="037BADD8" w14:textId="77777777"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zajistit zhotoviteli </w:t>
      </w:r>
      <w:r w:rsidR="000C2AAB" w:rsidRPr="00194AB6">
        <w:rPr>
          <w:rFonts w:cstheme="minorHAnsi"/>
        </w:rPr>
        <w:t>možnost odběru vody na dopouštění čistícího vozu,</w:t>
      </w:r>
    </w:p>
    <w:p w14:paraId="4B907911" w14:textId="66A0CEC9"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zajistit </w:t>
      </w:r>
      <w:r w:rsidR="000C2AAB" w:rsidRPr="00194AB6">
        <w:rPr>
          <w:rFonts w:cstheme="minorHAnsi"/>
        </w:rPr>
        <w:t>možnost uložení vytěžených kalů po čištění</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6BEFF18A" w:rsidR="003E1881" w:rsidRPr="002743D8"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2743D8">
        <w:rPr>
          <w:rFonts w:cstheme="minorHAnsi"/>
        </w:rPr>
        <w:t xml:space="preserve">díla </w:t>
      </w:r>
      <w:r w:rsidR="002743D8" w:rsidRPr="002743D8">
        <w:rPr>
          <w:rFonts w:cstheme="minorHAnsi"/>
        </w:rPr>
        <w:t>7</w:t>
      </w:r>
      <w:r w:rsidR="00801FE7" w:rsidRPr="002743D8">
        <w:rPr>
          <w:rFonts w:cstheme="minorHAnsi"/>
        </w:rPr>
        <w:t>/2021</w:t>
      </w:r>
    </w:p>
    <w:p w14:paraId="08EF4A4A" w14:textId="279839B8" w:rsidR="003E1881" w:rsidRPr="002743D8" w:rsidRDefault="003E1881" w:rsidP="002B5644">
      <w:pPr>
        <w:pStyle w:val="Odstavecseseznamem"/>
        <w:numPr>
          <w:ilvl w:val="1"/>
          <w:numId w:val="2"/>
        </w:numPr>
        <w:spacing w:after="60" w:line="240" w:lineRule="auto"/>
        <w:ind w:left="567" w:hanging="567"/>
        <w:contextualSpacing w:val="0"/>
        <w:jc w:val="both"/>
        <w:rPr>
          <w:rFonts w:cstheme="minorHAnsi"/>
        </w:rPr>
      </w:pPr>
      <w:r w:rsidRPr="002743D8">
        <w:rPr>
          <w:rFonts w:cstheme="minorHAnsi"/>
        </w:rPr>
        <w:t xml:space="preserve">Zhotovitel dílo provede do </w:t>
      </w:r>
      <w:r w:rsidR="002743D8" w:rsidRPr="002743D8">
        <w:rPr>
          <w:rFonts w:cstheme="minorHAnsi"/>
        </w:rPr>
        <w:t>9</w:t>
      </w:r>
      <w:r w:rsidR="00801FE7" w:rsidRPr="002743D8">
        <w:rPr>
          <w:rFonts w:cstheme="minorHAnsi"/>
        </w:rPr>
        <w:t>/2021</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2" w:name="_Hlk37354448"/>
      <w:r w:rsidRPr="00ED5EEF">
        <w:rPr>
          <w:rFonts w:cstheme="minorHAnsi"/>
        </w:rPr>
        <w:t>Zhotovitel je oprávněn dílo dokončit i před sjednaným termínem dokončení díla a objednatel je povinen dříve dokončené dílo převzít a zaplatit.</w:t>
      </w:r>
      <w:bookmarkEnd w:id="2"/>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8A3359"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8A3359">
        <w:rPr>
          <w:rFonts w:cstheme="minorHAnsi"/>
        </w:rPr>
        <w:t>pevná</w:t>
      </w:r>
      <w:r w:rsidRPr="008A3359">
        <w:rPr>
          <w:rFonts w:cstheme="minorHAnsi"/>
        </w:rPr>
        <w:t xml:space="preserve"> </w:t>
      </w:r>
      <w:r w:rsidR="0072711C" w:rsidRPr="008A3359">
        <w:rPr>
          <w:rFonts w:cstheme="minorHAnsi"/>
        </w:rPr>
        <w:t xml:space="preserve">v rozsahu dle cenové nabídky a je </w:t>
      </w:r>
      <w:r w:rsidRPr="008A3359">
        <w:rPr>
          <w:rFonts w:cstheme="minorHAnsi"/>
        </w:rPr>
        <w:t>ve výši:</w:t>
      </w:r>
    </w:p>
    <w:p w14:paraId="532F859B" w14:textId="7A800FEC" w:rsidR="00A504C9" w:rsidRPr="008A3359"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8A3359">
        <w:rPr>
          <w:rFonts w:cstheme="minorHAnsi"/>
          <w:b/>
        </w:rPr>
        <w:t xml:space="preserve">Cena </w:t>
      </w:r>
      <w:r w:rsidR="004A264C" w:rsidRPr="008A3359">
        <w:rPr>
          <w:rFonts w:cstheme="minorHAnsi"/>
          <w:b/>
        </w:rPr>
        <w:t>za dílo</w:t>
      </w:r>
      <w:r w:rsidRPr="008A3359">
        <w:rPr>
          <w:rFonts w:cstheme="minorHAnsi"/>
          <w:b/>
        </w:rPr>
        <w:t xml:space="preserve"> bez DPH</w:t>
      </w:r>
      <w:r w:rsidRPr="008A3359">
        <w:rPr>
          <w:rFonts w:cstheme="minorHAnsi"/>
          <w:b/>
        </w:rPr>
        <w:tab/>
        <w:t>:</w:t>
      </w:r>
    </w:p>
    <w:p w14:paraId="7252D839" w14:textId="1DEFD18A" w:rsidR="002B5644"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8A3359">
        <w:rPr>
          <w:rFonts w:cstheme="minorHAnsi"/>
          <w:b/>
        </w:rPr>
        <w:t xml:space="preserve">Slovy:  </w:t>
      </w:r>
    </w:p>
    <w:p w14:paraId="144657E7" w14:textId="77777777" w:rsidR="00122847" w:rsidRPr="008A3359" w:rsidRDefault="00122847"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8A3359"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8A3359">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6B54B2A5" w14:textId="6399AEFF" w:rsidR="00B93C40" w:rsidRPr="002743D8" w:rsidRDefault="00B82F3D" w:rsidP="002743D8">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bude zhotoviteli </w:t>
      </w:r>
      <w:r w:rsidR="0088027F">
        <w:rPr>
          <w:rFonts w:cstheme="minorHAnsi"/>
        </w:rPr>
        <w:t>uhrazena</w:t>
      </w:r>
      <w:r w:rsidR="002743D8">
        <w:rPr>
          <w:rFonts w:cstheme="minorHAnsi"/>
        </w:rPr>
        <w:t xml:space="preserve"> </w:t>
      </w:r>
      <w:r w:rsidR="00B93C40" w:rsidRPr="002743D8">
        <w:rPr>
          <w:rFonts w:cstheme="minorHAnsi"/>
        </w:rPr>
        <w:t xml:space="preserve">po provedení díla na základě faktury vystavené zhotovitelem po předání díla objednateli (přílohou oboustranně podepsaný protokol o předání a převzetí díla). </w:t>
      </w:r>
    </w:p>
    <w:p w14:paraId="32EE3FDF" w14:textId="6124D4E4" w:rsidR="005A3940" w:rsidRPr="000A02D8" w:rsidRDefault="00A504C9" w:rsidP="000A02D8">
      <w:pPr>
        <w:pStyle w:val="Odstavecseseznamem"/>
        <w:numPr>
          <w:ilvl w:val="1"/>
          <w:numId w:val="2"/>
        </w:numPr>
        <w:spacing w:after="60" w:line="240" w:lineRule="auto"/>
        <w:ind w:left="567" w:hanging="567"/>
        <w:contextualSpacing w:val="0"/>
        <w:jc w:val="both"/>
        <w:rPr>
          <w:rFonts w:cstheme="minorHAnsi"/>
        </w:rPr>
      </w:pPr>
      <w:r w:rsidRPr="008A3359">
        <w:rPr>
          <w:rFonts w:cstheme="minorHAnsi"/>
        </w:rPr>
        <w:t xml:space="preserve">Úhrada </w:t>
      </w:r>
      <w:r w:rsidR="00C24C95" w:rsidRPr="008A3359">
        <w:rPr>
          <w:rFonts w:cstheme="minorHAnsi"/>
        </w:rPr>
        <w:t xml:space="preserve">faktur </w:t>
      </w:r>
      <w:r w:rsidRPr="008A3359">
        <w:rPr>
          <w:rFonts w:cstheme="minorHAnsi"/>
        </w:rPr>
        <w:t>bude realizována až do výše 90%</w:t>
      </w:r>
      <w:r w:rsidR="00C24C95" w:rsidRPr="008A3359">
        <w:rPr>
          <w:rFonts w:cstheme="minorHAnsi"/>
        </w:rPr>
        <w:t xml:space="preserve"> </w:t>
      </w:r>
      <w:r w:rsidR="00AC0453" w:rsidRPr="008A3359">
        <w:rPr>
          <w:rFonts w:cstheme="minorHAnsi"/>
        </w:rPr>
        <w:t>fakturované částky na daňových dokladech</w:t>
      </w:r>
      <w:r w:rsidR="00252F55" w:rsidRPr="008A3359">
        <w:rPr>
          <w:rFonts w:cstheme="minorHAnsi"/>
        </w:rPr>
        <w:t xml:space="preserve">. </w:t>
      </w:r>
      <w:r w:rsidR="00AC0453" w:rsidRPr="008A3359">
        <w:rPr>
          <w:rFonts w:cstheme="minorHAnsi"/>
        </w:rPr>
        <w:t>V </w:t>
      </w:r>
      <w:r w:rsidR="00C24C95" w:rsidRPr="008A3359">
        <w:rPr>
          <w:rFonts w:cstheme="minorHAnsi"/>
        </w:rPr>
        <w:t>konečném daňovém</w:t>
      </w:r>
      <w:r w:rsidRPr="008A3359">
        <w:rPr>
          <w:rFonts w:cstheme="minorHAnsi"/>
        </w:rPr>
        <w:t xml:space="preserve"> doklad</w:t>
      </w:r>
      <w:r w:rsidR="00C24C95" w:rsidRPr="008A3359">
        <w:rPr>
          <w:rFonts w:cstheme="minorHAnsi"/>
        </w:rPr>
        <w:t>u</w:t>
      </w:r>
      <w:r w:rsidRPr="008A3359">
        <w:rPr>
          <w:rFonts w:cstheme="minorHAnsi"/>
        </w:rPr>
        <w:t xml:space="preserve"> bude jako příloha rekapitulace úhrad a dále v něm bude vyznačeno</w:t>
      </w:r>
      <w:r w:rsidR="000A02D8">
        <w:rPr>
          <w:rFonts w:cstheme="minorHAnsi"/>
        </w:rPr>
        <w:t xml:space="preserve"> </w:t>
      </w:r>
      <w:r w:rsidR="008A3359" w:rsidRPr="000A02D8">
        <w:rPr>
          <w:rFonts w:cstheme="minorHAnsi"/>
        </w:rPr>
        <w:t>10%</w:t>
      </w:r>
      <w:r w:rsidR="00252F55" w:rsidRPr="000A02D8">
        <w:rPr>
          <w:rFonts w:cstheme="minorHAnsi"/>
        </w:rPr>
        <w:t xml:space="preserve"> z</w:t>
      </w:r>
      <w:r w:rsidRPr="000A02D8">
        <w:rPr>
          <w:rFonts w:cstheme="minorHAnsi"/>
        </w:rPr>
        <w:t xml:space="preserve"> </w:t>
      </w:r>
      <w:r w:rsidR="00E40520" w:rsidRPr="000A02D8">
        <w:rPr>
          <w:rFonts w:cstheme="minorHAnsi"/>
        </w:rPr>
        <w:t>fakturované částky</w:t>
      </w:r>
      <w:r w:rsidR="00252F55" w:rsidRPr="000A02D8">
        <w:rPr>
          <w:rFonts w:cstheme="minorHAnsi"/>
        </w:rPr>
        <w:t xml:space="preserve"> bez DPH slouží jako pozastávka, kterou uhradí objednatel do 30 dnů po proved</w:t>
      </w:r>
      <w:r w:rsidR="00E1009C" w:rsidRPr="000A02D8">
        <w:rPr>
          <w:rFonts w:cstheme="minorHAnsi"/>
        </w:rPr>
        <w:t>e</w:t>
      </w:r>
      <w:r w:rsidR="00252F55" w:rsidRPr="000A02D8">
        <w:rPr>
          <w:rFonts w:cstheme="minorHAnsi"/>
        </w:rPr>
        <w:t>ní díla bez vad a nedodělků bránících řádnému užívání díla</w:t>
      </w:r>
      <w:r w:rsidR="005A3940" w:rsidRPr="000A02D8">
        <w:rPr>
          <w:rFonts w:cstheme="minorHAnsi"/>
        </w:rPr>
        <w:t>,</w:t>
      </w:r>
    </w:p>
    <w:p w14:paraId="24D0D721" w14:textId="49370B41"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8A3359">
        <w:rPr>
          <w:rFonts w:cstheme="minorHAnsi"/>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7AD9E540" w14:textId="77777777"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 xml:space="preserve">Položkový rozpočet v cenové nabídce slouží k případnému ocenění víceprací a </w:t>
      </w:r>
      <w:proofErr w:type="spellStart"/>
      <w:r w:rsidR="000C2AAB" w:rsidRPr="00ED5EEF">
        <w:rPr>
          <w:rFonts w:cstheme="minorHAnsi"/>
          <w:bCs/>
        </w:rPr>
        <w:t>méněprací</w:t>
      </w:r>
      <w:proofErr w:type="spellEnd"/>
      <w:r w:rsidR="000C2AAB" w:rsidRPr="00ED5EEF">
        <w:rPr>
          <w:rFonts w:cstheme="minorHAnsi"/>
          <w:bCs/>
        </w:rPr>
        <w:t>.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 xml:space="preserve">k podpisu „Protokolu o předání a převzetí díla“, </w:t>
      </w:r>
      <w:proofErr w:type="spellStart"/>
      <w:r w:rsidRPr="00ED5EEF">
        <w:rPr>
          <w:rFonts w:cstheme="minorHAnsi"/>
          <w:b/>
        </w:rPr>
        <w:t>odsouhlasování</w:t>
      </w:r>
      <w:proofErr w:type="spellEnd"/>
      <w:r w:rsidRPr="00ED5EEF">
        <w:rPr>
          <w:rFonts w:cstheme="minorHAnsi"/>
          <w:b/>
        </w:rPr>
        <w:t xml:space="preserve"> soupisů provedený</w:t>
      </w:r>
      <w:r w:rsidR="00AC0453" w:rsidRPr="00ED5EEF">
        <w:rPr>
          <w:rFonts w:cstheme="minorHAnsi"/>
          <w:b/>
        </w:rPr>
        <w:t xml:space="preserve">ch prací zhotovitele, </w:t>
      </w:r>
      <w:proofErr w:type="spellStart"/>
      <w:r w:rsidR="00A672B5" w:rsidRPr="00ED5EEF">
        <w:rPr>
          <w:rFonts w:cstheme="minorHAnsi"/>
          <w:b/>
        </w:rPr>
        <w:t>odsouhlasování</w:t>
      </w:r>
      <w:proofErr w:type="spellEnd"/>
      <w:r w:rsidR="00A672B5" w:rsidRPr="00ED5EEF">
        <w:rPr>
          <w:rFonts w:cstheme="minorHAnsi"/>
          <w:b/>
        </w:rPr>
        <w:t xml:space="preserve">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w:t>
      </w:r>
      <w:proofErr w:type="spellStart"/>
      <w:r w:rsidR="00B8001A" w:rsidRPr="00ED5EEF">
        <w:rPr>
          <w:rFonts w:cstheme="minorHAnsi"/>
          <w:b/>
          <w:bCs/>
        </w:rPr>
        <w:t>odsouhlasování</w:t>
      </w:r>
      <w:proofErr w:type="spellEnd"/>
      <w:r w:rsidR="00B8001A" w:rsidRPr="00ED5EEF">
        <w:rPr>
          <w:rFonts w:cstheme="minorHAnsi"/>
          <w:b/>
          <w:bCs/>
        </w:rPr>
        <w:t xml:space="preserve">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0D7AA8C9" w:rsidR="005A2851" w:rsidRPr="00801FE7" w:rsidRDefault="00CF7090" w:rsidP="00801FE7">
      <w:pPr>
        <w:numPr>
          <w:ilvl w:val="1"/>
          <w:numId w:val="2"/>
        </w:numPr>
        <w:tabs>
          <w:tab w:val="left" w:pos="993"/>
        </w:tabs>
        <w:spacing w:after="60" w:line="240" w:lineRule="auto"/>
        <w:ind w:left="567" w:hanging="567"/>
        <w:jc w:val="both"/>
        <w:rPr>
          <w:rFonts w:cstheme="minorHAnsi"/>
          <w:b/>
        </w:rPr>
      </w:pPr>
      <w:r w:rsidRPr="00ED5EEF">
        <w:rPr>
          <w:rFonts w:cstheme="minorHAnsi"/>
          <w:b/>
        </w:rPr>
        <w:t xml:space="preserve">Záruční doba </w:t>
      </w:r>
      <w:r w:rsidRPr="00801FE7">
        <w:rPr>
          <w:rFonts w:cstheme="minorHAnsi"/>
          <w:b/>
        </w:rPr>
        <w:t xml:space="preserve">činí </w:t>
      </w:r>
      <w:r w:rsidR="00801FE7" w:rsidRPr="00801FE7">
        <w:rPr>
          <w:rFonts w:cstheme="minorHAnsi"/>
          <w:b/>
        </w:rPr>
        <w:t xml:space="preserve">60 </w:t>
      </w:r>
      <w:r w:rsidR="005A2851" w:rsidRPr="00801FE7">
        <w:rPr>
          <w:rFonts w:cstheme="minorHAnsi"/>
          <w:b/>
        </w:rPr>
        <w:t xml:space="preserve">měsíců na stavební </w:t>
      </w:r>
    </w:p>
    <w:p w14:paraId="627294E5" w14:textId="35A9E044" w:rsidR="005A2851" w:rsidRPr="00801FE7"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801FE7">
        <w:rPr>
          <w:rFonts w:cstheme="minorHAnsi"/>
        </w:rPr>
        <w:t xml:space="preserve">Záruka za jakost počíná plynout dnem převzetí </w:t>
      </w:r>
      <w:r w:rsidR="00D4005B" w:rsidRPr="00801FE7">
        <w:rPr>
          <w:rFonts w:cstheme="minorHAnsi"/>
        </w:rPr>
        <w:t xml:space="preserve">díla objednatelem. </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lastRenderedPageBreak/>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w:t>
      </w:r>
      <w:r w:rsidRPr="00ED5EEF">
        <w:rPr>
          <w:rFonts w:cstheme="minorHAnsi"/>
        </w:rPr>
        <w:lastRenderedPageBreak/>
        <w:t xml:space="preserve">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w:t>
      </w:r>
      <w:r w:rsidRPr="00ED5EEF">
        <w:rPr>
          <w:rFonts w:cstheme="minorHAnsi"/>
        </w:rPr>
        <w:lastRenderedPageBreak/>
        <w:t>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w:t>
      </w:r>
      <w:r w:rsidRPr="008A3359">
        <w:rPr>
          <w:rFonts w:cstheme="minorHAnsi"/>
          <w:bCs/>
        </w:rPr>
        <w:t xml:space="preserve">nabývá platnosti a účinnosti dnem podpisu oběma </w:t>
      </w:r>
      <w:r>
        <w:rPr>
          <w:rFonts w:cstheme="minorHAnsi"/>
          <w:bCs/>
        </w:rPr>
        <w:t>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7F3126A8" w:rsidR="003C0F9B" w:rsidRPr="008A3359"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č</w:t>
      </w:r>
      <w:r w:rsidR="00C50E84" w:rsidRPr="008A3359">
        <w:rPr>
          <w:rFonts w:cstheme="minorHAnsi"/>
        </w:rPr>
        <w:t xml:space="preserve">. </w:t>
      </w:r>
      <w:r w:rsidR="008A3359" w:rsidRPr="008A3359">
        <w:rPr>
          <w:rFonts w:cstheme="minorHAnsi"/>
        </w:rPr>
        <w:t>BVT-287c-2020</w:t>
      </w:r>
      <w:r w:rsidR="00C50E84" w:rsidRPr="008A3359">
        <w:rPr>
          <w:rFonts w:cstheme="minorHAnsi"/>
        </w:rPr>
        <w:t xml:space="preserve"> ze dne </w:t>
      </w:r>
      <w:r w:rsidR="008A3359" w:rsidRPr="008A3359">
        <w:rPr>
          <w:rFonts w:cstheme="minorHAnsi"/>
        </w:rPr>
        <w:t>19.11.2020</w:t>
      </w:r>
      <w:r w:rsidR="00C50E84" w:rsidRPr="008A3359">
        <w:rPr>
          <w:rFonts w:cstheme="minorHAnsi"/>
        </w:rPr>
        <w:t xml:space="preserve"> </w:t>
      </w:r>
      <w:r w:rsidR="003C0F9B" w:rsidRPr="008A3359">
        <w:rPr>
          <w:rFonts w:cstheme="minorHAnsi"/>
        </w:rPr>
        <w:t>včetně položkového rozpočtu</w:t>
      </w:r>
    </w:p>
    <w:p w14:paraId="0EAB8BAF"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661A6168"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1D17D2C3"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4F7E0310" w14:textId="0C4C0E1D" w:rsidR="009F1508" w:rsidRDefault="009F1508" w:rsidP="00233AF0">
      <w:pPr>
        <w:keepNext/>
        <w:tabs>
          <w:tab w:val="left" w:pos="5670"/>
        </w:tabs>
        <w:spacing w:before="120" w:after="0" w:line="240" w:lineRule="auto"/>
        <w:jc w:val="both"/>
        <w:rPr>
          <w:rFonts w:eastAsia="Calibri" w:cstheme="minorHAnsi"/>
          <w:bCs/>
        </w:rPr>
      </w:pPr>
      <w:r w:rsidRPr="008A3359">
        <w:rPr>
          <w:rFonts w:eastAsia="Calibri" w:cstheme="minorHAnsi"/>
          <w:bCs/>
        </w:rPr>
        <w:t>V</w:t>
      </w:r>
      <w:r w:rsidR="008A3359" w:rsidRPr="008A3359">
        <w:rPr>
          <w:rFonts w:eastAsia="Calibri" w:cstheme="minorHAnsi"/>
          <w:bCs/>
        </w:rPr>
        <w:t xml:space="preserve"> Litovli </w:t>
      </w:r>
      <w:r w:rsidRPr="008A3359">
        <w:rPr>
          <w:rFonts w:eastAsia="Calibri" w:cstheme="minorHAnsi"/>
          <w:bCs/>
        </w:rPr>
        <w:t xml:space="preserve">dne </w:t>
      </w:r>
      <w:r w:rsidR="009E728F">
        <w:rPr>
          <w:rFonts w:eastAsia="Calibri" w:cstheme="minorHAnsi"/>
          <w:bCs/>
        </w:rPr>
        <w:t>2.6</w:t>
      </w:r>
      <w:r w:rsidR="00801FE7">
        <w:rPr>
          <w:rFonts w:eastAsia="Calibri" w:cstheme="minorHAnsi"/>
          <w:bCs/>
        </w:rPr>
        <w:t>.2021</w:t>
      </w:r>
      <w:r w:rsidRPr="008A3359">
        <w:rPr>
          <w:rFonts w:eastAsia="Calibri" w:cstheme="minorHAnsi"/>
          <w:bCs/>
        </w:rPr>
        <w:tab/>
      </w:r>
      <w:r w:rsidR="008A3359">
        <w:rPr>
          <w:rFonts w:eastAsia="Calibri" w:cstheme="minorHAnsi"/>
          <w:bCs/>
        </w:rPr>
        <w:tab/>
        <w:t xml:space="preserve">           </w:t>
      </w:r>
      <w:r w:rsidRPr="008A3359">
        <w:rPr>
          <w:rFonts w:eastAsia="Calibri" w:cstheme="minorHAnsi"/>
          <w:bCs/>
        </w:rPr>
        <w:t>V</w:t>
      </w:r>
      <w:r w:rsidR="007F23C1" w:rsidRPr="008A3359">
        <w:rPr>
          <w:rFonts w:eastAsia="Calibri" w:cstheme="minorHAnsi"/>
          <w:bCs/>
        </w:rPr>
        <w:t xml:space="preserve">e Vyškově </w:t>
      </w:r>
      <w:r w:rsidRPr="008A3359">
        <w:rPr>
          <w:rFonts w:eastAsia="Calibri" w:cstheme="minorHAnsi"/>
          <w:bCs/>
        </w:rPr>
        <w:t xml:space="preserve">dne </w:t>
      </w:r>
      <w:r w:rsidR="009E728F">
        <w:rPr>
          <w:rFonts w:eastAsia="Calibri" w:cstheme="minorHAnsi"/>
          <w:bCs/>
        </w:rPr>
        <w:t>30.5</w:t>
      </w:r>
      <w:r w:rsidR="008A3359" w:rsidRPr="008A3359">
        <w:rPr>
          <w:rFonts w:eastAsia="Calibri" w:cstheme="minorHAnsi"/>
          <w:bCs/>
        </w:rPr>
        <w:t>.2021</w:t>
      </w:r>
    </w:p>
    <w:p w14:paraId="242C1768" w14:textId="77777777" w:rsidR="008A3359" w:rsidRDefault="008A3359" w:rsidP="00233AF0">
      <w:pPr>
        <w:keepNext/>
        <w:tabs>
          <w:tab w:val="left" w:pos="5670"/>
        </w:tabs>
        <w:spacing w:before="120" w:after="0" w:line="240" w:lineRule="auto"/>
        <w:jc w:val="both"/>
        <w:rPr>
          <w:rFonts w:eastAsia="Calibri" w:cstheme="minorHAnsi"/>
          <w:bCs/>
        </w:rPr>
      </w:pPr>
    </w:p>
    <w:p w14:paraId="4A8AB557" w14:textId="77777777" w:rsidR="008A3359" w:rsidRPr="008A3359" w:rsidRDefault="008A3359" w:rsidP="00233AF0">
      <w:pPr>
        <w:keepNext/>
        <w:tabs>
          <w:tab w:val="left" w:pos="5670"/>
        </w:tabs>
        <w:spacing w:before="120" w:after="0" w:line="240" w:lineRule="auto"/>
        <w:jc w:val="both"/>
        <w:rPr>
          <w:rFonts w:eastAsia="Calibri" w:cstheme="minorHAnsi"/>
          <w:bCs/>
        </w:rPr>
      </w:pPr>
    </w:p>
    <w:p w14:paraId="304849EA" w14:textId="38150072" w:rsidR="009F1508" w:rsidRPr="008A3359" w:rsidRDefault="009F1508" w:rsidP="00233AF0">
      <w:pPr>
        <w:keepNext/>
        <w:tabs>
          <w:tab w:val="left" w:pos="5670"/>
          <w:tab w:val="center" w:pos="8222"/>
        </w:tabs>
        <w:spacing w:before="960" w:after="0" w:line="240" w:lineRule="auto"/>
        <w:jc w:val="both"/>
        <w:rPr>
          <w:rFonts w:eastAsia="Calibri" w:cstheme="minorHAnsi"/>
          <w:bCs/>
        </w:rPr>
      </w:pPr>
      <w:r w:rsidRPr="008A3359">
        <w:rPr>
          <w:rFonts w:eastAsia="Calibri" w:cstheme="minorHAnsi"/>
          <w:bCs/>
        </w:rPr>
        <w:t>…………………………………</w:t>
      </w:r>
      <w:r w:rsidRPr="008A3359">
        <w:rPr>
          <w:rFonts w:eastAsia="Calibri" w:cstheme="minorHAnsi"/>
          <w:bCs/>
        </w:rPr>
        <w:tab/>
      </w:r>
      <w:r w:rsidR="008A3359">
        <w:rPr>
          <w:rFonts w:eastAsia="Calibri" w:cstheme="minorHAnsi"/>
          <w:bCs/>
        </w:rPr>
        <w:t xml:space="preserve">           </w:t>
      </w:r>
      <w:r w:rsidRPr="008A3359">
        <w:rPr>
          <w:rFonts w:eastAsia="Calibri" w:cstheme="minorHAnsi"/>
          <w:bCs/>
        </w:rPr>
        <w:t>…………………………………</w:t>
      </w:r>
    </w:p>
    <w:p w14:paraId="60486C53" w14:textId="7135138A" w:rsidR="009F1508" w:rsidRPr="008A3359" w:rsidRDefault="0012209B" w:rsidP="009F1508">
      <w:pPr>
        <w:keepNext/>
        <w:tabs>
          <w:tab w:val="center" w:pos="426"/>
          <w:tab w:val="left" w:pos="5670"/>
        </w:tabs>
        <w:spacing w:after="0" w:line="240" w:lineRule="auto"/>
        <w:jc w:val="both"/>
        <w:rPr>
          <w:rFonts w:eastAsia="Calibri" w:cstheme="minorHAnsi"/>
          <w:b/>
          <w:bCs/>
        </w:rPr>
      </w:pPr>
      <w:r w:rsidRPr="008A3359">
        <w:rPr>
          <w:rFonts w:eastAsia="Calibri" w:cstheme="minorHAnsi"/>
          <w:b/>
          <w:bCs/>
        </w:rPr>
        <w:t>za o</w:t>
      </w:r>
      <w:r w:rsidR="009F1508" w:rsidRPr="008A3359">
        <w:rPr>
          <w:rFonts w:eastAsia="Calibri" w:cstheme="minorHAnsi"/>
          <w:b/>
          <w:bCs/>
        </w:rPr>
        <w:t>bjednatel</w:t>
      </w:r>
      <w:r w:rsidRPr="008A3359">
        <w:rPr>
          <w:rFonts w:eastAsia="Calibri" w:cstheme="minorHAnsi"/>
          <w:b/>
          <w:bCs/>
        </w:rPr>
        <w:t>e</w:t>
      </w:r>
      <w:r w:rsidR="00E416E2" w:rsidRPr="008A3359">
        <w:rPr>
          <w:rFonts w:eastAsia="Calibri" w:cstheme="minorHAnsi"/>
          <w:b/>
          <w:bCs/>
        </w:rPr>
        <w:t xml:space="preserve"> </w:t>
      </w:r>
      <w:r w:rsidR="008A3359" w:rsidRPr="00D126C8">
        <w:rPr>
          <w:rFonts w:ascii="Calibri" w:eastAsia="Calibri" w:hAnsi="Calibri" w:cs="Calibri"/>
          <w:b/>
          <w:bCs/>
        </w:rPr>
        <w:t>Vodohospodářská společnost ČERLINKA s.r.o.</w:t>
      </w:r>
      <w:r w:rsidR="009F1508" w:rsidRPr="008A3359">
        <w:rPr>
          <w:rFonts w:eastAsia="Calibri" w:cstheme="minorHAnsi"/>
          <w:b/>
          <w:bCs/>
        </w:rPr>
        <w:tab/>
      </w:r>
      <w:r w:rsidR="008A3359">
        <w:rPr>
          <w:rFonts w:eastAsia="Calibri" w:cstheme="minorHAnsi"/>
          <w:b/>
          <w:bCs/>
        </w:rPr>
        <w:tab/>
        <w:t xml:space="preserve">           </w:t>
      </w:r>
      <w:r w:rsidRPr="008A3359">
        <w:rPr>
          <w:rFonts w:eastAsia="Calibri" w:cstheme="minorHAnsi"/>
          <w:b/>
          <w:bCs/>
        </w:rPr>
        <w:t>za z</w:t>
      </w:r>
      <w:r w:rsidR="009F1508" w:rsidRPr="008A3359">
        <w:rPr>
          <w:rFonts w:eastAsia="Calibri" w:cstheme="minorHAnsi"/>
          <w:b/>
          <w:bCs/>
        </w:rPr>
        <w:t>hotovitel</w:t>
      </w:r>
      <w:r w:rsidRPr="008A3359">
        <w:rPr>
          <w:rFonts w:eastAsia="Calibri" w:cstheme="minorHAnsi"/>
          <w:b/>
          <w:bCs/>
        </w:rPr>
        <w:t>e</w:t>
      </w:r>
      <w:r w:rsidR="009F1508" w:rsidRPr="008A3359">
        <w:rPr>
          <w:rFonts w:eastAsia="Calibri" w:cstheme="minorHAnsi"/>
          <w:b/>
          <w:bCs/>
        </w:rPr>
        <w:t xml:space="preserve"> </w:t>
      </w:r>
      <w:r w:rsidR="00E416E2" w:rsidRPr="008A3359">
        <w:rPr>
          <w:rFonts w:eastAsia="Calibri" w:cstheme="minorHAnsi"/>
          <w:b/>
          <w:bCs/>
        </w:rPr>
        <w:t>TRASKO</w:t>
      </w:r>
      <w:r w:rsidR="007F696F" w:rsidRPr="008A3359">
        <w:rPr>
          <w:rFonts w:eastAsia="Calibri" w:cstheme="minorHAnsi"/>
          <w:b/>
          <w:bCs/>
        </w:rPr>
        <w:t xml:space="preserve"> BVT</w:t>
      </w:r>
      <w:r w:rsidR="00E416E2" w:rsidRPr="008A3359">
        <w:rPr>
          <w:rFonts w:eastAsia="Calibri" w:cstheme="minorHAnsi"/>
          <w:b/>
          <w:bCs/>
        </w:rPr>
        <w:t xml:space="preserve">, </w:t>
      </w:r>
      <w:r w:rsidR="007F696F" w:rsidRPr="008A3359">
        <w:rPr>
          <w:rFonts w:eastAsia="Calibri" w:cstheme="minorHAnsi"/>
          <w:b/>
          <w:bCs/>
        </w:rPr>
        <w:t>s.r.o.</w:t>
      </w:r>
    </w:p>
    <w:p w14:paraId="55708F95" w14:textId="4CF60749" w:rsidR="009F1508" w:rsidRPr="00ED5EEF" w:rsidRDefault="008A3359" w:rsidP="00C50E84">
      <w:pPr>
        <w:tabs>
          <w:tab w:val="left" w:pos="5670"/>
        </w:tabs>
        <w:rPr>
          <w:rFonts w:eastAsia="Calibri" w:cstheme="minorHAnsi"/>
          <w:b/>
          <w:bCs/>
        </w:rPr>
      </w:pPr>
      <w:r w:rsidRPr="00D126C8">
        <w:rPr>
          <w:rFonts w:ascii="Calibri" w:eastAsia="Calibri" w:hAnsi="Calibri" w:cs="Calibri"/>
          <w:bCs/>
        </w:rPr>
        <w:t>Ing. Helena Stoupová, jednatelka společnosti</w:t>
      </w:r>
      <w:r w:rsidR="009F1508" w:rsidRPr="00ED5EEF">
        <w:rPr>
          <w:rFonts w:eastAsia="Calibri" w:cstheme="minorHAnsi"/>
          <w:bCs/>
        </w:rPr>
        <w:tab/>
      </w:r>
      <w:r>
        <w:rPr>
          <w:rFonts w:eastAsia="Calibri" w:cstheme="minorHAnsi"/>
          <w:bCs/>
        </w:rPr>
        <w:tab/>
        <w:t xml:space="preserve">           </w:t>
      </w:r>
      <w:r w:rsidR="007F696F" w:rsidRPr="00ED5EEF">
        <w:rPr>
          <w:rFonts w:eastAsia="Calibri" w:cstheme="minorHAnsi"/>
          <w:bCs/>
        </w:rPr>
        <w:t xml:space="preserve">Ing. Štěpán </w:t>
      </w:r>
      <w:proofErr w:type="spellStart"/>
      <w:r w:rsidR="007F696F" w:rsidRPr="00ED5EEF">
        <w:rPr>
          <w:rFonts w:eastAsia="Calibri" w:cstheme="minorHAnsi"/>
          <w:bCs/>
        </w:rPr>
        <w:t>Leitner</w:t>
      </w:r>
      <w:proofErr w:type="spellEnd"/>
      <w:r w:rsidR="007F696F" w:rsidRPr="00ED5EEF">
        <w:rPr>
          <w:rFonts w:eastAsia="Calibri" w:cstheme="minorHAnsi"/>
          <w:bCs/>
        </w:rPr>
        <w:t>, jednatel společnosti</w:t>
      </w:r>
    </w:p>
    <w:sectPr w:rsidR="009F1508" w:rsidRPr="00ED5EEF" w:rsidSect="00FC0CE7">
      <w:footerReference w:type="default" r:id="rId10"/>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6ED0E" w14:textId="77777777" w:rsidR="00BC0BA8" w:rsidRDefault="00BC0BA8" w:rsidP="003E1881">
      <w:pPr>
        <w:spacing w:after="0" w:line="240" w:lineRule="auto"/>
      </w:pPr>
      <w:r>
        <w:separator/>
      </w:r>
    </w:p>
  </w:endnote>
  <w:endnote w:type="continuationSeparator" w:id="0">
    <w:p w14:paraId="16B24736" w14:textId="77777777" w:rsidR="00BC0BA8" w:rsidRDefault="00BC0BA8"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C4782F">
              <w:rPr>
                <w:b/>
                <w:bCs/>
                <w:noProof/>
                <w:sz w:val="18"/>
                <w:szCs w:val="20"/>
              </w:rPr>
              <w:t>1</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C4782F">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44668" w14:textId="77777777" w:rsidR="00BC0BA8" w:rsidRDefault="00BC0BA8" w:rsidP="003E1881">
      <w:pPr>
        <w:spacing w:after="0" w:line="240" w:lineRule="auto"/>
      </w:pPr>
      <w:r>
        <w:separator/>
      </w:r>
    </w:p>
  </w:footnote>
  <w:footnote w:type="continuationSeparator" w:id="0">
    <w:p w14:paraId="49E30234" w14:textId="77777777" w:rsidR="00BC0BA8" w:rsidRDefault="00BC0BA8"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02D8"/>
    <w:rsid w:val="000A294E"/>
    <w:rsid w:val="000C2AAB"/>
    <w:rsid w:val="000C57C1"/>
    <w:rsid w:val="000C64C8"/>
    <w:rsid w:val="000E3609"/>
    <w:rsid w:val="00110078"/>
    <w:rsid w:val="00116C4D"/>
    <w:rsid w:val="0012209B"/>
    <w:rsid w:val="00122847"/>
    <w:rsid w:val="00130014"/>
    <w:rsid w:val="001367C9"/>
    <w:rsid w:val="001615E6"/>
    <w:rsid w:val="00165788"/>
    <w:rsid w:val="00194174"/>
    <w:rsid w:val="00194AB6"/>
    <w:rsid w:val="0019561D"/>
    <w:rsid w:val="001D2680"/>
    <w:rsid w:val="001D3AF8"/>
    <w:rsid w:val="001F6575"/>
    <w:rsid w:val="002227CE"/>
    <w:rsid w:val="002270AF"/>
    <w:rsid w:val="00233AF0"/>
    <w:rsid w:val="00252F55"/>
    <w:rsid w:val="00253C83"/>
    <w:rsid w:val="00255EDC"/>
    <w:rsid w:val="002743D8"/>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91516"/>
    <w:rsid w:val="003A0CDD"/>
    <w:rsid w:val="003A1390"/>
    <w:rsid w:val="003A380E"/>
    <w:rsid w:val="003B0AC9"/>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66365"/>
    <w:rsid w:val="006733E7"/>
    <w:rsid w:val="006874CA"/>
    <w:rsid w:val="00697303"/>
    <w:rsid w:val="006A00EF"/>
    <w:rsid w:val="006A22E1"/>
    <w:rsid w:val="006A7F60"/>
    <w:rsid w:val="006E14B5"/>
    <w:rsid w:val="0070796F"/>
    <w:rsid w:val="007169A9"/>
    <w:rsid w:val="00724ED7"/>
    <w:rsid w:val="0072711C"/>
    <w:rsid w:val="00790C84"/>
    <w:rsid w:val="00796AE7"/>
    <w:rsid w:val="007B09C0"/>
    <w:rsid w:val="007C5AD1"/>
    <w:rsid w:val="007E07ED"/>
    <w:rsid w:val="007E494C"/>
    <w:rsid w:val="007F23C1"/>
    <w:rsid w:val="007F3D98"/>
    <w:rsid w:val="007F696F"/>
    <w:rsid w:val="007F6D23"/>
    <w:rsid w:val="00801FE7"/>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3359"/>
    <w:rsid w:val="008B02DF"/>
    <w:rsid w:val="008B2DA2"/>
    <w:rsid w:val="008B5649"/>
    <w:rsid w:val="008B665D"/>
    <w:rsid w:val="008B6748"/>
    <w:rsid w:val="008C218A"/>
    <w:rsid w:val="008C3D69"/>
    <w:rsid w:val="008C46D7"/>
    <w:rsid w:val="008C7596"/>
    <w:rsid w:val="008D070C"/>
    <w:rsid w:val="008E21BB"/>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E728F"/>
    <w:rsid w:val="009F1508"/>
    <w:rsid w:val="00A05424"/>
    <w:rsid w:val="00A37E69"/>
    <w:rsid w:val="00A4192D"/>
    <w:rsid w:val="00A436B9"/>
    <w:rsid w:val="00A504C9"/>
    <w:rsid w:val="00A672B5"/>
    <w:rsid w:val="00A7051C"/>
    <w:rsid w:val="00A76DBA"/>
    <w:rsid w:val="00A8336E"/>
    <w:rsid w:val="00A9728D"/>
    <w:rsid w:val="00AA7181"/>
    <w:rsid w:val="00AB5BC1"/>
    <w:rsid w:val="00AC03AB"/>
    <w:rsid w:val="00AC0453"/>
    <w:rsid w:val="00AD2610"/>
    <w:rsid w:val="00AF5E32"/>
    <w:rsid w:val="00B3665A"/>
    <w:rsid w:val="00B42C9B"/>
    <w:rsid w:val="00B45233"/>
    <w:rsid w:val="00B53FB9"/>
    <w:rsid w:val="00B63256"/>
    <w:rsid w:val="00B65C9E"/>
    <w:rsid w:val="00B8001A"/>
    <w:rsid w:val="00B81CC4"/>
    <w:rsid w:val="00B82F3D"/>
    <w:rsid w:val="00B93C40"/>
    <w:rsid w:val="00B969C9"/>
    <w:rsid w:val="00BB0989"/>
    <w:rsid w:val="00BB1A63"/>
    <w:rsid w:val="00BC0BA8"/>
    <w:rsid w:val="00BC2DC5"/>
    <w:rsid w:val="00BC7BC2"/>
    <w:rsid w:val="00BE0EAA"/>
    <w:rsid w:val="00BF7154"/>
    <w:rsid w:val="00C01B78"/>
    <w:rsid w:val="00C15445"/>
    <w:rsid w:val="00C20638"/>
    <w:rsid w:val="00C22CDD"/>
    <w:rsid w:val="00C23D9D"/>
    <w:rsid w:val="00C24C95"/>
    <w:rsid w:val="00C373AC"/>
    <w:rsid w:val="00C453DE"/>
    <w:rsid w:val="00C4782F"/>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79BD"/>
    <w:rsid w:val="00F80659"/>
    <w:rsid w:val="00F81C35"/>
    <w:rsid w:val="00F84ADD"/>
    <w:rsid w:val="00FA414B"/>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C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erlinka@cerli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93E7-6BF9-414F-B5C9-A6B8FBC5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3526</Words>
  <Characters>20809</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Helena Stoupová</cp:lastModifiedBy>
  <cp:revision>2</cp:revision>
  <cp:lastPrinted>2021-05-11T05:06:00Z</cp:lastPrinted>
  <dcterms:created xsi:type="dcterms:W3CDTF">2021-06-03T08:29:00Z</dcterms:created>
  <dcterms:modified xsi:type="dcterms:W3CDTF">2021-06-03T08:29:00Z</dcterms:modified>
</cp:coreProperties>
</file>