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EDE" w:rsidRDefault="006E1789">
      <w:pPr>
        <w:pStyle w:val="Nadpis50"/>
        <w:keepNext/>
        <w:keepLines/>
        <w:framePr w:w="4100" w:h="252" w:wrap="none" w:hAnchor="page" w:x="3973" w:y="391"/>
        <w:shd w:val="clear" w:color="auto" w:fill="auto"/>
        <w:spacing w:after="0"/>
        <w:rPr>
          <w:sz w:val="19"/>
          <w:szCs w:val="19"/>
        </w:rPr>
      </w:pPr>
      <w:bookmarkStart w:id="0" w:name="bookmark2"/>
      <w:bookmarkStart w:id="1" w:name="bookmark3"/>
      <w:r>
        <w:rPr>
          <w:sz w:val="19"/>
          <w:szCs w:val="19"/>
        </w:rPr>
        <w:t>KUPNÍ SMLOUVA O PŘEVODU NEMOVITÉ VĚCI</w:t>
      </w:r>
      <w:bookmarkEnd w:id="0"/>
      <w:bookmarkEnd w:id="1"/>
    </w:p>
    <w:p w:rsidR="001E1EDE" w:rsidRDefault="001E1EDE">
      <w:pPr>
        <w:spacing w:line="1" w:lineRule="exact"/>
      </w:pPr>
    </w:p>
    <w:p w:rsidR="00AF7BA1" w:rsidRDefault="00AF7BA1">
      <w:pPr>
        <w:spacing w:line="1" w:lineRule="exact"/>
      </w:pPr>
    </w:p>
    <w:p w:rsidR="00AF7BA1" w:rsidRDefault="00AF7BA1">
      <w:pPr>
        <w:spacing w:line="1" w:lineRule="exact"/>
        <w:sectPr w:rsidR="00AF7BA1">
          <w:headerReference w:type="even" r:id="rId7"/>
          <w:headerReference w:type="default" r:id="rId8"/>
          <w:footerReference w:type="even" r:id="rId9"/>
          <w:footerReference w:type="default" r:id="rId10"/>
          <w:pgSz w:w="11900" w:h="16840"/>
          <w:pgMar w:top="1105" w:right="584" w:bottom="1107" w:left="62" w:header="0" w:footer="3" w:gutter="0"/>
          <w:pgNumType w:start="1"/>
          <w:cols w:space="720"/>
          <w:noEndnote/>
          <w:docGrid w:linePitch="360"/>
        </w:sectPr>
      </w:pPr>
    </w:p>
    <w:p w:rsidR="001E1EDE" w:rsidRDefault="001E1EDE">
      <w:pPr>
        <w:spacing w:line="199" w:lineRule="exact"/>
        <w:rPr>
          <w:sz w:val="16"/>
          <w:szCs w:val="16"/>
        </w:rPr>
      </w:pPr>
    </w:p>
    <w:p w:rsidR="001E1EDE" w:rsidRDefault="001E1EDE">
      <w:pPr>
        <w:spacing w:line="1" w:lineRule="exact"/>
      </w:pPr>
    </w:p>
    <w:p w:rsidR="00AF7BA1" w:rsidRDefault="00AF7BA1">
      <w:pPr>
        <w:pStyle w:val="Nadpis50"/>
        <w:keepNext/>
        <w:keepLines/>
        <w:shd w:val="clear" w:color="auto" w:fill="auto"/>
        <w:spacing w:after="0"/>
      </w:pPr>
      <w:bookmarkStart w:id="2" w:name="bookmark8"/>
      <w:bookmarkStart w:id="3" w:name="bookmark9"/>
    </w:p>
    <w:p w:rsidR="00AF7BA1" w:rsidRDefault="00AF7BA1">
      <w:pPr>
        <w:pStyle w:val="Nadpis50"/>
        <w:keepNext/>
        <w:keepLines/>
        <w:shd w:val="clear" w:color="auto" w:fill="auto"/>
        <w:spacing w:after="0"/>
      </w:pPr>
    </w:p>
    <w:p w:rsidR="00AF7BA1" w:rsidRDefault="00AF7BA1">
      <w:pPr>
        <w:pStyle w:val="Nadpis50"/>
        <w:keepNext/>
        <w:keepLines/>
        <w:shd w:val="clear" w:color="auto" w:fill="auto"/>
        <w:spacing w:after="0"/>
      </w:pPr>
    </w:p>
    <w:p w:rsidR="001E1EDE" w:rsidRDefault="006E1789">
      <w:pPr>
        <w:pStyle w:val="Nadpis50"/>
        <w:keepNext/>
        <w:keepLines/>
        <w:shd w:val="clear" w:color="auto" w:fill="auto"/>
        <w:spacing w:after="0"/>
      </w:pPr>
      <w:r>
        <w:t>PKP CARGO INTERNATIONAL a.s.</w:t>
      </w:r>
      <w:bookmarkEnd w:id="2"/>
      <w:bookmarkEnd w:id="3"/>
    </w:p>
    <w:p w:rsidR="001E1EDE" w:rsidRDefault="006E1789">
      <w:pPr>
        <w:pStyle w:val="Zkladntext1"/>
        <w:shd w:val="clear" w:color="auto" w:fill="auto"/>
        <w:spacing w:after="0"/>
      </w:pPr>
      <w:r>
        <w:t>IČO: 47675977, DIČ: CZ699002915</w:t>
      </w:r>
    </w:p>
    <w:p w:rsidR="001B7F1B" w:rsidRDefault="006E1789">
      <w:pPr>
        <w:pStyle w:val="Zkladntext1"/>
        <w:shd w:val="clear" w:color="auto" w:fill="auto"/>
        <w:spacing w:after="0"/>
      </w:pPr>
      <w:r>
        <w:t xml:space="preserve">se sídlem: Betonářská 580/14, 712 00 Ostrava - </w:t>
      </w:r>
      <w:proofErr w:type="spellStart"/>
      <w:r>
        <w:t>Muglinov</w:t>
      </w:r>
      <w:proofErr w:type="spellEnd"/>
      <w:r>
        <w:t xml:space="preserve"> </w:t>
      </w:r>
    </w:p>
    <w:p w:rsidR="001E1EDE" w:rsidRDefault="001B7F1B">
      <w:pPr>
        <w:pStyle w:val="Zkladntext1"/>
        <w:shd w:val="clear" w:color="auto" w:fill="auto"/>
        <w:spacing w:after="0"/>
      </w:pPr>
      <w:r>
        <w:t>vede</w:t>
      </w:r>
      <w:r w:rsidR="006E1789">
        <w:t>ná u Krajského soudu v Ostravě, oddíl B, vložka 767</w:t>
      </w:r>
    </w:p>
    <w:p w:rsidR="001B7F1B" w:rsidRDefault="001B7F1B">
      <w:pPr>
        <w:pStyle w:val="Zkladntext1"/>
        <w:shd w:val="clear" w:color="auto" w:fill="auto"/>
        <w:spacing w:after="0"/>
        <w:ind w:left="280" w:hanging="280"/>
        <w:rPr>
          <w:b/>
          <w:bCs/>
        </w:rPr>
      </w:pPr>
      <w:r>
        <w:rPr>
          <w:b/>
          <w:bCs/>
        </w:rPr>
        <w:t>zastoup</w:t>
      </w:r>
      <w:r w:rsidR="006E1789">
        <w:rPr>
          <w:b/>
          <w:bCs/>
        </w:rPr>
        <w:t xml:space="preserve">ena Maciejem </w:t>
      </w:r>
      <w:proofErr w:type="spellStart"/>
      <w:r w:rsidR="006E1789">
        <w:rPr>
          <w:b/>
          <w:bCs/>
        </w:rPr>
        <w:t>Lucjanem</w:t>
      </w:r>
      <w:proofErr w:type="spellEnd"/>
      <w:r w:rsidR="006E1789">
        <w:rPr>
          <w:b/>
          <w:bCs/>
        </w:rPr>
        <w:t xml:space="preserve"> </w:t>
      </w:r>
      <w:proofErr w:type="spellStart"/>
      <w:r w:rsidR="006E1789">
        <w:rPr>
          <w:b/>
          <w:bCs/>
        </w:rPr>
        <w:t>Walczykem</w:t>
      </w:r>
      <w:proofErr w:type="spellEnd"/>
      <w:r w:rsidR="006E1789">
        <w:rPr>
          <w:b/>
          <w:bCs/>
        </w:rPr>
        <w:t xml:space="preserve">, předsedou představenstva </w:t>
      </w:r>
    </w:p>
    <w:p w:rsidR="001E1EDE" w:rsidRDefault="006E1789" w:rsidP="001B7F1B">
      <w:pPr>
        <w:pStyle w:val="Zkladntext1"/>
        <w:shd w:val="clear" w:color="auto" w:fill="auto"/>
        <w:spacing w:after="0"/>
        <w:ind w:left="988"/>
      </w:pPr>
      <w:r>
        <w:rPr>
          <w:b/>
          <w:bCs/>
        </w:rPr>
        <w:t>Jiřím Minkou, členem představenstva</w:t>
      </w:r>
    </w:p>
    <w:p w:rsidR="001B7F1B" w:rsidRDefault="006E1789">
      <w:pPr>
        <w:pStyle w:val="Zkladntext1"/>
        <w:shd w:val="clear" w:color="auto" w:fill="auto"/>
        <w:spacing w:after="0"/>
      </w:pPr>
      <w:r>
        <w:t xml:space="preserve">účet č.: 1000483315/3500., vedený u ING. Bank </w:t>
      </w:r>
      <w:proofErr w:type="gramStart"/>
      <w:r>
        <w:t>N.V.</w:t>
      </w:r>
      <w:proofErr w:type="gramEnd"/>
      <w:r>
        <w:t xml:space="preserve"> </w:t>
      </w:r>
    </w:p>
    <w:p w:rsidR="001E1EDE" w:rsidRDefault="006E1789">
      <w:pPr>
        <w:pStyle w:val="Zkladntext1"/>
        <w:shd w:val="clear" w:color="auto" w:fill="auto"/>
        <w:spacing w:after="0"/>
      </w:pPr>
      <w:r>
        <w:t>variabilní symbol: 75032333</w:t>
      </w:r>
    </w:p>
    <w:p w:rsidR="001E1EDE" w:rsidRDefault="006E1789">
      <w:pPr>
        <w:pStyle w:val="Zkladntext1"/>
        <w:shd w:val="clear" w:color="auto" w:fill="auto"/>
        <w:spacing w:after="0"/>
      </w:pPr>
      <w:r>
        <w:t xml:space="preserve">(dále jen </w:t>
      </w:r>
      <w:r>
        <w:rPr>
          <w:b/>
          <w:bCs/>
        </w:rPr>
        <w:t>„Prodávající")</w:t>
      </w:r>
    </w:p>
    <w:p w:rsidR="001E1EDE" w:rsidRDefault="006E1789">
      <w:pPr>
        <w:pStyle w:val="Zkladntext20"/>
        <w:shd w:val="clear" w:color="auto" w:fill="auto"/>
        <w:spacing w:after="420"/>
        <w:ind w:firstLine="280"/>
        <w:rPr>
          <w:sz w:val="26"/>
          <w:szCs w:val="26"/>
        </w:rPr>
      </w:pPr>
      <w:r>
        <w:rPr>
          <w:i/>
          <w:iCs/>
          <w:color w:val="8CB4D9"/>
          <w:sz w:val="26"/>
          <w:szCs w:val="26"/>
        </w:rPr>
        <w:t>/</w:t>
      </w:r>
    </w:p>
    <w:p w:rsidR="001E1EDE" w:rsidRDefault="006E1789">
      <w:pPr>
        <w:pStyle w:val="Nadpis50"/>
        <w:keepNext/>
        <w:keepLines/>
        <w:shd w:val="clear" w:color="auto" w:fill="auto"/>
        <w:spacing w:after="0"/>
      </w:pPr>
      <w:bookmarkStart w:id="4" w:name="bookmark10"/>
      <w:bookmarkStart w:id="5" w:name="bookmark11"/>
      <w:r>
        <w:t>Národní památkový ústav, státní příspěvková organizace</w:t>
      </w:r>
      <w:bookmarkEnd w:id="4"/>
      <w:bookmarkEnd w:id="5"/>
    </w:p>
    <w:p w:rsidR="001E1EDE" w:rsidRDefault="006E1789">
      <w:pPr>
        <w:pStyle w:val="Zkladntext1"/>
        <w:shd w:val="clear" w:color="auto" w:fill="auto"/>
        <w:spacing w:after="0"/>
      </w:pPr>
      <w:r>
        <w:t>IČO: 750 32 333, DIČ: CZ75032333</w:t>
      </w:r>
    </w:p>
    <w:p w:rsidR="001E1EDE" w:rsidRDefault="006E1789">
      <w:pPr>
        <w:pStyle w:val="Zkladntext1"/>
        <w:shd w:val="clear" w:color="auto" w:fill="auto"/>
        <w:spacing w:after="0"/>
      </w:pPr>
      <w:r>
        <w:t>se sídlem Praha 1 - Malá Strana, Valdštejnské náměstí 162/3, PSČ 118 00</w:t>
      </w:r>
    </w:p>
    <w:p w:rsidR="001E1EDE" w:rsidRDefault="006E1789">
      <w:pPr>
        <w:pStyle w:val="Zkladntext1"/>
        <w:shd w:val="clear" w:color="auto" w:fill="auto"/>
        <w:spacing w:after="0"/>
      </w:pPr>
      <w:r>
        <w:rPr>
          <w:b/>
          <w:bCs/>
        </w:rPr>
        <w:t>zastoupena Ing. Naděždou Goryczkovou, generální ředitelkou</w:t>
      </w:r>
    </w:p>
    <w:p w:rsidR="001E1EDE" w:rsidRDefault="006E1789">
      <w:pPr>
        <w:pStyle w:val="Zkladntext1"/>
        <w:shd w:val="clear" w:color="auto" w:fill="auto"/>
        <w:spacing w:after="0"/>
      </w:pPr>
      <w:r>
        <w:t>adresa pro doručování: Národní památkový ústav, Územní památková správa v Kroměříži,</w:t>
      </w:r>
    </w:p>
    <w:p w:rsidR="001E1EDE" w:rsidRDefault="006E1789">
      <w:pPr>
        <w:pStyle w:val="Zkladntext1"/>
        <w:shd w:val="clear" w:color="auto" w:fill="auto"/>
        <w:spacing w:after="0" w:line="233" w:lineRule="auto"/>
      </w:pPr>
      <w:r>
        <w:t>Sněmovní nám. 1, 767 01 Kroměříž,</w:t>
      </w:r>
    </w:p>
    <w:p w:rsidR="001E1EDE" w:rsidRDefault="006E1789">
      <w:pPr>
        <w:pStyle w:val="Zkladntext1"/>
        <w:shd w:val="clear" w:color="auto" w:fill="auto"/>
        <w:spacing w:after="420"/>
      </w:pPr>
      <w:r>
        <w:t xml:space="preserve">(dále jen </w:t>
      </w:r>
      <w:r>
        <w:rPr>
          <w:b/>
          <w:bCs/>
        </w:rPr>
        <w:t>„Kupující")</w:t>
      </w:r>
    </w:p>
    <w:p w:rsidR="001E1EDE" w:rsidRDefault="006E1789">
      <w:pPr>
        <w:pStyle w:val="Zkladntext1"/>
        <w:shd w:val="clear" w:color="auto" w:fill="auto"/>
        <w:spacing w:after="260"/>
      </w:pPr>
      <w:r>
        <w:rPr>
          <w:b/>
          <w:bCs/>
        </w:rPr>
        <w:t xml:space="preserve">Prodávající </w:t>
      </w:r>
      <w:r>
        <w:t xml:space="preserve">a </w:t>
      </w:r>
      <w:r>
        <w:rPr>
          <w:b/>
          <w:bCs/>
        </w:rPr>
        <w:t xml:space="preserve">Kupující </w:t>
      </w:r>
      <w:r>
        <w:t xml:space="preserve">dále společně též jako </w:t>
      </w:r>
      <w:r>
        <w:rPr>
          <w:b/>
          <w:bCs/>
        </w:rPr>
        <w:t>(„Smluvní strany")</w:t>
      </w:r>
    </w:p>
    <w:p w:rsidR="001E1EDE" w:rsidRDefault="006E1789">
      <w:pPr>
        <w:pStyle w:val="Zkladntext1"/>
        <w:shd w:val="clear" w:color="auto" w:fill="auto"/>
        <w:spacing w:after="640"/>
        <w:jc w:val="both"/>
      </w:pPr>
      <w:r>
        <w:t>Smluvní strany uzavřely níže uvedeného dne, měsíce a roku podle ustanovení § 2079 a násl. zákona č. 89/2012 Sb., občanský zákoník, ve znění pozdějších předpisů (dále jen „</w:t>
      </w:r>
      <w:proofErr w:type="spellStart"/>
      <w:r>
        <w:t>ObčZ</w:t>
      </w:r>
      <w:proofErr w:type="spellEnd"/>
      <w:r>
        <w:t xml:space="preserve">"), a podle § 12 a násl. zákona č. 219/2000 Sb., o majetku České republiky a jejím vystupování v právních vztazích, ve znění pozdějších předpisů (dále jen „ZMS") a souvisejících ustanovení tuto kupní smlouvu (dále jen </w:t>
      </w:r>
      <w:r>
        <w:rPr>
          <w:b/>
          <w:bCs/>
        </w:rPr>
        <w:t>„Smlouva").</w:t>
      </w:r>
    </w:p>
    <w:p w:rsidR="001E1EDE" w:rsidRDefault="006E1789">
      <w:pPr>
        <w:pStyle w:val="Nadpis50"/>
        <w:keepNext/>
        <w:keepLines/>
        <w:numPr>
          <w:ilvl w:val="0"/>
          <w:numId w:val="1"/>
        </w:numPr>
        <w:shd w:val="clear" w:color="auto" w:fill="auto"/>
        <w:tabs>
          <w:tab w:val="left" w:pos="550"/>
        </w:tabs>
        <w:spacing w:after="260"/>
      </w:pPr>
      <w:bookmarkStart w:id="6" w:name="bookmark12"/>
      <w:bookmarkStart w:id="7" w:name="bookmark13"/>
      <w:r>
        <w:t>PŘEDMĚT SMLOUVY</w:t>
      </w:r>
      <w:bookmarkEnd w:id="6"/>
      <w:bookmarkEnd w:id="7"/>
    </w:p>
    <w:p w:rsidR="001E1EDE" w:rsidRDefault="006E1789">
      <w:pPr>
        <w:pStyle w:val="Zkladntext1"/>
        <w:numPr>
          <w:ilvl w:val="1"/>
          <w:numId w:val="1"/>
        </w:numPr>
        <w:shd w:val="clear" w:color="auto" w:fill="auto"/>
        <w:tabs>
          <w:tab w:val="left" w:pos="550"/>
        </w:tabs>
        <w:spacing w:after="260"/>
      </w:pPr>
      <w:r>
        <w:t>Prodávající je vlastníkem následující nemovité věci:</w:t>
      </w:r>
    </w:p>
    <w:p w:rsidR="001E1EDE" w:rsidRDefault="006E1789">
      <w:pPr>
        <w:pStyle w:val="Zkladntext1"/>
        <w:shd w:val="clear" w:color="auto" w:fill="auto"/>
        <w:spacing w:after="260"/>
        <w:ind w:firstLine="1000"/>
      </w:pPr>
      <w:r>
        <w:t xml:space="preserve">pozemku pare. </w:t>
      </w:r>
      <w:proofErr w:type="gramStart"/>
      <w:r>
        <w:t>č.</w:t>
      </w:r>
      <w:proofErr w:type="gramEnd"/>
      <w:r>
        <w:t xml:space="preserve"> 8/1, o výměře 52 368 m</w:t>
      </w:r>
      <w:r>
        <w:rPr>
          <w:vertAlign w:val="superscript"/>
        </w:rPr>
        <w:t>2</w:t>
      </w:r>
    </w:p>
    <w:p w:rsidR="001E1EDE" w:rsidRDefault="006E1789">
      <w:pPr>
        <w:pStyle w:val="Zkladntext1"/>
        <w:shd w:val="clear" w:color="auto" w:fill="auto"/>
        <w:spacing w:after="120" w:line="233" w:lineRule="auto"/>
        <w:ind w:left="640" w:firstLine="20"/>
        <w:jc w:val="both"/>
      </w:pPr>
      <w:r>
        <w:t>nacházející se v katastrálním území Michálkovice, obec Ostrava zapsaný na listu vlastnictví č. LV 1207 vedené Katastrálním úřadem pro Moravskoslezský kraj, Katastrální pracoviště Ostrava.</w:t>
      </w:r>
    </w:p>
    <w:p w:rsidR="001E1EDE" w:rsidRDefault="006E1789">
      <w:pPr>
        <w:pStyle w:val="Zkladntext1"/>
        <w:numPr>
          <w:ilvl w:val="1"/>
          <w:numId w:val="1"/>
        </w:numPr>
        <w:shd w:val="clear" w:color="auto" w:fill="auto"/>
        <w:tabs>
          <w:tab w:val="left" w:pos="550"/>
        </w:tabs>
        <w:spacing w:after="120" w:line="233" w:lineRule="auto"/>
        <w:ind w:left="640" w:hanging="640"/>
        <w:jc w:val="both"/>
      </w:pPr>
      <w:r>
        <w:t xml:space="preserve">Geometrickým plánem č. 2131-29/2018 zpracovaný Ing. Martinem Olšarem, Čihalíkova 6/808, 715 00 Ostrava - Michálkovice byl z pozemku pare. č. 8/1, </w:t>
      </w:r>
      <w:proofErr w:type="spellStart"/>
      <w:proofErr w:type="gramStart"/>
      <w:r>
        <w:t>k.ú</w:t>
      </w:r>
      <w:proofErr w:type="spellEnd"/>
      <w:r>
        <w:t>.</w:t>
      </w:r>
      <w:proofErr w:type="gramEnd"/>
      <w:r>
        <w:t xml:space="preserve"> Michálkovice vydělen pozemek pare. č. st. 1661/2 o výměře 399 m</w:t>
      </w:r>
      <w:r>
        <w:rPr>
          <w:vertAlign w:val="superscript"/>
        </w:rPr>
        <w:t>2</w:t>
      </w:r>
      <w:r>
        <w:t xml:space="preserve"> </w:t>
      </w:r>
      <w:proofErr w:type="spellStart"/>
      <w:proofErr w:type="gramStart"/>
      <w:r>
        <w:t>k.ú</w:t>
      </w:r>
      <w:proofErr w:type="spellEnd"/>
      <w:r>
        <w:t>.</w:t>
      </w:r>
      <w:proofErr w:type="gramEnd"/>
      <w:r>
        <w:t xml:space="preserve"> Michálkovice, </w:t>
      </w:r>
      <w:proofErr w:type="gramStart"/>
      <w:r>
        <w:t>který</w:t>
      </w:r>
      <w:proofErr w:type="gramEnd"/>
      <w:r>
        <w:t xml:space="preserve"> je předmětem této kupní smlouvy (dále jen </w:t>
      </w:r>
      <w:r>
        <w:rPr>
          <w:b/>
          <w:bCs/>
        </w:rPr>
        <w:t>„Nemovitost").</w:t>
      </w:r>
    </w:p>
    <w:p w:rsidR="001E1EDE" w:rsidRDefault="006E1789">
      <w:pPr>
        <w:pStyle w:val="Zkladntext1"/>
        <w:numPr>
          <w:ilvl w:val="1"/>
          <w:numId w:val="1"/>
        </w:numPr>
        <w:shd w:val="clear" w:color="auto" w:fill="auto"/>
        <w:tabs>
          <w:tab w:val="left" w:pos="550"/>
        </w:tabs>
        <w:spacing w:after="120"/>
        <w:ind w:left="640" w:hanging="640"/>
        <w:jc w:val="both"/>
      </w:pPr>
      <w:r>
        <w:t xml:space="preserve">Prodávající tímto prodává Nemovitost uvedenou v článku 1.2 této Smlouvy a převádí do vlastnictví České republiky s příslušností hospodařit pro Kupujícího Nemovitost se všemi součástmi a příslušenstvím za podmínek stanovených v této Smlouvě a za cenu dohodnutou dle čl. 2 </w:t>
      </w:r>
      <w:proofErr w:type="gramStart"/>
      <w:r>
        <w:t>této</w:t>
      </w:r>
      <w:proofErr w:type="gramEnd"/>
      <w:r>
        <w:t xml:space="preserve"> Smlouvy, a Kupující tímto Nemovitost kupuje a nabývá do vlastnictví České republiky s příslušností hospodařit pro Kupujícího a zavazuje se za ni zaplatit Prodávajícímu kupní cenu sjednanou v čl. 2.1 této Smlouvy.</w:t>
      </w:r>
    </w:p>
    <w:p w:rsidR="001E1EDE" w:rsidRDefault="006E1789">
      <w:pPr>
        <w:pStyle w:val="Zkladntext1"/>
        <w:numPr>
          <w:ilvl w:val="1"/>
          <w:numId w:val="1"/>
        </w:numPr>
        <w:shd w:val="clear" w:color="auto" w:fill="auto"/>
        <w:tabs>
          <w:tab w:val="left" w:pos="550"/>
        </w:tabs>
        <w:spacing w:after="100"/>
        <w:ind w:left="640" w:hanging="640"/>
        <w:jc w:val="both"/>
      </w:pPr>
      <w:r>
        <w:t>Prodávající prohlašuje, že Nemovitost není ke dni podpisu této Smlouvy zatížena věcným břemenem, zástavním právem, předkupním právem nebo jinou právní povinností zatěžující Nemovitost uvedenou v bodu 1.2 a zavazuje se k tomu, že tuto Nemovitost jakkoliv nezatíží právními povinnostmi ani po uzavření této Smlouvy. Pro vyloučení všech pochybností smluvní strany berou na vědomí, že jiné nemovitosti, které nejsou předmětem prodeje dle této kupní smlouvy a které jsou zapsány na listu vlastnictví dle čl. 1.1, mohou mít na příslušném listu vlastnictví zapsána omezení.</w:t>
      </w:r>
    </w:p>
    <w:p w:rsidR="001E1EDE" w:rsidRDefault="006E1789">
      <w:pPr>
        <w:pStyle w:val="Zkladntext1"/>
        <w:numPr>
          <w:ilvl w:val="1"/>
          <w:numId w:val="1"/>
        </w:numPr>
        <w:shd w:val="clear" w:color="auto" w:fill="auto"/>
        <w:tabs>
          <w:tab w:val="left" w:pos="561"/>
        </w:tabs>
        <w:spacing w:after="100"/>
        <w:ind w:left="560" w:hanging="560"/>
        <w:jc w:val="both"/>
      </w:pPr>
      <w:r>
        <w:t xml:space="preserve">Prodávající dále prohlašuje a Kupující bere na vědomí a prohlašuje, že si je vědom toho, že na Nemovitosti mohou váznout omezení, která nejsou zapsána na příslušném listu vlastnictví k Nemovitosti, a to zejména </w:t>
      </w:r>
      <w:r>
        <w:lastRenderedPageBreak/>
        <w:t>(ne však výlučně) omezení správců sítí, které jsou zjistitelné z veřejně dostupných zdrojů, kdy tyto případné sítě jsou zjistitelné na elektronických portálech jednotlivých správců sítí. Kupující prohlašuje a svým podpisem stvrzuje, že si před podpisem této smlouvy zjistil z veřejně dostupných zdrojů tato případná omezení Nemovitosti.</w:t>
      </w:r>
    </w:p>
    <w:p w:rsidR="001E1EDE" w:rsidRDefault="006E1789">
      <w:pPr>
        <w:pStyle w:val="Zkladntext1"/>
        <w:numPr>
          <w:ilvl w:val="1"/>
          <w:numId w:val="1"/>
        </w:numPr>
        <w:shd w:val="clear" w:color="auto" w:fill="auto"/>
        <w:tabs>
          <w:tab w:val="left" w:pos="561"/>
        </w:tabs>
        <w:spacing w:after="100"/>
        <w:ind w:left="560" w:hanging="560"/>
        <w:jc w:val="both"/>
      </w:pPr>
      <w:r>
        <w:t>Prodávající upozorňuje Kupujícího, že Nemovitost se nachází v území s důlními vlivy poddolování a s možným nahodilým výstupem důlních plynů a nenese odpovědnost za případné škody těmito vlivy způsobené.</w:t>
      </w:r>
    </w:p>
    <w:p w:rsidR="001E1EDE" w:rsidRDefault="006E1789">
      <w:pPr>
        <w:pStyle w:val="Zkladntext1"/>
        <w:numPr>
          <w:ilvl w:val="1"/>
          <w:numId w:val="1"/>
        </w:numPr>
        <w:shd w:val="clear" w:color="auto" w:fill="auto"/>
        <w:tabs>
          <w:tab w:val="left" w:pos="561"/>
        </w:tabs>
        <w:spacing w:after="100"/>
        <w:ind w:left="560" w:hanging="560"/>
        <w:jc w:val="both"/>
      </w:pPr>
      <w:r>
        <w:t>Prodávající výslovně prohlašuje, že Nemovitost ani její jakákoliv část není předmětem nedořešených restitučních nároků.</w:t>
      </w:r>
    </w:p>
    <w:p w:rsidR="001E1EDE" w:rsidRDefault="006E1789">
      <w:pPr>
        <w:pStyle w:val="Zkladntext1"/>
        <w:numPr>
          <w:ilvl w:val="1"/>
          <w:numId w:val="1"/>
        </w:numPr>
        <w:shd w:val="clear" w:color="auto" w:fill="auto"/>
        <w:tabs>
          <w:tab w:val="left" w:pos="561"/>
        </w:tabs>
        <w:spacing w:after="100"/>
        <w:ind w:left="560" w:hanging="560"/>
        <w:jc w:val="both"/>
      </w:pPr>
      <w:r>
        <w:t>Prodávající výslovně prohlašuje, že Nemovitost ani její jakákoliv část není ke dni podpisu této smlouvy předmětem konkurzního nebo jiného obdobného řízení ani řízení o výkonu soudního nebo správního rozhodnutí, a že Nemovitost nebo jakákoliv část nebyla vložena do základního kapitálu žádné obchodní společnosti či družstva.</w:t>
      </w:r>
    </w:p>
    <w:p w:rsidR="001E1EDE" w:rsidRDefault="006E1789">
      <w:pPr>
        <w:pStyle w:val="Zkladntext1"/>
        <w:numPr>
          <w:ilvl w:val="1"/>
          <w:numId w:val="1"/>
        </w:numPr>
        <w:shd w:val="clear" w:color="auto" w:fill="auto"/>
        <w:tabs>
          <w:tab w:val="left" w:pos="561"/>
        </w:tabs>
        <w:spacing w:after="100"/>
        <w:ind w:left="560" w:hanging="560"/>
        <w:jc w:val="both"/>
      </w:pPr>
      <w:r>
        <w:t>Prodávající dále prohlašuje, že řádně platil daň z nemovitostí a náklady spojené s vlastnictvím převáděných nemovitých věcí, takže s jejich placením není v prodlení a že k Nemovitosti tak nevzniklo zákonné zástavní právo dle příslušných právních předpisů, v důsledku daňového nedoplatku.</w:t>
      </w:r>
    </w:p>
    <w:p w:rsidR="001E1EDE" w:rsidRDefault="006E1789">
      <w:pPr>
        <w:pStyle w:val="Zkladntext1"/>
        <w:numPr>
          <w:ilvl w:val="1"/>
          <w:numId w:val="1"/>
        </w:numPr>
        <w:shd w:val="clear" w:color="auto" w:fill="auto"/>
        <w:tabs>
          <w:tab w:val="left" w:pos="561"/>
        </w:tabs>
        <w:spacing w:after="100" w:line="233" w:lineRule="auto"/>
        <w:ind w:left="560" w:hanging="560"/>
        <w:jc w:val="both"/>
      </w:pPr>
      <w:r>
        <w:t>Prodávající prohlašuje, že Nemovitost je právně i fakticky volná a žádná fyzická ani právnická osoba k ní nemá právo umožňující jejich užívání.</w:t>
      </w:r>
    </w:p>
    <w:p w:rsidR="001E1EDE" w:rsidRDefault="006E1789">
      <w:pPr>
        <w:pStyle w:val="Zkladntext1"/>
        <w:numPr>
          <w:ilvl w:val="1"/>
          <w:numId w:val="1"/>
        </w:numPr>
        <w:shd w:val="clear" w:color="auto" w:fill="auto"/>
        <w:tabs>
          <w:tab w:val="left" w:pos="561"/>
        </w:tabs>
        <w:spacing w:after="100"/>
        <w:ind w:left="560" w:hanging="560"/>
        <w:jc w:val="both"/>
      </w:pPr>
      <w:r>
        <w:t>Prodávající tímto, bez jakýchkoli omezení, prohlašuje a zaručuje dále zejména, že po uzavření této smlouvy neuzavře s jakoukoliv třetí osobou žádnou jinou smlouvu týkající se Nemovitosti, ani ji žádným způsobem nezatíží nebo nevloží do obchodní společnosti. Prodávající tedy odpovídá za to, že se nezmění právní stav Nemovitosti platný ke dni uzavření této Smlouvy do dne povolení vkladu vlastnického práva k Nemovitosti katastrálním úřadem ve prospěch Kupujícího.</w:t>
      </w:r>
    </w:p>
    <w:p w:rsidR="001E1EDE" w:rsidRDefault="006E1789">
      <w:pPr>
        <w:pStyle w:val="Zkladntext1"/>
        <w:numPr>
          <w:ilvl w:val="1"/>
          <w:numId w:val="1"/>
        </w:numPr>
        <w:shd w:val="clear" w:color="auto" w:fill="auto"/>
        <w:tabs>
          <w:tab w:val="left" w:pos="561"/>
        </w:tabs>
        <w:spacing w:after="100" w:line="233" w:lineRule="auto"/>
        <w:ind w:left="560" w:hanging="560"/>
        <w:jc w:val="both"/>
      </w:pPr>
      <w:r>
        <w:t>Kupující prohlašuje, že se podrobně seznámil s Nemovitostí a jejím stavem a že ji v tomto stavu přejímá do výlučného vlastnictví České republiky a příslušnosti hospodařit pro Kupujícího.</w:t>
      </w:r>
    </w:p>
    <w:p w:rsidR="001E1EDE" w:rsidRDefault="006E1789">
      <w:pPr>
        <w:pStyle w:val="Zkladntext1"/>
        <w:numPr>
          <w:ilvl w:val="1"/>
          <w:numId w:val="1"/>
        </w:numPr>
        <w:shd w:val="clear" w:color="auto" w:fill="auto"/>
        <w:tabs>
          <w:tab w:val="left" w:pos="561"/>
        </w:tabs>
        <w:spacing w:after="620"/>
      </w:pPr>
      <w:r>
        <w:t>Kupující prohlašuje, že Nemovitost potřebuje pro zabezpečení výkonu své působnosti.</w:t>
      </w:r>
    </w:p>
    <w:p w:rsidR="001E1EDE" w:rsidRDefault="006E1789">
      <w:pPr>
        <w:pStyle w:val="Nadpis50"/>
        <w:keepNext/>
        <w:keepLines/>
        <w:numPr>
          <w:ilvl w:val="0"/>
          <w:numId w:val="1"/>
        </w:numPr>
        <w:shd w:val="clear" w:color="auto" w:fill="auto"/>
        <w:tabs>
          <w:tab w:val="left" w:pos="561"/>
        </w:tabs>
        <w:spacing w:after="260"/>
      </w:pPr>
      <w:bookmarkStart w:id="8" w:name="bookmark14"/>
      <w:bookmarkStart w:id="9" w:name="bookmark15"/>
      <w:r>
        <w:t>KUPNÍ CENA A JEJÍ ÚHRADA</w:t>
      </w:r>
      <w:bookmarkEnd w:id="8"/>
      <w:bookmarkEnd w:id="9"/>
    </w:p>
    <w:p w:rsidR="001E1EDE" w:rsidRDefault="006E1789">
      <w:pPr>
        <w:pStyle w:val="Zkladntext1"/>
        <w:numPr>
          <w:ilvl w:val="1"/>
          <w:numId w:val="1"/>
        </w:numPr>
        <w:shd w:val="clear" w:color="auto" w:fill="auto"/>
        <w:tabs>
          <w:tab w:val="left" w:pos="561"/>
        </w:tabs>
        <w:ind w:left="560" w:hanging="560"/>
        <w:jc w:val="both"/>
      </w:pPr>
      <w:r>
        <w:t xml:space="preserve">Prodávající a Kupující se dohodli na kupní ceně za Nemovitost stanovenou jako cenu dle cenového předpisu znaleckým posudkem č. 473/23/2020 ze dne </w:t>
      </w:r>
      <w:proofErr w:type="gramStart"/>
      <w:r>
        <w:t>23.10.2020</w:t>
      </w:r>
      <w:proofErr w:type="gramEnd"/>
      <w:r>
        <w:t xml:space="preserve"> vypracovaný znalcem Ing. Naděždou </w:t>
      </w:r>
      <w:proofErr w:type="spellStart"/>
      <w:r>
        <w:t>Múllerovou</w:t>
      </w:r>
      <w:proofErr w:type="spellEnd"/>
      <w:r>
        <w:t xml:space="preserve"> ve výši </w:t>
      </w:r>
      <w:r>
        <w:rPr>
          <w:b/>
          <w:bCs/>
        </w:rPr>
        <w:t xml:space="preserve">74 520,- Kč </w:t>
      </w:r>
      <w:r>
        <w:t xml:space="preserve">(slovy: sedmdesát čtyři tisíce pět set dvacet korun českých) bez DPH (dále jen </w:t>
      </w:r>
      <w:r>
        <w:rPr>
          <w:b/>
          <w:bCs/>
        </w:rPr>
        <w:t>„Kupní cena").</w:t>
      </w:r>
    </w:p>
    <w:p w:rsidR="001E1EDE" w:rsidRDefault="006E1789">
      <w:pPr>
        <w:pStyle w:val="Zkladntext1"/>
        <w:numPr>
          <w:ilvl w:val="1"/>
          <w:numId w:val="1"/>
        </w:numPr>
        <w:shd w:val="clear" w:color="auto" w:fill="auto"/>
        <w:tabs>
          <w:tab w:val="left" w:pos="561"/>
        </w:tabs>
        <w:spacing w:after="0"/>
        <w:ind w:left="560" w:hanging="560"/>
        <w:jc w:val="both"/>
      </w:pPr>
      <w:r>
        <w:t>Smluvní strany se dohodly, že celá Kupní cena bude Kupujícím uhrazena na účet Prodávajícího uvedený v záhlaví této Smlouvy nejpozději do 30-ti dnů od nabytí platnosti a účinnosti této Smlouvy (viz čl. 4.1 a</w:t>
      </w:r>
    </w:p>
    <w:p w:rsidR="001E1EDE" w:rsidRDefault="006E1789">
      <w:pPr>
        <w:pStyle w:val="Zkladntext1"/>
        <w:numPr>
          <w:ilvl w:val="0"/>
          <w:numId w:val="2"/>
        </w:numPr>
        <w:shd w:val="clear" w:color="auto" w:fill="auto"/>
        <w:tabs>
          <w:tab w:val="left" w:pos="934"/>
          <w:tab w:val="left" w:pos="1114"/>
        </w:tabs>
        <w:ind w:left="560" w:firstLine="20"/>
        <w:jc w:val="both"/>
      </w:pPr>
      <w:r>
        <w:t>Smlouvy). Smluvní strany se dohodly, že za den úhrady kupní ceny považují den připsání sjednané kupní ceny na účet Prodávajícího.</w:t>
      </w:r>
    </w:p>
    <w:p w:rsidR="001E1EDE" w:rsidRDefault="006E1789">
      <w:pPr>
        <w:pStyle w:val="Zkladntext1"/>
        <w:numPr>
          <w:ilvl w:val="1"/>
          <w:numId w:val="2"/>
        </w:numPr>
        <w:shd w:val="clear" w:color="auto" w:fill="auto"/>
        <w:tabs>
          <w:tab w:val="left" w:pos="561"/>
        </w:tabs>
        <w:spacing w:line="233" w:lineRule="auto"/>
        <w:ind w:left="560" w:hanging="560"/>
        <w:jc w:val="both"/>
      </w:pPr>
      <w:r>
        <w:t xml:space="preserve">Prodej Nemovitosti je dle </w:t>
      </w:r>
      <w:proofErr w:type="spellStart"/>
      <w:r>
        <w:t>ust</w:t>
      </w:r>
      <w:proofErr w:type="spellEnd"/>
      <w:r>
        <w:t>. § 56 odst. 3 až 5 Zákona č. 235/2004 Sb., o dani z přidané hodnoty, ve znění pozdějších právních předpisů, osvobozen od DPH.</w:t>
      </w:r>
    </w:p>
    <w:p w:rsidR="001E1EDE" w:rsidRDefault="006E1789">
      <w:pPr>
        <w:pStyle w:val="Zkladntext1"/>
        <w:numPr>
          <w:ilvl w:val="1"/>
          <w:numId w:val="2"/>
        </w:numPr>
        <w:shd w:val="clear" w:color="auto" w:fill="auto"/>
        <w:tabs>
          <w:tab w:val="left" w:pos="561"/>
        </w:tabs>
        <w:spacing w:after="100"/>
        <w:ind w:left="560" w:hanging="560"/>
        <w:jc w:val="both"/>
      </w:pPr>
      <w:r>
        <w:t>Neuhradí-li Kupující celou Kupní cenu v dohodnuté lhůtě, je Prodávající oprávněn od této Smlouvy odstoupit, a to písemným prohlášením, které bude zasláno Kupujícímu doporučeným dopisem a je účinné doručením tohoto písemného prohlášení Kupujícímu.</w:t>
      </w:r>
    </w:p>
    <w:p w:rsidR="00AF7BA1" w:rsidRDefault="00AF7BA1" w:rsidP="00AF7BA1">
      <w:pPr>
        <w:pStyle w:val="Zkladntext1"/>
        <w:numPr>
          <w:ilvl w:val="0"/>
          <w:numId w:val="2"/>
        </w:numPr>
        <w:shd w:val="clear" w:color="auto" w:fill="auto"/>
        <w:tabs>
          <w:tab w:val="left" w:pos="561"/>
        </w:tabs>
        <w:spacing w:after="100"/>
        <w:ind w:left="560" w:hanging="560"/>
        <w:jc w:val="both"/>
        <w:sectPr w:rsidR="00AF7BA1">
          <w:type w:val="continuous"/>
          <w:pgSz w:w="11900" w:h="16840"/>
          <w:pgMar w:top="1451" w:right="1240" w:bottom="1460" w:left="1472" w:header="0" w:footer="3" w:gutter="0"/>
          <w:cols w:space="720"/>
          <w:noEndnote/>
          <w:docGrid w:linePitch="360"/>
        </w:sectPr>
      </w:pPr>
    </w:p>
    <w:p w:rsidR="001E1EDE" w:rsidRDefault="006E1789" w:rsidP="002D3DC0">
      <w:pPr>
        <w:pStyle w:val="Nadpis50"/>
        <w:keepNext/>
        <w:keepLines/>
        <w:numPr>
          <w:ilvl w:val="0"/>
          <w:numId w:val="1"/>
        </w:numPr>
        <w:shd w:val="clear" w:color="auto" w:fill="auto"/>
        <w:tabs>
          <w:tab w:val="left" w:pos="562"/>
        </w:tabs>
        <w:spacing w:after="260"/>
        <w:ind w:left="1418"/>
        <w:jc w:val="both"/>
      </w:pPr>
      <w:bookmarkStart w:id="10" w:name="bookmark16"/>
      <w:bookmarkStart w:id="11" w:name="bookmark17"/>
      <w:r>
        <w:lastRenderedPageBreak/>
        <w:t>NABYTÍ VLASTNICKÉHO PRÁVA A PŘEDÁNÍ NEMOVITOSTI</w:t>
      </w:r>
      <w:bookmarkEnd w:id="10"/>
      <w:bookmarkEnd w:id="11"/>
    </w:p>
    <w:p w:rsidR="001E1EDE" w:rsidRDefault="006E1789" w:rsidP="002D3DC0">
      <w:pPr>
        <w:pStyle w:val="Zkladntext1"/>
        <w:numPr>
          <w:ilvl w:val="1"/>
          <w:numId w:val="1"/>
        </w:numPr>
        <w:shd w:val="clear" w:color="auto" w:fill="auto"/>
        <w:ind w:left="1985" w:right="1268" w:hanging="580"/>
        <w:jc w:val="both"/>
      </w:pPr>
      <w:r>
        <w:t>Návrh na vklad vlastnického práva do katastru nemovitostí ohledně Nemovitosti podá na příslušné katastrální pracoviště Kupující, k čemuž ho Prodávající tímto výslovně zmocňuje, a to bez zbytečného odkladu po obdržení této Smlouvy schválené zřizovatelem Kupujícího. Správní poplatek spojený s podáním návrhu na vklad vlastnického práva hradí Kupující. Převod je osvobozen od daně z nabytí nemovitých věcí.</w:t>
      </w:r>
    </w:p>
    <w:p w:rsidR="001E1EDE" w:rsidRDefault="006E1789" w:rsidP="002D3DC0">
      <w:pPr>
        <w:pStyle w:val="Zkladntext1"/>
        <w:numPr>
          <w:ilvl w:val="1"/>
          <w:numId w:val="1"/>
        </w:numPr>
        <w:shd w:val="clear" w:color="auto" w:fill="auto"/>
        <w:ind w:left="1985" w:right="1268" w:hanging="580"/>
        <w:jc w:val="both"/>
      </w:pPr>
      <w:r>
        <w:lastRenderedPageBreak/>
        <w:t>Věcně právní účinky vkladu vlastnického práva nastávají na základě rozhodnutí Katastrálního úřadu pro Moravskoslezský kraj, Katastrální pracoviště Ostrava, o povolení vkladu vlastnického práva ve prospěch Kupujícího, a to k okamžiku, kdy návrh na vklad došel příslušnému katastrálnímu úřadu.</w:t>
      </w:r>
    </w:p>
    <w:p w:rsidR="001E1EDE" w:rsidRDefault="006E1789" w:rsidP="002D3DC0">
      <w:pPr>
        <w:pStyle w:val="Zkladntext1"/>
        <w:numPr>
          <w:ilvl w:val="1"/>
          <w:numId w:val="1"/>
        </w:numPr>
        <w:shd w:val="clear" w:color="auto" w:fill="auto"/>
        <w:ind w:left="1985" w:right="1268" w:hanging="580"/>
        <w:jc w:val="both"/>
      </w:pPr>
      <w:r>
        <w:t>V případě, že příslušný katastrální úřad vydá usnesení o přerušení řízení, popř. doručí Smluvním stranám výzvu k odstranění nedostatků návrhu, jsou Smluvní strany povinny poskytnout si vzájemnou součinnost pro odstranění těchto nedostatků a tyto bezodkladně odstraní tak, aby návrh na vklad příslušného práva byl povolen.</w:t>
      </w:r>
    </w:p>
    <w:p w:rsidR="001E1EDE" w:rsidRDefault="006E1789" w:rsidP="002D3DC0">
      <w:pPr>
        <w:pStyle w:val="Zkladntext1"/>
        <w:numPr>
          <w:ilvl w:val="1"/>
          <w:numId w:val="1"/>
        </w:numPr>
        <w:shd w:val="clear" w:color="auto" w:fill="auto"/>
        <w:ind w:left="1985" w:right="1268" w:hanging="580"/>
        <w:jc w:val="both"/>
      </w:pPr>
      <w:r>
        <w:t>V případě, že příslušný katastrální úřad vydá rozhodnutí, kterým zamítne návrh na vklad vlastnického práva k Nemovitosti pro Kupující do katastru nemovitostí, jsou Smluvní strany povinny se bez zbytečného odkladu sejít a jednat v dobré víře o tom, zda bylo zamítnutí návrhu na vklad důvodné, anebo zda lze dosáhnout změny tohoto rozhodnutí cestou opravného prostředku k soudu a popřípadě, zda je nutno učinit jiné kroky k odstranění překážky pro povolení vkladu.</w:t>
      </w:r>
    </w:p>
    <w:p w:rsidR="001E1EDE" w:rsidRDefault="006E1789" w:rsidP="002D3DC0">
      <w:pPr>
        <w:pStyle w:val="Zkladntext1"/>
        <w:numPr>
          <w:ilvl w:val="1"/>
          <w:numId w:val="1"/>
        </w:numPr>
        <w:shd w:val="clear" w:color="auto" w:fill="auto"/>
        <w:ind w:left="1985" w:right="1268" w:hanging="580"/>
        <w:jc w:val="both"/>
      </w:pPr>
      <w:r>
        <w:t>V případě, že byl návrh na vklad katastrálním úřadem pravomocně zamítnut, případně řízení bylo pravomocně zastaveno, zavazují se Smluvní strany poskytnout si vzájemnou součinnost a uzavřít novou Smlouvu za stejných podmínek za jakých se uzavírá tato Smlouva, napravit všechny odstranitelné překážky a bezodkladně podat nový návrh na vklad.</w:t>
      </w:r>
    </w:p>
    <w:p w:rsidR="001E1EDE" w:rsidRDefault="006E1789" w:rsidP="002D3DC0">
      <w:pPr>
        <w:pStyle w:val="Zkladntext1"/>
        <w:numPr>
          <w:ilvl w:val="1"/>
          <w:numId w:val="1"/>
        </w:numPr>
        <w:shd w:val="clear" w:color="auto" w:fill="auto"/>
        <w:ind w:left="1985" w:right="1268" w:hanging="580"/>
        <w:jc w:val="both"/>
      </w:pPr>
      <w:r>
        <w:t>V případě, že návrh na vklad práva byl katastrálním úřadem pravomocně zamítnut a uzavření nové smlouvy bude bránit neodstranitelná překážka, je Kupující oprávněn od této Smlouvy jednostranně odstoupit a Prodávající je povinen do 30 pracovních dnů od doručení písemné výzvy Kupujícího vrátit Kupujícímu Kupní cenu v plné výši.</w:t>
      </w:r>
    </w:p>
    <w:p w:rsidR="001E1EDE" w:rsidRDefault="006E1789" w:rsidP="002D3DC0">
      <w:pPr>
        <w:pStyle w:val="Zkladntext1"/>
        <w:numPr>
          <w:ilvl w:val="1"/>
          <w:numId w:val="1"/>
        </w:numPr>
        <w:shd w:val="clear" w:color="auto" w:fill="auto"/>
        <w:ind w:left="1985" w:right="1268" w:hanging="580"/>
        <w:jc w:val="both"/>
      </w:pPr>
      <w:r>
        <w:t>Prodávající se zavazuje předat Kupujícímu Nemovitost převáděnou touto Smlouvou a označenou v článku I. této Smlouvy, a to do 30 dnů od provedení zápisu vkladu vlastnického práva Kupujícího do katastru nemovitostí a zaplacení kupní ceny na účet Prodávajícího dle této Smlouvy.</w:t>
      </w:r>
    </w:p>
    <w:p w:rsidR="001E1EDE" w:rsidRDefault="006E1789" w:rsidP="002D3DC0">
      <w:pPr>
        <w:pStyle w:val="Zkladntext1"/>
        <w:numPr>
          <w:ilvl w:val="1"/>
          <w:numId w:val="1"/>
        </w:numPr>
        <w:shd w:val="clear" w:color="auto" w:fill="auto"/>
        <w:ind w:left="1985" w:right="1268" w:hanging="580"/>
        <w:jc w:val="both"/>
      </w:pPr>
      <w:r>
        <w:t>Do okamžiku převzetí Nemovitosti Kupujícím, jak je podrobněji sjednáno v předchozím odstavci tohoto článku, je Prodávající objektivně odpovědný za veškeré škody, které by vznikly na Nemovitosti nebo by byly způsobeny třetím osobám v souvislosti s výkonem vlastnických práv prodávajícího k Nemovitosti a za nahodilé zhoršení jejího stavu.</w:t>
      </w:r>
    </w:p>
    <w:p w:rsidR="001E1EDE" w:rsidRDefault="006E1789" w:rsidP="002D3DC0">
      <w:pPr>
        <w:pStyle w:val="Zkladntext1"/>
        <w:numPr>
          <w:ilvl w:val="1"/>
          <w:numId w:val="1"/>
        </w:numPr>
        <w:shd w:val="clear" w:color="auto" w:fill="auto"/>
        <w:spacing w:after="640" w:line="230" w:lineRule="auto"/>
        <w:ind w:left="1985" w:right="1268" w:hanging="580"/>
        <w:jc w:val="both"/>
      </w:pPr>
      <w:r>
        <w:t>O předání a převzetí převáděné Nemovitosti podle předchozích odstavců tohoto článku sepíší smluvní strany zápis (předávací protokol).</w:t>
      </w:r>
    </w:p>
    <w:p w:rsidR="001E1EDE" w:rsidRDefault="006E1789" w:rsidP="002D3DC0">
      <w:pPr>
        <w:pStyle w:val="Nadpis50"/>
        <w:keepNext/>
        <w:keepLines/>
        <w:numPr>
          <w:ilvl w:val="0"/>
          <w:numId w:val="1"/>
        </w:numPr>
        <w:shd w:val="clear" w:color="auto" w:fill="auto"/>
        <w:spacing w:after="260"/>
        <w:ind w:left="1985" w:right="1268"/>
      </w:pPr>
      <w:bookmarkStart w:id="12" w:name="bookmark18"/>
      <w:bookmarkStart w:id="13" w:name="bookmark19"/>
      <w:r>
        <w:t>ZÁVĚREČNÁ USTANOVENÍ</w:t>
      </w:r>
      <w:bookmarkEnd w:id="12"/>
      <w:bookmarkEnd w:id="13"/>
    </w:p>
    <w:p w:rsidR="001E1EDE" w:rsidRDefault="006E1789" w:rsidP="002D3DC0">
      <w:pPr>
        <w:pStyle w:val="Zkladntext1"/>
        <w:numPr>
          <w:ilvl w:val="1"/>
          <w:numId w:val="1"/>
        </w:numPr>
        <w:shd w:val="clear" w:color="auto" w:fill="auto"/>
        <w:ind w:left="1985" w:right="1268" w:hanging="580"/>
        <w:jc w:val="both"/>
      </w:pPr>
      <w:r>
        <w:t xml:space="preserve">Tato Smlouva vyžaduje ke své platnosti podle § 12 odst. 6 zákona č. 219/2000 Sb., o majetku České republiky a jejím vystupování v právních vztazích, ve znění pozdějších předpisů, schválení Ministerstva kultury jakožto zřizovatele Kupujícího. Tato Smlouva je ve smyslu </w:t>
      </w:r>
      <w:proofErr w:type="spellStart"/>
      <w:r>
        <w:t>ust</w:t>
      </w:r>
      <w:proofErr w:type="spellEnd"/>
      <w:r>
        <w:t xml:space="preserve">. § 1770 občanského zákoníku ve spojení s </w:t>
      </w:r>
      <w:proofErr w:type="spellStart"/>
      <w:r>
        <w:t>ust</w:t>
      </w:r>
      <w:proofErr w:type="spellEnd"/>
      <w:r>
        <w:t>. § 44 odst. 4 zákona o č. 219/2000 Sb., o majetku České republiky a jejím vystupování v právních vztazích, ve znění pozdějších předpisů, platně uzavřena dnem schválení Ministerstvem kultury.</w:t>
      </w:r>
    </w:p>
    <w:p w:rsidR="001E1EDE" w:rsidRDefault="006E1789" w:rsidP="002D3DC0">
      <w:pPr>
        <w:pStyle w:val="Zkladntext1"/>
        <w:numPr>
          <w:ilvl w:val="1"/>
          <w:numId w:val="1"/>
        </w:numPr>
        <w:shd w:val="clear" w:color="auto" w:fill="auto"/>
        <w:spacing w:after="0"/>
        <w:ind w:left="1985" w:right="1268" w:hanging="567"/>
        <w:jc w:val="both"/>
      </w:pPr>
      <w:r>
        <w:t xml:space="preserve">Tato Smlouva podléhá povinnosti uveřejnění v registru smluv. Tato Smlouva nabývá účinnosti dnem zveřejnění v registru smluv dle zákona č. 340/2015 Sb., o zvláštních podmínkách účinnosti některých smluv, uveřejňování těchto smluv a o registru smluv (zákon o registru smluv), ve znění </w:t>
      </w:r>
      <w:proofErr w:type="spellStart"/>
      <w:r>
        <w:t>pozdějšíchpředpisů</w:t>
      </w:r>
      <w:proofErr w:type="spellEnd"/>
      <w:r>
        <w:t xml:space="preserve">. Smluvní strany se zveřejněním Smlouvy včetně </w:t>
      </w:r>
      <w:proofErr w:type="spellStart"/>
      <w:r>
        <w:t>metadat</w:t>
      </w:r>
      <w:proofErr w:type="spellEnd"/>
      <w:r>
        <w:t xml:space="preserve"> souhlasí, přičemž ujednaly, že zveřejnění zajistí Kupující.</w:t>
      </w:r>
    </w:p>
    <w:p w:rsidR="001B7F1B" w:rsidRDefault="001B7F1B" w:rsidP="002D3DC0">
      <w:pPr>
        <w:pStyle w:val="Zkladntext1"/>
        <w:shd w:val="clear" w:color="auto" w:fill="auto"/>
        <w:spacing w:after="0"/>
        <w:ind w:left="1985" w:right="1268"/>
        <w:jc w:val="both"/>
      </w:pPr>
    </w:p>
    <w:p w:rsidR="001E1EDE" w:rsidRDefault="006E1789" w:rsidP="002D3DC0">
      <w:pPr>
        <w:pStyle w:val="Zkladntext1"/>
        <w:numPr>
          <w:ilvl w:val="1"/>
          <w:numId w:val="1"/>
        </w:numPr>
        <w:shd w:val="clear" w:color="auto" w:fill="auto"/>
        <w:spacing w:after="0"/>
        <w:ind w:left="1985" w:right="1268" w:hanging="580"/>
        <w:jc w:val="both"/>
      </w:pPr>
      <w:r>
        <w:t>Veškeré změny a doplnění této Smlouvy lze provádět pouze na základě písemných dodatků či oboustranných prohlášení Smluvních stran k této Smlouvě odsouhlasených a podepsaných oběma Smluvními stranami.</w:t>
      </w:r>
    </w:p>
    <w:p w:rsidR="001E1EDE" w:rsidRDefault="006E1789" w:rsidP="002D3DC0">
      <w:pPr>
        <w:pStyle w:val="Zkladntext1"/>
        <w:numPr>
          <w:ilvl w:val="1"/>
          <w:numId w:val="1"/>
        </w:numPr>
        <w:shd w:val="clear" w:color="auto" w:fill="auto"/>
        <w:ind w:left="1985" w:right="1268" w:hanging="580"/>
        <w:jc w:val="both"/>
      </w:pPr>
      <w:r>
        <w:t xml:space="preserve">V případě, že se jakékoli ustanovení stane zcela či z části neplatným,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w:t>
      </w:r>
      <w:r>
        <w:lastRenderedPageBreak/>
        <w:t>takovém případě Smluvní strany nahradí do třiceti dnů od výzvy kterékoliv ze Smluvních stran takovéto neplatné, neúčinné nebo nevymahatelné ustanovení ustanovením, které bude nejlépe splňovat smysl takového neplatného, neúčinného nebo nevymahatelného ustanovení.</w:t>
      </w:r>
    </w:p>
    <w:p w:rsidR="001E1EDE" w:rsidRDefault="006E1789" w:rsidP="002D3DC0">
      <w:pPr>
        <w:pStyle w:val="Zkladntext1"/>
        <w:numPr>
          <w:ilvl w:val="1"/>
          <w:numId w:val="1"/>
        </w:numPr>
        <w:shd w:val="clear" w:color="auto" w:fill="auto"/>
        <w:ind w:left="1985" w:right="1268" w:hanging="580"/>
        <w:jc w:val="both"/>
      </w:pPr>
      <w:r>
        <w:t xml:space="preserve">Tato Smlouva byla vyhotovena a podepsána v šesti vyhotoveních, přičemž každá Smluvní strana obdrží po </w:t>
      </w:r>
      <w:proofErr w:type="gramStart"/>
      <w:r>
        <w:t>dvou</w:t>
      </w:r>
      <w:proofErr w:type="gramEnd"/>
      <w:r>
        <w:t xml:space="preserve"> vyhotovení této Smlouvy, jedno vyhotovení obdrží zřizovatel Kupujícího a zbývající jedno vyhotovení je určeno pro potřeby řízení o povolení vkladu vlastnického práva do katastru nemovitostí, vedeného u Katastrálního úřadu pro Moravskoslezský kraj, Katastrální pracoviště Ostrava.</w:t>
      </w:r>
    </w:p>
    <w:p w:rsidR="001E1EDE" w:rsidRDefault="006E1789" w:rsidP="002D3DC0">
      <w:pPr>
        <w:pStyle w:val="Zkladntext1"/>
        <w:numPr>
          <w:ilvl w:val="1"/>
          <w:numId w:val="1"/>
        </w:numPr>
        <w:shd w:val="clear" w:color="auto" w:fill="auto"/>
        <w:ind w:left="1985" w:right="1268" w:hanging="580"/>
        <w:jc w:val="both"/>
      </w:pPr>
      <w:r>
        <w:t xml:space="preserve">Informace k ochraně osobních údajů jsou ze strany Kupujícího uveřejněny na jeho webových stránkách </w:t>
      </w:r>
      <w:hyperlink r:id="rId11" w:history="1">
        <w:r>
          <w:rPr>
            <w:lang w:val="en-US" w:eastAsia="en-US" w:bidi="en-US"/>
          </w:rPr>
          <w:t>www.npu.cz</w:t>
        </w:r>
      </w:hyperlink>
      <w:r>
        <w:rPr>
          <w:lang w:val="en-US" w:eastAsia="en-US" w:bidi="en-US"/>
        </w:rPr>
        <w:t>.</w:t>
      </w:r>
    </w:p>
    <w:p w:rsidR="001E1EDE" w:rsidRDefault="006E1789" w:rsidP="002D3DC0">
      <w:pPr>
        <w:pStyle w:val="Zkladntext1"/>
        <w:numPr>
          <w:ilvl w:val="1"/>
          <w:numId w:val="1"/>
        </w:numPr>
        <w:shd w:val="clear" w:color="auto" w:fill="auto"/>
        <w:ind w:left="1985" w:right="1268" w:hanging="580"/>
        <w:jc w:val="both"/>
      </w:pPr>
      <w:r>
        <w:t>Smluvní strany prohlašují, že Smlouvu uzavřely podle své skutečné a svobodné vůle, že si Smlouvu řádně a pozorně přečetly, s jejím obsahem souhlasí, což stvrzují vlastnoručními podpisy.</w:t>
      </w:r>
    </w:p>
    <w:p w:rsidR="001E1EDE" w:rsidRDefault="006E1789" w:rsidP="002D3DC0">
      <w:pPr>
        <w:pStyle w:val="Zkladntext1"/>
        <w:shd w:val="clear" w:color="auto" w:fill="auto"/>
        <w:spacing w:after="0" w:line="403" w:lineRule="auto"/>
        <w:ind w:left="1985" w:right="1268"/>
      </w:pPr>
      <w:r>
        <w:t>Příloha č. 1: Geometrický plán č. 2131-29/2018</w:t>
      </w:r>
      <w:r>
        <w:rPr>
          <w:noProof/>
          <w:lang w:bidi="ar-SA"/>
        </w:rPr>
        <mc:AlternateContent>
          <mc:Choice Requires="wps">
            <w:drawing>
              <wp:anchor distT="0" distB="0" distL="114300" distR="114300" simplePos="0" relativeHeight="125829380" behindDoc="0" locked="0" layoutInCell="1" allowOverlap="1" wp14:anchorId="77C78E9B" wp14:editId="3DB6C546">
                <wp:simplePos x="0" y="0"/>
                <wp:positionH relativeFrom="page">
                  <wp:posOffset>3717925</wp:posOffset>
                </wp:positionH>
                <wp:positionV relativeFrom="paragraph">
                  <wp:posOffset>292100</wp:posOffset>
                </wp:positionV>
                <wp:extent cx="1579880" cy="494030"/>
                <wp:effectExtent l="0" t="0" r="0" b="0"/>
                <wp:wrapSquare wrapText="left"/>
                <wp:docPr id="24" name="Shape 24"/>
                <wp:cNvGraphicFramePr/>
                <a:graphic xmlns:a="http://schemas.openxmlformats.org/drawingml/2006/main">
                  <a:graphicData uri="http://schemas.microsoft.com/office/word/2010/wordprocessingShape">
                    <wps:wsp>
                      <wps:cNvSpPr txBox="1"/>
                      <wps:spPr>
                        <a:xfrm>
                          <a:off x="0" y="0"/>
                          <a:ext cx="1579880" cy="494030"/>
                        </a:xfrm>
                        <a:prstGeom prst="rect">
                          <a:avLst/>
                        </a:prstGeom>
                        <a:noFill/>
                      </wps:spPr>
                      <wps:txbx>
                        <w:txbxContent>
                          <w:p w:rsidR="006E1789" w:rsidRDefault="006E1789">
                            <w:pPr>
                              <w:pStyle w:val="Zkladntext1"/>
                              <w:shd w:val="clear" w:color="auto" w:fill="auto"/>
                              <w:tabs>
                                <w:tab w:val="left" w:pos="2045"/>
                              </w:tabs>
                              <w:spacing w:after="220"/>
                            </w:pPr>
                            <w:r>
                              <w:t>V Praze dne</w:t>
                            </w:r>
                            <w:r>
                              <w:tab/>
                              <w:t>2021</w:t>
                            </w:r>
                          </w:p>
                          <w:p w:rsidR="006E1789" w:rsidRDefault="006E1789">
                            <w:pPr>
                              <w:pStyle w:val="Zkladntext1"/>
                              <w:shd w:val="clear" w:color="auto" w:fill="auto"/>
                              <w:spacing w:after="0"/>
                            </w:pPr>
                            <w:r>
                              <w:rPr>
                                <w:b/>
                                <w:bCs/>
                              </w:rPr>
                              <w:t>Národní památkový ústav</w:t>
                            </w:r>
                          </w:p>
                        </w:txbxContent>
                      </wps:txbx>
                      <wps:bodyPr lIns="0" tIns="0" rIns="0" bIns="0"/>
                    </wps:wsp>
                  </a:graphicData>
                </a:graphic>
              </wp:anchor>
            </w:drawing>
          </mc:Choice>
          <mc:Fallback>
            <w:pict>
              <v:shapetype w14:anchorId="77C78E9B" id="_x0000_t202" coordsize="21600,21600" o:spt="202" path="m,l,21600r21600,l21600,xe">
                <v:stroke joinstyle="miter"/>
                <v:path gradientshapeok="t" o:connecttype="rect"/>
              </v:shapetype>
              <v:shape id="Shape 24" o:spid="_x0000_s1026" type="#_x0000_t202" style="position:absolute;left:0;text-align:left;margin-left:292.75pt;margin-top:23pt;width:124.4pt;height:38.9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" filled="f" stroked="f">
                <v:textbox inset="0,0,0,0">
                  <w:txbxContent>
                    <w:p w:rsidR="006E1789" w:rsidRDefault="006E1789">
                      <w:pPr>
                        <w:pStyle w:val="Zkladntext1"/>
                        <w:shd w:val="clear" w:color="auto" w:fill="auto"/>
                        <w:tabs>
                          <w:tab w:val="left" w:pos="2045"/>
                        </w:tabs>
                        <w:spacing w:after="220"/>
                      </w:pPr>
                      <w:r>
                        <w:t>V Praze dne</w:t>
                      </w:r>
                      <w:r>
                        <w:tab/>
                        <w:t>2021</w:t>
                      </w:r>
                    </w:p>
                    <w:p w:rsidR="006E1789" w:rsidRDefault="006E1789">
                      <w:pPr>
                        <w:pStyle w:val="Zkladntext1"/>
                        <w:shd w:val="clear" w:color="auto" w:fill="auto"/>
                        <w:spacing w:after="0"/>
                      </w:pPr>
                      <w:r>
                        <w:rPr>
                          <w:b/>
                          <w:bCs/>
                        </w:rPr>
                        <w:t>Národní památkový ústav</w:t>
                      </w:r>
                    </w:p>
                  </w:txbxContent>
                </v:textbox>
                <w10:wrap type="square" side="left" anchorx="page"/>
              </v:shape>
            </w:pict>
          </mc:Fallback>
        </mc:AlternateContent>
      </w:r>
    </w:p>
    <w:p w:rsidR="001E1EDE" w:rsidRDefault="006E1789" w:rsidP="002D3DC0">
      <w:pPr>
        <w:pStyle w:val="Zkladntext1"/>
        <w:shd w:val="clear" w:color="auto" w:fill="auto"/>
        <w:ind w:left="1418" w:right="1268" w:firstLine="283"/>
        <w:jc w:val="both"/>
      </w:pPr>
      <w:r>
        <w:t xml:space="preserve">V Ostravě dne </w:t>
      </w:r>
      <w:r w:rsidR="001B7F1B">
        <w:t xml:space="preserve">             </w:t>
      </w:r>
      <w:r>
        <w:t>2021</w:t>
      </w:r>
    </w:p>
    <w:p w:rsidR="001E1EDE" w:rsidRDefault="006E1789" w:rsidP="002D3DC0">
      <w:pPr>
        <w:pStyle w:val="Nadpis50"/>
        <w:keepNext/>
        <w:keepLines/>
        <w:shd w:val="clear" w:color="auto" w:fill="auto"/>
        <w:spacing w:after="0" w:line="463" w:lineRule="auto"/>
        <w:ind w:left="1418" w:right="1268" w:firstLine="283"/>
        <w:jc w:val="both"/>
      </w:pPr>
      <w:bookmarkStart w:id="14" w:name="bookmark22"/>
      <w:bookmarkStart w:id="15" w:name="bookmark23"/>
      <w:r>
        <w:t>PKP CARGO INTERNATIONAL a.s.</w:t>
      </w:r>
      <w:bookmarkEnd w:id="14"/>
      <w:bookmarkEnd w:id="15"/>
    </w:p>
    <w:p w:rsidR="001B7F1B" w:rsidRDefault="001B7F1B" w:rsidP="002D3DC0">
      <w:pPr>
        <w:pStyle w:val="Nadpis50"/>
        <w:keepNext/>
        <w:keepLines/>
        <w:shd w:val="clear" w:color="auto" w:fill="auto"/>
        <w:spacing w:after="0" w:line="463" w:lineRule="auto"/>
        <w:ind w:left="567" w:right="1268" w:firstLine="1147"/>
        <w:jc w:val="both"/>
      </w:pPr>
    </w:p>
    <w:p w:rsidR="001B7F1B" w:rsidRDefault="001B7F1B" w:rsidP="002D3DC0">
      <w:pPr>
        <w:pStyle w:val="Nadpis50"/>
        <w:keepNext/>
        <w:keepLines/>
        <w:shd w:val="clear" w:color="auto" w:fill="auto"/>
        <w:spacing w:after="0" w:line="463" w:lineRule="auto"/>
        <w:ind w:left="567" w:right="1268" w:firstLine="1147"/>
        <w:jc w:val="both"/>
      </w:pPr>
    </w:p>
    <w:p w:rsidR="001B7F1B" w:rsidRDefault="001B7F1B" w:rsidP="002D3DC0">
      <w:pPr>
        <w:pStyle w:val="Nadpis50"/>
        <w:keepNext/>
        <w:keepLines/>
        <w:shd w:val="clear" w:color="auto" w:fill="auto"/>
        <w:spacing w:after="0"/>
        <w:ind w:left="567" w:right="1268" w:firstLine="1147"/>
        <w:jc w:val="both"/>
        <w:rPr>
          <w:b w:val="0"/>
        </w:rPr>
      </w:pPr>
      <w:r>
        <w:rPr>
          <w:b w:val="0"/>
        </w:rPr>
        <w:t>___________________________</w:t>
      </w:r>
      <w:r>
        <w:rPr>
          <w:b w:val="0"/>
        </w:rPr>
        <w:tab/>
      </w:r>
      <w:r>
        <w:rPr>
          <w:b w:val="0"/>
        </w:rPr>
        <w:tab/>
      </w:r>
      <w:r>
        <w:rPr>
          <w:b w:val="0"/>
        </w:rPr>
        <w:tab/>
        <w:t>___________________________</w:t>
      </w:r>
    </w:p>
    <w:p w:rsidR="001B7F1B" w:rsidRDefault="001B7F1B" w:rsidP="002D3DC0">
      <w:pPr>
        <w:pStyle w:val="Nadpis50"/>
        <w:keepNext/>
        <w:keepLines/>
        <w:shd w:val="clear" w:color="auto" w:fill="auto"/>
        <w:spacing w:after="0"/>
        <w:ind w:left="567" w:right="1268" w:firstLine="1147"/>
        <w:jc w:val="both"/>
        <w:rPr>
          <w:b w:val="0"/>
        </w:rPr>
      </w:pPr>
      <w:r>
        <w:rPr>
          <w:b w:val="0"/>
        </w:rPr>
        <w:t xml:space="preserve">Maciej </w:t>
      </w:r>
      <w:proofErr w:type="spellStart"/>
      <w:r>
        <w:rPr>
          <w:b w:val="0"/>
        </w:rPr>
        <w:t>Lucjan</w:t>
      </w:r>
      <w:proofErr w:type="spellEnd"/>
      <w:r>
        <w:rPr>
          <w:b w:val="0"/>
        </w:rPr>
        <w:t xml:space="preserve"> </w:t>
      </w:r>
      <w:proofErr w:type="spellStart"/>
      <w:r>
        <w:rPr>
          <w:b w:val="0"/>
        </w:rPr>
        <w:t>Walczyk</w:t>
      </w:r>
      <w:proofErr w:type="spellEnd"/>
      <w:r>
        <w:rPr>
          <w:b w:val="0"/>
        </w:rPr>
        <w:tab/>
      </w:r>
      <w:r>
        <w:rPr>
          <w:b w:val="0"/>
        </w:rPr>
        <w:tab/>
      </w:r>
      <w:r w:rsidR="00044E16">
        <w:rPr>
          <w:b w:val="0"/>
        </w:rPr>
        <w:tab/>
      </w:r>
      <w:bookmarkStart w:id="16" w:name="_GoBack"/>
      <w:bookmarkEnd w:id="16"/>
      <w:r>
        <w:rPr>
          <w:b w:val="0"/>
        </w:rPr>
        <w:tab/>
      </w:r>
      <w:r>
        <w:rPr>
          <w:b w:val="0"/>
        </w:rPr>
        <w:tab/>
        <w:t>Ing. arch. Naděžda Goryczková</w:t>
      </w:r>
    </w:p>
    <w:p w:rsidR="001B7F1B" w:rsidRDefault="001B7F1B" w:rsidP="002D3DC0">
      <w:pPr>
        <w:pStyle w:val="Nadpis50"/>
        <w:keepNext/>
        <w:keepLines/>
        <w:shd w:val="clear" w:color="auto" w:fill="auto"/>
        <w:spacing w:after="0"/>
        <w:ind w:left="567" w:right="1268" w:firstLine="1147"/>
        <w:jc w:val="both"/>
        <w:rPr>
          <w:b w:val="0"/>
        </w:rPr>
      </w:pPr>
      <w:proofErr w:type="spellStart"/>
      <w:r>
        <w:rPr>
          <w:b w:val="0"/>
        </w:rPr>
        <w:t>ředseda</w:t>
      </w:r>
      <w:proofErr w:type="spellEnd"/>
      <w:r>
        <w:rPr>
          <w:b w:val="0"/>
        </w:rPr>
        <w:t xml:space="preserve"> představenstva</w:t>
      </w:r>
      <w:r>
        <w:rPr>
          <w:b w:val="0"/>
        </w:rPr>
        <w:tab/>
      </w:r>
      <w:r>
        <w:rPr>
          <w:b w:val="0"/>
        </w:rPr>
        <w:tab/>
      </w:r>
      <w:r>
        <w:rPr>
          <w:b w:val="0"/>
        </w:rPr>
        <w:tab/>
      </w:r>
      <w:r>
        <w:rPr>
          <w:b w:val="0"/>
        </w:rPr>
        <w:tab/>
        <w:t>generální ředitelka</w:t>
      </w:r>
    </w:p>
    <w:p w:rsidR="001B7F1B" w:rsidRDefault="001B7F1B" w:rsidP="002D3DC0">
      <w:pPr>
        <w:pStyle w:val="Nadpis50"/>
        <w:keepNext/>
        <w:keepLines/>
        <w:shd w:val="clear" w:color="auto" w:fill="auto"/>
        <w:spacing w:after="0" w:line="463" w:lineRule="auto"/>
        <w:ind w:left="567" w:right="1268" w:firstLine="1147"/>
        <w:jc w:val="both"/>
        <w:rPr>
          <w:b w:val="0"/>
        </w:rPr>
      </w:pPr>
    </w:p>
    <w:p w:rsidR="001B7F1B" w:rsidRDefault="001B7F1B" w:rsidP="002D3DC0">
      <w:pPr>
        <w:pStyle w:val="Nadpis50"/>
        <w:keepNext/>
        <w:keepLines/>
        <w:shd w:val="clear" w:color="auto" w:fill="auto"/>
        <w:spacing w:after="0" w:line="463" w:lineRule="auto"/>
        <w:ind w:left="567" w:right="1268" w:firstLine="1147"/>
        <w:jc w:val="both"/>
        <w:rPr>
          <w:b w:val="0"/>
        </w:rPr>
      </w:pPr>
    </w:p>
    <w:p w:rsidR="001B7F1B" w:rsidRDefault="001B7F1B" w:rsidP="002D3DC0">
      <w:pPr>
        <w:pStyle w:val="Nadpis50"/>
        <w:keepNext/>
        <w:keepLines/>
        <w:shd w:val="clear" w:color="auto" w:fill="auto"/>
        <w:spacing w:after="0"/>
        <w:ind w:left="567" w:right="1268" w:firstLine="1147"/>
        <w:jc w:val="both"/>
        <w:rPr>
          <w:b w:val="0"/>
        </w:rPr>
      </w:pPr>
      <w:r>
        <w:rPr>
          <w:b w:val="0"/>
        </w:rPr>
        <w:t>___________________________</w:t>
      </w:r>
    </w:p>
    <w:p w:rsidR="001B7F1B" w:rsidRDefault="001B7F1B" w:rsidP="002D3DC0">
      <w:pPr>
        <w:pStyle w:val="Nadpis50"/>
        <w:keepNext/>
        <w:keepLines/>
        <w:shd w:val="clear" w:color="auto" w:fill="auto"/>
        <w:spacing w:after="0"/>
        <w:ind w:left="567" w:right="1268" w:firstLine="1147"/>
        <w:jc w:val="both"/>
        <w:rPr>
          <w:b w:val="0"/>
        </w:rPr>
      </w:pPr>
      <w:proofErr w:type="spellStart"/>
      <w:r>
        <w:rPr>
          <w:b w:val="0"/>
        </w:rPr>
        <w:t>Iiří</w:t>
      </w:r>
      <w:proofErr w:type="spellEnd"/>
      <w:r>
        <w:rPr>
          <w:b w:val="0"/>
        </w:rPr>
        <w:t xml:space="preserve"> Minka</w:t>
      </w:r>
    </w:p>
    <w:p w:rsidR="001B7F1B" w:rsidRDefault="001B7F1B" w:rsidP="002D3DC0">
      <w:pPr>
        <w:pStyle w:val="Nadpis50"/>
        <w:keepNext/>
        <w:keepLines/>
        <w:shd w:val="clear" w:color="auto" w:fill="auto"/>
        <w:spacing w:after="0"/>
        <w:ind w:left="567" w:right="1268" w:firstLine="1147"/>
        <w:jc w:val="both"/>
        <w:rPr>
          <w:b w:val="0"/>
        </w:rPr>
      </w:pPr>
      <w:r>
        <w:rPr>
          <w:b w:val="0"/>
        </w:rPr>
        <w:t>člen představenstva</w:t>
      </w:r>
    </w:p>
    <w:p w:rsidR="001B7F1B" w:rsidRDefault="001B7F1B" w:rsidP="002D3DC0">
      <w:pPr>
        <w:pStyle w:val="Nadpis50"/>
        <w:keepNext/>
        <w:keepLines/>
        <w:shd w:val="clear" w:color="auto" w:fill="auto"/>
        <w:spacing w:after="0" w:line="463" w:lineRule="auto"/>
        <w:ind w:left="567" w:right="1268" w:firstLine="1147"/>
        <w:jc w:val="both"/>
        <w:rPr>
          <w:b w:val="0"/>
        </w:rPr>
      </w:pPr>
    </w:p>
    <w:p w:rsidR="00AF7BA1" w:rsidRDefault="00AF7BA1" w:rsidP="002D3DC0">
      <w:pPr>
        <w:pStyle w:val="Nadpis50"/>
        <w:keepNext/>
        <w:keepLines/>
        <w:shd w:val="clear" w:color="auto" w:fill="auto"/>
        <w:spacing w:after="0" w:line="463" w:lineRule="auto"/>
        <w:ind w:left="567" w:right="1268" w:firstLine="580"/>
        <w:jc w:val="both"/>
        <w:rPr>
          <w:b w:val="0"/>
        </w:rPr>
      </w:pPr>
    </w:p>
    <w:p w:rsidR="00AF7BA1" w:rsidRDefault="00AF7BA1">
      <w:pPr>
        <w:pStyle w:val="Nadpis50"/>
        <w:keepNext/>
        <w:keepLines/>
        <w:shd w:val="clear" w:color="auto" w:fill="auto"/>
        <w:spacing w:after="0" w:line="463" w:lineRule="auto"/>
        <w:ind w:firstLine="580"/>
        <w:jc w:val="both"/>
        <w:rPr>
          <w:b w:val="0"/>
        </w:rPr>
      </w:pPr>
    </w:p>
    <w:p w:rsidR="002D3DC0" w:rsidRDefault="002D3DC0">
      <w:pPr>
        <w:pStyle w:val="Nadpis50"/>
        <w:keepNext/>
        <w:keepLines/>
        <w:shd w:val="clear" w:color="auto" w:fill="auto"/>
        <w:spacing w:after="0" w:line="463" w:lineRule="auto"/>
        <w:ind w:firstLine="580"/>
        <w:jc w:val="both"/>
        <w:rPr>
          <w:b w:val="0"/>
        </w:rPr>
      </w:pPr>
    </w:p>
    <w:p w:rsidR="002D3DC0" w:rsidRDefault="002D3DC0">
      <w:pPr>
        <w:pStyle w:val="Nadpis50"/>
        <w:keepNext/>
        <w:keepLines/>
        <w:shd w:val="clear" w:color="auto" w:fill="auto"/>
        <w:spacing w:after="0" w:line="463" w:lineRule="auto"/>
        <w:ind w:firstLine="580"/>
        <w:jc w:val="both"/>
        <w:rPr>
          <w:b w:val="0"/>
        </w:rPr>
      </w:pPr>
    </w:p>
    <w:p w:rsidR="002D3DC0" w:rsidRDefault="002D3DC0">
      <w:pPr>
        <w:pStyle w:val="Nadpis50"/>
        <w:keepNext/>
        <w:keepLines/>
        <w:shd w:val="clear" w:color="auto" w:fill="auto"/>
        <w:spacing w:after="0" w:line="463" w:lineRule="auto"/>
        <w:ind w:firstLine="580"/>
        <w:jc w:val="both"/>
        <w:rPr>
          <w:b w:val="0"/>
        </w:rPr>
      </w:pPr>
    </w:p>
    <w:p w:rsidR="002D3DC0" w:rsidRDefault="002D3DC0">
      <w:pPr>
        <w:pStyle w:val="Nadpis50"/>
        <w:keepNext/>
        <w:keepLines/>
        <w:shd w:val="clear" w:color="auto" w:fill="auto"/>
        <w:spacing w:after="0" w:line="463" w:lineRule="auto"/>
        <w:ind w:firstLine="580"/>
        <w:jc w:val="both"/>
        <w:rPr>
          <w:b w:val="0"/>
        </w:rPr>
      </w:pPr>
    </w:p>
    <w:p w:rsidR="001E1EDE" w:rsidRDefault="006E1789" w:rsidP="00AF7BA1">
      <w:pPr>
        <w:spacing w:line="1" w:lineRule="exact"/>
      </w:pPr>
      <w:proofErr w:type="spellStart"/>
      <w:r>
        <w:t>če</w:t>
      </w:r>
      <w:proofErr w:type="spellEnd"/>
    </w:p>
    <w:p w:rsidR="001E1EDE" w:rsidRDefault="001E1EDE">
      <w:pPr>
        <w:pStyle w:val="Zkladntext20"/>
        <w:shd w:val="clear" w:color="auto" w:fill="auto"/>
        <w:spacing w:after="540"/>
        <w:ind w:left="5920" w:firstLine="0"/>
      </w:pPr>
    </w:p>
    <w:p w:rsidR="00AF7BA1" w:rsidRDefault="00AF7BA1">
      <w:pPr>
        <w:pStyle w:val="Nadpis10"/>
        <w:keepNext/>
        <w:keepLines/>
        <w:shd w:val="clear" w:color="auto" w:fill="auto"/>
      </w:pPr>
      <w:bookmarkStart w:id="17" w:name="bookmark26"/>
      <w:bookmarkStart w:id="18" w:name="bookmark27"/>
      <w:r>
        <w:rPr>
          <w:noProof/>
          <w:lang w:bidi="ar-SA"/>
        </w:rPr>
        <w:lastRenderedPageBreak/>
        <w:drawing>
          <wp:inline distT="0" distB="0" distL="0" distR="0" wp14:anchorId="56D68099">
            <wp:extent cx="579120" cy="585470"/>
            <wp:effectExtent l="0" t="0" r="0" b="508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120" cy="585470"/>
                    </a:xfrm>
                    <a:prstGeom prst="rect">
                      <a:avLst/>
                    </a:prstGeom>
                    <a:noFill/>
                  </pic:spPr>
                </pic:pic>
              </a:graphicData>
            </a:graphic>
          </wp:inline>
        </w:drawing>
      </w:r>
    </w:p>
    <w:p w:rsidR="00AF7BA1" w:rsidRPr="00AF7BA1" w:rsidRDefault="00AF7BA1" w:rsidP="00AF7BA1">
      <w:pPr>
        <w:widowControl/>
        <w:jc w:val="center"/>
        <w:rPr>
          <w:rFonts w:ascii="Times New Roman" w:eastAsia="Times New Roman" w:hAnsi="Times New Roman" w:cs="Times New Roman"/>
          <w:color w:val="auto"/>
          <w:lang w:bidi="ar-SA"/>
        </w:rPr>
      </w:pPr>
      <w:r w:rsidRPr="00AF7BA1">
        <w:rPr>
          <w:rFonts w:ascii="Times New Roman" w:eastAsia="Times New Roman" w:hAnsi="Times New Roman" w:cs="Times New Roman"/>
          <w:color w:val="auto"/>
          <w:lang w:bidi="ar-SA"/>
        </w:rPr>
        <w:t>Ministerstvo kultury</w:t>
      </w:r>
    </w:p>
    <w:p w:rsidR="00AF7BA1" w:rsidRPr="00AF7BA1" w:rsidRDefault="00AF7BA1" w:rsidP="00AF7BA1">
      <w:pPr>
        <w:widowControl/>
        <w:jc w:val="center"/>
        <w:rPr>
          <w:rFonts w:ascii="Times New Roman" w:eastAsia="Times New Roman" w:hAnsi="Times New Roman" w:cs="Times New Roman"/>
          <w:color w:val="auto"/>
          <w:lang w:bidi="ar-SA"/>
        </w:rPr>
      </w:pPr>
    </w:p>
    <w:p w:rsidR="00AF7BA1" w:rsidRPr="00AF7BA1" w:rsidRDefault="00AF7BA1" w:rsidP="003F7AB1">
      <w:pPr>
        <w:widowControl/>
        <w:ind w:left="3969" w:firstLine="708"/>
        <w:rPr>
          <w:rFonts w:ascii="Times New Roman" w:eastAsia="Times New Roman" w:hAnsi="Times New Roman" w:cs="Times New Roman"/>
          <w:b/>
          <w:bCs/>
          <w:color w:val="auto"/>
          <w:lang w:bidi="ar-SA"/>
        </w:rPr>
      </w:pPr>
      <w:r w:rsidRPr="00AF7BA1">
        <w:rPr>
          <w:rFonts w:ascii="Times New Roman" w:eastAsia="Times New Roman" w:hAnsi="Times New Roman" w:cs="Times New Roman"/>
          <w:b/>
          <w:bCs/>
          <w:color w:val="auto"/>
          <w:lang w:bidi="ar-SA"/>
        </w:rPr>
        <w:t xml:space="preserve">Mgr. Jiří </w:t>
      </w:r>
      <w:proofErr w:type="spellStart"/>
      <w:r w:rsidRPr="00AF7BA1">
        <w:rPr>
          <w:rFonts w:ascii="Times New Roman" w:eastAsia="Times New Roman" w:hAnsi="Times New Roman" w:cs="Times New Roman"/>
          <w:b/>
          <w:bCs/>
          <w:color w:val="auto"/>
          <w:lang w:bidi="ar-SA"/>
        </w:rPr>
        <w:t>Vajčner</w:t>
      </w:r>
      <w:proofErr w:type="spellEnd"/>
      <w:r w:rsidRPr="00AF7BA1">
        <w:rPr>
          <w:rFonts w:ascii="Times New Roman" w:eastAsia="Times New Roman" w:hAnsi="Times New Roman" w:cs="Times New Roman"/>
          <w:b/>
          <w:bCs/>
          <w:color w:val="auto"/>
          <w:lang w:bidi="ar-SA"/>
        </w:rPr>
        <w:t>, Ph.D.</w:t>
      </w:r>
    </w:p>
    <w:p w:rsidR="00AF7BA1" w:rsidRPr="00AF7BA1" w:rsidRDefault="00AF7BA1" w:rsidP="00AF7BA1">
      <w:pPr>
        <w:widowControl/>
        <w:jc w:val="center"/>
        <w:rPr>
          <w:rFonts w:ascii="Times New Roman" w:eastAsia="Times New Roman" w:hAnsi="Times New Roman" w:cs="Times New Roman"/>
          <w:color w:val="auto"/>
          <w:lang w:bidi="ar-SA"/>
        </w:rPr>
      </w:pPr>
      <w:r w:rsidRPr="00AF7BA1">
        <w:rPr>
          <w:rFonts w:ascii="Times New Roman" w:eastAsia="Times New Roman" w:hAnsi="Times New Roman" w:cs="Times New Roman"/>
          <w:color w:val="auto"/>
          <w:lang w:bidi="ar-SA"/>
        </w:rPr>
        <w:t>ředitel odboru památkové péče</w:t>
      </w:r>
    </w:p>
    <w:p w:rsidR="00AF7BA1" w:rsidRDefault="00AF7BA1" w:rsidP="002D3DC0">
      <w:pPr>
        <w:pStyle w:val="Nadpis10"/>
        <w:keepNext/>
        <w:keepLines/>
        <w:shd w:val="clear" w:color="auto" w:fill="auto"/>
        <w:spacing w:after="0"/>
      </w:pPr>
    </w:p>
    <w:p w:rsidR="00AF7BA1" w:rsidRPr="00AF7BA1" w:rsidRDefault="00AF7BA1" w:rsidP="003F7AB1">
      <w:pPr>
        <w:ind w:left="7230"/>
        <w:jc w:val="both"/>
        <w:rPr>
          <w:rFonts w:ascii="Times New Roman" w:eastAsia="Times New Roman" w:hAnsi="Times New Roman" w:cs="Times New Roman"/>
          <w:color w:val="auto"/>
        </w:rPr>
      </w:pPr>
      <w:r w:rsidRPr="00AF7BA1">
        <w:rPr>
          <w:rFonts w:ascii="Times New Roman" w:eastAsia="Times New Roman" w:hAnsi="Times New Roman" w:cs="Times New Roman"/>
          <w:color w:val="auto"/>
        </w:rPr>
        <w:t xml:space="preserve">V Praze dne 21. 5. 2021 </w:t>
      </w:r>
    </w:p>
    <w:p w:rsidR="00AF7BA1" w:rsidRPr="00AF7BA1" w:rsidRDefault="00AF7BA1" w:rsidP="003F7AB1">
      <w:pPr>
        <w:ind w:left="7230"/>
        <w:jc w:val="both"/>
        <w:rPr>
          <w:rFonts w:ascii="Times New Roman" w:eastAsia="Times New Roman" w:hAnsi="Times New Roman" w:cs="Times New Roman"/>
          <w:color w:val="auto"/>
        </w:rPr>
      </w:pPr>
      <w:proofErr w:type="spellStart"/>
      <w:proofErr w:type="gramStart"/>
      <w:r w:rsidRPr="00AF7BA1">
        <w:rPr>
          <w:rFonts w:ascii="Times New Roman" w:eastAsia="Times New Roman" w:hAnsi="Times New Roman" w:cs="Times New Roman"/>
          <w:color w:val="auto"/>
        </w:rPr>
        <w:t>Č.j.</w:t>
      </w:r>
      <w:proofErr w:type="gramEnd"/>
      <w:r w:rsidRPr="00AF7BA1">
        <w:rPr>
          <w:rFonts w:ascii="Times New Roman" w:eastAsia="Times New Roman" w:hAnsi="Times New Roman" w:cs="Times New Roman"/>
          <w:color w:val="auto"/>
        </w:rPr>
        <w:t>:MK</w:t>
      </w:r>
      <w:proofErr w:type="spellEnd"/>
      <w:r w:rsidRPr="00AF7BA1">
        <w:rPr>
          <w:rFonts w:ascii="Times New Roman" w:eastAsia="Times New Roman" w:hAnsi="Times New Roman" w:cs="Times New Roman"/>
          <w:color w:val="auto"/>
        </w:rPr>
        <w:t xml:space="preserve"> 32219/2021 OPP</w:t>
      </w:r>
    </w:p>
    <w:p w:rsidR="00AF7BA1" w:rsidRPr="00AF7BA1" w:rsidRDefault="00AF7BA1" w:rsidP="003F7AB1">
      <w:pPr>
        <w:ind w:left="7230"/>
        <w:jc w:val="both"/>
        <w:rPr>
          <w:rFonts w:ascii="Times New Roman" w:hAnsi="Times New Roman" w:cs="Times New Roman"/>
        </w:rPr>
      </w:pPr>
      <w:proofErr w:type="spellStart"/>
      <w:r w:rsidRPr="00AF7BA1">
        <w:rPr>
          <w:rFonts w:ascii="Times New Roman" w:hAnsi="Times New Roman" w:cs="Times New Roman"/>
        </w:rPr>
        <w:t>Sp</w:t>
      </w:r>
      <w:proofErr w:type="spellEnd"/>
      <w:r w:rsidRPr="00AF7BA1">
        <w:rPr>
          <w:rFonts w:ascii="Times New Roman" w:hAnsi="Times New Roman" w:cs="Times New Roman"/>
        </w:rPr>
        <w:t>. zn.: MK- S 4862/2021 OPP</w:t>
      </w:r>
    </w:p>
    <w:p w:rsidR="00AF7BA1" w:rsidRDefault="00AF7BA1" w:rsidP="003F7AB1">
      <w:pPr>
        <w:pStyle w:val="Nadpis10"/>
        <w:keepNext/>
        <w:keepLines/>
        <w:shd w:val="clear" w:color="auto" w:fill="auto"/>
        <w:spacing w:after="0"/>
        <w:ind w:left="7230"/>
      </w:pPr>
    </w:p>
    <w:p w:rsidR="001E1EDE" w:rsidRDefault="006E1789">
      <w:pPr>
        <w:pStyle w:val="Nadpis10"/>
        <w:keepNext/>
        <w:keepLines/>
        <w:shd w:val="clear" w:color="auto" w:fill="auto"/>
      </w:pPr>
      <w:r>
        <w:t>Schvalovací doložka</w:t>
      </w:r>
      <w:bookmarkEnd w:id="17"/>
      <w:bookmarkEnd w:id="18"/>
    </w:p>
    <w:p w:rsidR="001E1EDE" w:rsidRDefault="006E1789" w:rsidP="002D3DC0">
      <w:pPr>
        <w:pStyle w:val="Zkladntext20"/>
        <w:shd w:val="clear" w:color="auto" w:fill="auto"/>
        <w:ind w:left="1276" w:right="1410" w:firstLine="740"/>
        <w:jc w:val="both"/>
      </w:pPr>
      <w:r>
        <w:t xml:space="preserve">Ministerstvo kultury podle §12 odst. 6 zákona č. 219/2000 Sb., o majetku České republiky a jejím vystupováním v právních vztazích, ve znění pozdějších předpisů, a v souladu s čl. 1 odst. 1 Opatření Ministerstva kultury ze dne 4. 6. 2003 č. j. 6101/2003, </w:t>
      </w:r>
      <w:r>
        <w:rPr>
          <w:b/>
          <w:bCs/>
        </w:rPr>
        <w:t xml:space="preserve">schvaluje kupní smlouvu č. j. NPU-310/31673/2021, ev. č. 70/310/2021, </w:t>
      </w:r>
      <w:r>
        <w:t xml:space="preserve">uzavřenou mezi </w:t>
      </w:r>
      <w:r>
        <w:rPr>
          <w:b/>
          <w:bCs/>
        </w:rPr>
        <w:t xml:space="preserve">PKP CARGO INTERNATIONAL a.s., </w:t>
      </w:r>
      <w:r>
        <w:t xml:space="preserve">se sídlem Betonářská 580/14, 712 00 Ostrava - </w:t>
      </w:r>
      <w:proofErr w:type="spellStart"/>
      <w:r>
        <w:t>Muglinov</w:t>
      </w:r>
      <w:proofErr w:type="spellEnd"/>
      <w:r>
        <w:t xml:space="preserve">, IČO: 47675977, DIČ: CZ699002915, jako prodávajícím, a </w:t>
      </w:r>
      <w:r>
        <w:rPr>
          <w:b/>
          <w:bCs/>
        </w:rPr>
        <w:t xml:space="preserve">Národním památkovým ústavem, </w:t>
      </w:r>
      <w:r>
        <w:t>se sídlem Valdštejnské nám. 162/3, 118 01 Praha 1 - Malá Strana, IČO: 75032333, DIČ: CZ75032333, jako kupujícím.</w:t>
      </w:r>
    </w:p>
    <w:p w:rsidR="001E1EDE" w:rsidRDefault="006E1789" w:rsidP="002D3DC0">
      <w:pPr>
        <w:pStyle w:val="Zkladntext20"/>
        <w:shd w:val="clear" w:color="auto" w:fill="auto"/>
        <w:spacing w:after="0"/>
        <w:ind w:left="1134" w:firstLine="0"/>
        <w:jc w:val="both"/>
      </w:pPr>
      <w:r>
        <w:t>Předmětem předložené kupní smlouvy je koupě</w:t>
      </w:r>
    </w:p>
    <w:p w:rsidR="001E1EDE" w:rsidRDefault="006E1789" w:rsidP="002D3DC0">
      <w:pPr>
        <w:pStyle w:val="Zkladntext20"/>
        <w:shd w:val="clear" w:color="auto" w:fill="auto"/>
        <w:spacing w:after="0"/>
        <w:ind w:left="1843" w:right="1410" w:hanging="198"/>
        <w:jc w:val="both"/>
      </w:pPr>
      <w:r>
        <w:rPr>
          <w:b/>
          <w:bCs/>
        </w:rPr>
        <w:t xml:space="preserve">- nově vzniklého pozemku </w:t>
      </w:r>
      <w:proofErr w:type="gramStart"/>
      <w:r>
        <w:rPr>
          <w:b/>
          <w:bCs/>
        </w:rPr>
        <w:t>pare. ě. st.</w:t>
      </w:r>
      <w:proofErr w:type="gramEnd"/>
      <w:r>
        <w:rPr>
          <w:b/>
          <w:bCs/>
        </w:rPr>
        <w:t xml:space="preserve"> 1661/2, o výměře 399 m2, </w:t>
      </w:r>
      <w:r>
        <w:t>v katastrálním území Michálkovice, obec Ostrava, Katastrální úřad pro Moravskoslezský kraj, Katastrální pracoviště Ostrava.</w:t>
      </w:r>
    </w:p>
    <w:p w:rsidR="002D3DC0" w:rsidRDefault="002D3DC0">
      <w:pPr>
        <w:pStyle w:val="Zkladntext20"/>
        <w:shd w:val="clear" w:color="auto" w:fill="auto"/>
        <w:spacing w:after="0"/>
        <w:ind w:left="720" w:hanging="340"/>
        <w:jc w:val="both"/>
      </w:pPr>
    </w:p>
    <w:p w:rsidR="002D3DC0" w:rsidRDefault="002D3DC0" w:rsidP="002D3DC0">
      <w:pPr>
        <w:pStyle w:val="Zkladntext20"/>
        <w:shd w:val="clear" w:color="auto" w:fill="auto"/>
        <w:spacing w:after="0"/>
        <w:ind w:left="1134" w:right="1410" w:firstLine="0"/>
        <w:jc w:val="both"/>
        <w:rPr>
          <w:bCs/>
          <w:sz w:val="23"/>
          <w:szCs w:val="23"/>
        </w:rPr>
      </w:pPr>
      <w:r>
        <w:rPr>
          <w:sz w:val="23"/>
          <w:szCs w:val="23"/>
        </w:rPr>
        <w:t xml:space="preserve">Nově vzniklý pozemek p. č. st. 1661/2 o výměře 399 m2 byl vydělen z pozemku pare. č. 8/1, LV č. 1207, </w:t>
      </w:r>
      <w:proofErr w:type="spellStart"/>
      <w:proofErr w:type="gramStart"/>
      <w:r>
        <w:rPr>
          <w:sz w:val="23"/>
          <w:szCs w:val="23"/>
        </w:rPr>
        <w:t>k.ú</w:t>
      </w:r>
      <w:proofErr w:type="spellEnd"/>
      <w:r>
        <w:rPr>
          <w:sz w:val="23"/>
          <w:szCs w:val="23"/>
        </w:rPr>
        <w:t>.</w:t>
      </w:r>
      <w:proofErr w:type="gramEnd"/>
      <w:r>
        <w:rPr>
          <w:sz w:val="23"/>
          <w:szCs w:val="23"/>
        </w:rPr>
        <w:t xml:space="preserve"> Michálkovice, geometrickým plánem č. 2131-29/2018 zpracovaným Ing. Martinem Olšarem. Předmět koupě byl dle znaleckého posudku č. 473/23/2020 ze dne </w:t>
      </w:r>
      <w:proofErr w:type="gramStart"/>
      <w:r>
        <w:rPr>
          <w:sz w:val="23"/>
          <w:szCs w:val="23"/>
        </w:rPr>
        <w:t>23.10.2020</w:t>
      </w:r>
      <w:proofErr w:type="gramEnd"/>
      <w:r>
        <w:rPr>
          <w:sz w:val="23"/>
          <w:szCs w:val="23"/>
        </w:rPr>
        <w:t xml:space="preserve">, vypracovaného znalkyní Ing. Naděždou </w:t>
      </w:r>
      <w:proofErr w:type="spellStart"/>
      <w:r>
        <w:rPr>
          <w:sz w:val="23"/>
          <w:szCs w:val="23"/>
        </w:rPr>
        <w:t>Múllerovou</w:t>
      </w:r>
      <w:proofErr w:type="spellEnd"/>
      <w:r>
        <w:rPr>
          <w:sz w:val="23"/>
          <w:szCs w:val="23"/>
        </w:rPr>
        <w:t xml:space="preserve">, oceněn částkou </w:t>
      </w:r>
      <w:r>
        <w:rPr>
          <w:b/>
          <w:bCs/>
          <w:sz w:val="23"/>
          <w:szCs w:val="23"/>
        </w:rPr>
        <w:t xml:space="preserve">74 520 Kč </w:t>
      </w:r>
      <w:r>
        <w:rPr>
          <w:bCs/>
          <w:sz w:val="23"/>
          <w:szCs w:val="23"/>
        </w:rPr>
        <w:t>jako cenou zjištěnou v souladu s cenovou vyhláškou.</w:t>
      </w:r>
    </w:p>
    <w:p w:rsidR="002D3DC0" w:rsidRDefault="002D3DC0" w:rsidP="002D3DC0">
      <w:pPr>
        <w:pStyle w:val="Zkladntext20"/>
        <w:shd w:val="clear" w:color="auto" w:fill="auto"/>
        <w:spacing w:after="0"/>
        <w:ind w:left="1134" w:right="1410" w:firstLine="0"/>
        <w:jc w:val="both"/>
        <w:rPr>
          <w:bCs/>
          <w:sz w:val="23"/>
          <w:szCs w:val="23"/>
        </w:rPr>
      </w:pPr>
    </w:p>
    <w:p w:rsidR="002D3DC0" w:rsidRDefault="002D3DC0" w:rsidP="002D3DC0">
      <w:pPr>
        <w:pStyle w:val="Zkladntext20"/>
        <w:shd w:val="clear" w:color="auto" w:fill="auto"/>
        <w:spacing w:after="0"/>
        <w:ind w:left="1134" w:right="1410" w:firstLine="0"/>
        <w:jc w:val="both"/>
        <w:rPr>
          <w:bCs/>
          <w:sz w:val="23"/>
          <w:szCs w:val="23"/>
        </w:rPr>
      </w:pPr>
    </w:p>
    <w:p w:rsidR="002D3DC0" w:rsidRDefault="002D3DC0" w:rsidP="002D3DC0">
      <w:pPr>
        <w:pStyle w:val="Zkladntext20"/>
        <w:shd w:val="clear" w:color="auto" w:fill="auto"/>
        <w:spacing w:after="0"/>
        <w:ind w:left="1134" w:right="1410" w:firstLine="0"/>
        <w:jc w:val="both"/>
        <w:rPr>
          <w:bCs/>
          <w:sz w:val="23"/>
          <w:szCs w:val="23"/>
        </w:rPr>
      </w:pPr>
    </w:p>
    <w:p w:rsidR="002D3DC0" w:rsidRDefault="002D3DC0" w:rsidP="002D3DC0">
      <w:pPr>
        <w:pStyle w:val="Zkladntext20"/>
        <w:shd w:val="clear" w:color="auto" w:fill="auto"/>
        <w:spacing w:after="0"/>
        <w:ind w:left="1134" w:right="1410" w:firstLine="0"/>
        <w:jc w:val="both"/>
        <w:rPr>
          <w:bCs/>
          <w:sz w:val="23"/>
          <w:szCs w:val="23"/>
        </w:rPr>
      </w:pPr>
    </w:p>
    <w:p w:rsidR="002D3DC0" w:rsidRDefault="002D3DC0" w:rsidP="002D3DC0">
      <w:pPr>
        <w:pStyle w:val="Zkladntext20"/>
        <w:shd w:val="clear" w:color="auto" w:fill="auto"/>
        <w:spacing w:after="0"/>
        <w:ind w:left="1134" w:right="1410" w:firstLine="0"/>
        <w:jc w:val="both"/>
        <w:rPr>
          <w:bCs/>
          <w:sz w:val="23"/>
          <w:szCs w:val="23"/>
        </w:rPr>
      </w:pPr>
      <w:r>
        <w:rPr>
          <w:bCs/>
          <w:sz w:val="23"/>
          <w:szCs w:val="23"/>
        </w:rPr>
        <w:tab/>
      </w:r>
      <w:r>
        <w:rPr>
          <w:bCs/>
          <w:sz w:val="23"/>
          <w:szCs w:val="23"/>
        </w:rPr>
        <w:tab/>
      </w:r>
      <w:r>
        <w:rPr>
          <w:bCs/>
          <w:sz w:val="23"/>
          <w:szCs w:val="23"/>
        </w:rPr>
        <w:tab/>
      </w:r>
      <w:r>
        <w:rPr>
          <w:bCs/>
          <w:sz w:val="23"/>
          <w:szCs w:val="23"/>
        </w:rPr>
        <w:tab/>
      </w:r>
      <w:r>
        <w:rPr>
          <w:bCs/>
          <w:sz w:val="23"/>
          <w:szCs w:val="23"/>
        </w:rPr>
        <w:tab/>
      </w:r>
      <w:r>
        <w:rPr>
          <w:bCs/>
          <w:sz w:val="23"/>
          <w:szCs w:val="23"/>
        </w:rPr>
        <w:tab/>
      </w:r>
      <w:r>
        <w:rPr>
          <w:bCs/>
          <w:sz w:val="23"/>
          <w:szCs w:val="23"/>
        </w:rPr>
        <w:tab/>
        <w:t>…………………………………………</w:t>
      </w:r>
    </w:p>
    <w:p w:rsidR="002D3DC0" w:rsidRDefault="002D3DC0" w:rsidP="002D3DC0">
      <w:pPr>
        <w:pStyle w:val="Zkladntext20"/>
        <w:shd w:val="clear" w:color="auto" w:fill="auto"/>
        <w:spacing w:after="0"/>
        <w:ind w:left="1134" w:right="1410" w:firstLine="0"/>
        <w:jc w:val="both"/>
        <w:rPr>
          <w:bCs/>
          <w:sz w:val="23"/>
          <w:szCs w:val="23"/>
        </w:rPr>
      </w:pPr>
      <w:r>
        <w:rPr>
          <w:bCs/>
          <w:sz w:val="23"/>
          <w:szCs w:val="23"/>
        </w:rPr>
        <w:tab/>
      </w:r>
      <w:r>
        <w:rPr>
          <w:bCs/>
          <w:sz w:val="23"/>
          <w:szCs w:val="23"/>
        </w:rPr>
        <w:tab/>
      </w:r>
      <w:r>
        <w:rPr>
          <w:bCs/>
          <w:sz w:val="23"/>
          <w:szCs w:val="23"/>
        </w:rPr>
        <w:tab/>
      </w:r>
      <w:r>
        <w:rPr>
          <w:bCs/>
          <w:sz w:val="23"/>
          <w:szCs w:val="23"/>
        </w:rPr>
        <w:tab/>
      </w:r>
      <w:r>
        <w:rPr>
          <w:bCs/>
          <w:sz w:val="23"/>
          <w:szCs w:val="23"/>
        </w:rPr>
        <w:tab/>
      </w:r>
      <w:r>
        <w:rPr>
          <w:bCs/>
          <w:sz w:val="23"/>
          <w:szCs w:val="23"/>
        </w:rPr>
        <w:tab/>
      </w:r>
      <w:r>
        <w:rPr>
          <w:bCs/>
          <w:sz w:val="23"/>
          <w:szCs w:val="23"/>
        </w:rPr>
        <w:tab/>
      </w:r>
      <w:r>
        <w:rPr>
          <w:bCs/>
          <w:sz w:val="23"/>
          <w:szCs w:val="23"/>
        </w:rPr>
        <w:tab/>
        <w:t xml:space="preserve">Mgr. Jiří </w:t>
      </w:r>
      <w:proofErr w:type="spellStart"/>
      <w:r>
        <w:rPr>
          <w:bCs/>
          <w:sz w:val="23"/>
          <w:szCs w:val="23"/>
        </w:rPr>
        <w:t>Vajčner</w:t>
      </w:r>
      <w:proofErr w:type="spellEnd"/>
      <w:r>
        <w:rPr>
          <w:bCs/>
          <w:sz w:val="23"/>
          <w:szCs w:val="23"/>
        </w:rPr>
        <w:t>, Ph.D.</w:t>
      </w:r>
    </w:p>
    <w:p w:rsidR="002D3DC0" w:rsidRPr="002D3DC0" w:rsidRDefault="002D3DC0" w:rsidP="002D3DC0">
      <w:pPr>
        <w:pStyle w:val="Zkladntext20"/>
        <w:shd w:val="clear" w:color="auto" w:fill="auto"/>
        <w:spacing w:after="0"/>
        <w:ind w:left="1134" w:right="1410" w:firstLine="0"/>
        <w:jc w:val="both"/>
      </w:pPr>
    </w:p>
    <w:p w:rsidR="002D3DC0" w:rsidRDefault="002D3DC0">
      <w:pPr>
        <w:pStyle w:val="Zkladntext20"/>
        <w:shd w:val="clear" w:color="auto" w:fill="auto"/>
        <w:spacing w:after="0"/>
        <w:ind w:left="720" w:hanging="340"/>
        <w:jc w:val="both"/>
      </w:pPr>
    </w:p>
    <w:p w:rsidR="001E1EDE" w:rsidRDefault="001E1EDE">
      <w:pPr>
        <w:spacing w:line="1" w:lineRule="exact"/>
        <w:sectPr w:rsidR="001E1EDE">
          <w:headerReference w:type="even" r:id="rId13"/>
          <w:headerReference w:type="default" r:id="rId14"/>
          <w:footerReference w:type="even" r:id="rId15"/>
          <w:footerReference w:type="default" r:id="rId16"/>
          <w:type w:val="continuous"/>
          <w:pgSz w:w="11900" w:h="16840"/>
          <w:pgMar w:top="1425" w:right="0" w:bottom="1425" w:left="0" w:header="0" w:footer="3" w:gutter="0"/>
          <w:cols w:space="720"/>
          <w:noEndnote/>
          <w:docGrid w:linePitch="360"/>
        </w:sectPr>
      </w:pPr>
    </w:p>
    <w:p w:rsidR="001E1EDE" w:rsidRDefault="001E1EDE" w:rsidP="002D3DC0">
      <w:pPr>
        <w:spacing w:line="360" w:lineRule="exact"/>
      </w:pPr>
    </w:p>
    <w:sectPr w:rsidR="001E1EDE">
      <w:type w:val="continuous"/>
      <w:pgSz w:w="11900" w:h="16840"/>
      <w:pgMar w:top="1425" w:right="1313" w:bottom="1425" w:left="142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55B" w:rsidRDefault="004D755B">
      <w:r>
        <w:separator/>
      </w:r>
    </w:p>
  </w:endnote>
  <w:endnote w:type="continuationSeparator" w:id="0">
    <w:p w:rsidR="004D755B" w:rsidRDefault="004D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789" w:rsidRDefault="006E1789">
    <w:pPr>
      <w:spacing w:line="1" w:lineRule="exact"/>
    </w:pPr>
    <w:r>
      <w:rPr>
        <w:noProof/>
        <w:lang w:bidi="ar-SA"/>
      </w:rPr>
      <mc:AlternateContent>
        <mc:Choice Requires="wps">
          <w:drawing>
            <wp:anchor distT="0" distB="0" distL="0" distR="0" simplePos="0" relativeHeight="62914697" behindDoc="1" locked="0" layoutInCell="1" allowOverlap="1">
              <wp:simplePos x="0" y="0"/>
              <wp:positionH relativeFrom="page">
                <wp:posOffset>3591560</wp:posOffset>
              </wp:positionH>
              <wp:positionV relativeFrom="page">
                <wp:posOffset>10053955</wp:posOffset>
              </wp:positionV>
              <wp:extent cx="514350" cy="68580"/>
              <wp:effectExtent l="0" t="0" r="0" b="0"/>
              <wp:wrapNone/>
              <wp:docPr id="9" name="Shape 9"/>
              <wp:cNvGraphicFramePr/>
              <a:graphic xmlns:a="http://schemas.openxmlformats.org/drawingml/2006/main">
                <a:graphicData uri="http://schemas.microsoft.com/office/word/2010/wordprocessingShape">
                  <wps:wsp>
                    <wps:cNvSpPr txBox="1"/>
                    <wps:spPr>
                      <a:xfrm>
                        <a:off x="0" y="0"/>
                        <a:ext cx="514350" cy="68580"/>
                      </a:xfrm>
                      <a:prstGeom prst="rect">
                        <a:avLst/>
                      </a:prstGeom>
                      <a:noFill/>
                    </wps:spPr>
                    <wps:txbx>
                      <w:txbxContent>
                        <w:p w:rsidR="006E1789" w:rsidRDefault="006E1789">
                          <w:pPr>
                            <w:pStyle w:val="Zhlavnebozpat20"/>
                            <w:shd w:val="clear" w:color="auto" w:fill="auto"/>
                            <w:rPr>
                              <w:sz w:val="14"/>
                              <w:szCs w:val="14"/>
                            </w:rPr>
                          </w:pPr>
                          <w:proofErr w:type="gramStart"/>
                          <w:r>
                            <w:rPr>
                              <w:rFonts w:ascii="Arial" w:eastAsia="Arial" w:hAnsi="Arial" w:cs="Arial"/>
                              <w:sz w:val="14"/>
                              <w:szCs w:val="14"/>
                            </w:rPr>
                            <w:t xml:space="preserve">Stránka </w:t>
                          </w:r>
                          <w:proofErr w:type="gramEnd"/>
                          <w:r>
                            <w:fldChar w:fldCharType="begin"/>
                          </w:r>
                          <w:r>
                            <w:instrText xml:space="preserve"> PAGE \* MERGEFORMAT </w:instrText>
                          </w:r>
                          <w:r>
                            <w:fldChar w:fldCharType="separate"/>
                          </w:r>
                          <w:r w:rsidR="00044E16" w:rsidRPr="00044E16">
                            <w:rPr>
                              <w:rFonts w:ascii="Arial" w:eastAsia="Arial" w:hAnsi="Arial" w:cs="Arial"/>
                              <w:noProof/>
                              <w:sz w:val="14"/>
                              <w:szCs w:val="14"/>
                            </w:rPr>
                            <w:t>2</w:t>
                          </w:r>
                          <w:r>
                            <w:rPr>
                              <w:rFonts w:ascii="Arial" w:eastAsia="Arial" w:hAnsi="Arial" w:cs="Arial"/>
                              <w:sz w:val="14"/>
                              <w:szCs w:val="14"/>
                            </w:rPr>
                            <w:fldChar w:fldCharType="end"/>
                          </w:r>
                          <w:proofErr w:type="gramStart"/>
                          <w:r>
                            <w:rPr>
                              <w:rFonts w:ascii="Arial" w:eastAsia="Arial" w:hAnsi="Arial" w:cs="Arial"/>
                              <w:sz w:val="14"/>
                              <w:szCs w:val="14"/>
                            </w:rPr>
                            <w:t xml:space="preserve"> z 4</w:t>
                          </w:r>
                          <w:proofErr w:type="gram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9" type="#_x0000_t202" style="position:absolute;margin-left:282.8pt;margin-top:791.65pt;width:40.5pt;height:5.4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" filled="f" stroked="f">
              <v:textbox style="mso-fit-shape-to-text:t" inset="0,0,0,0">
                <w:txbxContent>
                  <w:p w:rsidR="006E1789" w:rsidRDefault="006E1789">
                    <w:pPr>
                      <w:pStyle w:val="Zhlavnebozpat20"/>
                      <w:shd w:val="clear" w:color="auto" w:fill="auto"/>
                      <w:rPr>
                        <w:sz w:val="14"/>
                        <w:szCs w:val="14"/>
                      </w:rPr>
                    </w:pPr>
                    <w:proofErr w:type="gramStart"/>
                    <w:r>
                      <w:rPr>
                        <w:rFonts w:ascii="Arial" w:eastAsia="Arial" w:hAnsi="Arial" w:cs="Arial"/>
                        <w:sz w:val="14"/>
                        <w:szCs w:val="14"/>
                      </w:rPr>
                      <w:t xml:space="preserve">Stránka </w:t>
                    </w:r>
                    <w:proofErr w:type="gramEnd"/>
                    <w:r>
                      <w:fldChar w:fldCharType="begin"/>
                    </w:r>
                    <w:r>
                      <w:instrText xml:space="preserve"> PAGE \* MERGEFORMAT </w:instrText>
                    </w:r>
                    <w:r>
                      <w:fldChar w:fldCharType="separate"/>
                    </w:r>
                    <w:r w:rsidR="00044E16" w:rsidRPr="00044E16">
                      <w:rPr>
                        <w:rFonts w:ascii="Arial" w:eastAsia="Arial" w:hAnsi="Arial" w:cs="Arial"/>
                        <w:noProof/>
                        <w:sz w:val="14"/>
                        <w:szCs w:val="14"/>
                      </w:rPr>
                      <w:t>2</w:t>
                    </w:r>
                    <w:r>
                      <w:rPr>
                        <w:rFonts w:ascii="Arial" w:eastAsia="Arial" w:hAnsi="Arial" w:cs="Arial"/>
                        <w:sz w:val="14"/>
                        <w:szCs w:val="14"/>
                      </w:rPr>
                      <w:fldChar w:fldCharType="end"/>
                    </w:r>
                    <w:proofErr w:type="gramStart"/>
                    <w:r>
                      <w:rPr>
                        <w:rFonts w:ascii="Arial" w:eastAsia="Arial" w:hAnsi="Arial" w:cs="Arial"/>
                        <w:sz w:val="14"/>
                        <w:szCs w:val="14"/>
                      </w:rPr>
                      <w:t xml:space="preserve"> z 4</w:t>
                    </w:r>
                    <w:proofErr w:type="gram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789" w:rsidRDefault="006E1789">
    <w:pPr>
      <w:spacing w:line="1" w:lineRule="exact"/>
    </w:pPr>
    <w:r>
      <w:rPr>
        <w:noProof/>
        <w:lang w:bidi="ar-SA"/>
      </w:rPr>
      <mc:AlternateContent>
        <mc:Choice Requires="wps">
          <w:drawing>
            <wp:anchor distT="0" distB="0" distL="0" distR="0" simplePos="0" relativeHeight="62914693" behindDoc="1" locked="0" layoutInCell="1" allowOverlap="1">
              <wp:simplePos x="0" y="0"/>
              <wp:positionH relativeFrom="page">
                <wp:posOffset>3591560</wp:posOffset>
              </wp:positionH>
              <wp:positionV relativeFrom="page">
                <wp:posOffset>10053955</wp:posOffset>
              </wp:positionV>
              <wp:extent cx="514350" cy="68580"/>
              <wp:effectExtent l="0" t="0" r="0" b="0"/>
              <wp:wrapNone/>
              <wp:docPr id="5" name="Shape 5"/>
              <wp:cNvGraphicFramePr/>
              <a:graphic xmlns:a="http://schemas.openxmlformats.org/drawingml/2006/main">
                <a:graphicData uri="http://schemas.microsoft.com/office/word/2010/wordprocessingShape">
                  <wps:wsp>
                    <wps:cNvSpPr txBox="1"/>
                    <wps:spPr>
                      <a:xfrm>
                        <a:off x="0" y="0"/>
                        <a:ext cx="514350" cy="68580"/>
                      </a:xfrm>
                      <a:prstGeom prst="rect">
                        <a:avLst/>
                      </a:prstGeom>
                      <a:noFill/>
                    </wps:spPr>
                    <wps:txbx>
                      <w:txbxContent>
                        <w:p w:rsidR="006E1789" w:rsidRDefault="006E1789">
                          <w:pPr>
                            <w:pStyle w:val="Zhlavnebozpat20"/>
                            <w:shd w:val="clear" w:color="auto" w:fill="auto"/>
                            <w:rPr>
                              <w:sz w:val="14"/>
                              <w:szCs w:val="14"/>
                            </w:rPr>
                          </w:pPr>
                          <w:proofErr w:type="gramStart"/>
                          <w:r>
                            <w:rPr>
                              <w:rFonts w:ascii="Arial" w:eastAsia="Arial" w:hAnsi="Arial" w:cs="Arial"/>
                              <w:sz w:val="14"/>
                              <w:szCs w:val="14"/>
                            </w:rPr>
                            <w:t xml:space="preserve">Stránka </w:t>
                          </w:r>
                          <w:proofErr w:type="gramEnd"/>
                          <w:r>
                            <w:fldChar w:fldCharType="begin"/>
                          </w:r>
                          <w:r>
                            <w:instrText xml:space="preserve"> PAGE \* MERGEFORMAT </w:instrText>
                          </w:r>
                          <w:r>
                            <w:fldChar w:fldCharType="separate"/>
                          </w:r>
                          <w:r w:rsidR="00044E16" w:rsidRPr="00044E16">
                            <w:rPr>
                              <w:rFonts w:ascii="Arial" w:eastAsia="Arial" w:hAnsi="Arial" w:cs="Arial"/>
                              <w:noProof/>
                              <w:sz w:val="14"/>
                              <w:szCs w:val="14"/>
                            </w:rPr>
                            <w:t>1</w:t>
                          </w:r>
                          <w:r>
                            <w:rPr>
                              <w:rFonts w:ascii="Arial" w:eastAsia="Arial" w:hAnsi="Arial" w:cs="Arial"/>
                              <w:sz w:val="14"/>
                              <w:szCs w:val="14"/>
                            </w:rPr>
                            <w:fldChar w:fldCharType="end"/>
                          </w:r>
                          <w:proofErr w:type="gramStart"/>
                          <w:r>
                            <w:rPr>
                              <w:rFonts w:ascii="Arial" w:eastAsia="Arial" w:hAnsi="Arial" w:cs="Arial"/>
                              <w:sz w:val="14"/>
                              <w:szCs w:val="14"/>
                            </w:rPr>
                            <w:t xml:space="preserve"> z 4</w:t>
                          </w:r>
                          <w:proofErr w:type="gram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0" type="#_x0000_t202" style="position:absolute;margin-left:282.8pt;margin-top:791.65pt;width:40.5pt;height:5.4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" filled="f" stroked="f">
              <v:textbox style="mso-fit-shape-to-text:t" inset="0,0,0,0">
                <w:txbxContent>
                  <w:p w:rsidR="006E1789" w:rsidRDefault="006E1789">
                    <w:pPr>
                      <w:pStyle w:val="Zhlavnebozpat20"/>
                      <w:shd w:val="clear" w:color="auto" w:fill="auto"/>
                      <w:rPr>
                        <w:sz w:val="14"/>
                        <w:szCs w:val="14"/>
                      </w:rPr>
                    </w:pPr>
                    <w:proofErr w:type="gramStart"/>
                    <w:r>
                      <w:rPr>
                        <w:rFonts w:ascii="Arial" w:eastAsia="Arial" w:hAnsi="Arial" w:cs="Arial"/>
                        <w:sz w:val="14"/>
                        <w:szCs w:val="14"/>
                      </w:rPr>
                      <w:t xml:space="preserve">Stránka </w:t>
                    </w:r>
                    <w:proofErr w:type="gramEnd"/>
                    <w:r>
                      <w:fldChar w:fldCharType="begin"/>
                    </w:r>
                    <w:r>
                      <w:instrText xml:space="preserve"> PAGE \* MERGEFORMAT </w:instrText>
                    </w:r>
                    <w:r>
                      <w:fldChar w:fldCharType="separate"/>
                    </w:r>
                    <w:r w:rsidR="00044E16" w:rsidRPr="00044E16">
                      <w:rPr>
                        <w:rFonts w:ascii="Arial" w:eastAsia="Arial" w:hAnsi="Arial" w:cs="Arial"/>
                        <w:noProof/>
                        <w:sz w:val="14"/>
                        <w:szCs w:val="14"/>
                      </w:rPr>
                      <w:t>1</w:t>
                    </w:r>
                    <w:r>
                      <w:rPr>
                        <w:rFonts w:ascii="Arial" w:eastAsia="Arial" w:hAnsi="Arial" w:cs="Arial"/>
                        <w:sz w:val="14"/>
                        <w:szCs w:val="14"/>
                      </w:rPr>
                      <w:fldChar w:fldCharType="end"/>
                    </w:r>
                    <w:proofErr w:type="gramStart"/>
                    <w:r>
                      <w:rPr>
                        <w:rFonts w:ascii="Arial" w:eastAsia="Arial" w:hAnsi="Arial" w:cs="Arial"/>
                        <w:sz w:val="14"/>
                        <w:szCs w:val="14"/>
                      </w:rPr>
                      <w:t xml:space="preserve"> z 4</w:t>
                    </w:r>
                    <w:proofErr w:type="gramEnd"/>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789" w:rsidRDefault="006E1789">
    <w:pPr>
      <w:spacing w:line="1" w:lineRule="exac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789" w:rsidRDefault="006E1789">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55B" w:rsidRDefault="004D755B"/>
  </w:footnote>
  <w:footnote w:type="continuationSeparator" w:id="0">
    <w:p w:rsidR="004D755B" w:rsidRDefault="004D755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789" w:rsidRDefault="006E1789">
    <w:pPr>
      <w:spacing w:line="1" w:lineRule="exact"/>
    </w:pPr>
    <w:r>
      <w:rPr>
        <w:noProof/>
        <w:lang w:bidi="ar-SA"/>
      </w:rPr>
      <mc:AlternateContent>
        <mc:Choice Requires="wps">
          <w:drawing>
            <wp:anchor distT="0" distB="0" distL="0" distR="0" simplePos="0" relativeHeight="62914695" behindDoc="1" locked="0" layoutInCell="1" allowOverlap="1">
              <wp:simplePos x="0" y="0"/>
              <wp:positionH relativeFrom="page">
                <wp:posOffset>3495675</wp:posOffset>
              </wp:positionH>
              <wp:positionV relativeFrom="page">
                <wp:posOffset>478155</wp:posOffset>
              </wp:positionV>
              <wp:extent cx="667385" cy="155575"/>
              <wp:effectExtent l="0" t="0" r="0" b="0"/>
              <wp:wrapNone/>
              <wp:docPr id="7" name="Shape 7"/>
              <wp:cNvGraphicFramePr/>
              <a:graphic xmlns:a="http://schemas.openxmlformats.org/drawingml/2006/main">
                <a:graphicData uri="http://schemas.microsoft.com/office/word/2010/wordprocessingShape">
                  <wps:wsp>
                    <wps:cNvSpPr txBox="1"/>
                    <wps:spPr>
                      <a:xfrm>
                        <a:off x="0" y="0"/>
                        <a:ext cx="667385" cy="155575"/>
                      </a:xfrm>
                      <a:prstGeom prst="rect">
                        <a:avLst/>
                      </a:prstGeom>
                      <a:noFill/>
                    </wps:spPr>
                    <wps:txbx>
                      <w:txbxContent>
                        <w:p w:rsidR="006E1789" w:rsidRDefault="006E1789">
                          <w:pPr>
                            <w:pStyle w:val="Zhlavnebozpat20"/>
                            <w:shd w:val="clear" w:color="auto" w:fill="auto"/>
                          </w:pPr>
                          <w:proofErr w:type="gramStart"/>
                          <w:r>
                            <w:rPr>
                              <w:rFonts w:ascii="Arial" w:eastAsia="Arial" w:hAnsi="Arial" w:cs="Arial"/>
                            </w:rPr>
                            <w:t>Č.j.</w:t>
                          </w:r>
                          <w:proofErr w:type="gramEnd"/>
                          <w:r>
                            <w:rPr>
                              <w:rFonts w:ascii="Arial" w:eastAsia="Arial" w:hAnsi="Arial" w:cs="Arial"/>
                            </w:rPr>
                            <w:t>: NPÚ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7" type="#_x0000_t202" style="position:absolute;margin-left:275.25pt;margin-top:37.65pt;width:52.55pt;height:12.25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" filled="f" stroked="f">
              <v:textbox style="mso-fit-shape-to-text:t" inset="0,0,0,0">
                <w:txbxContent>
                  <w:p w:rsidR="006E1789" w:rsidRDefault="006E1789">
                    <w:pPr>
                      <w:pStyle w:val="Zhlavnebozpat20"/>
                      <w:shd w:val="clear" w:color="auto" w:fill="auto"/>
                    </w:pPr>
                    <w:proofErr w:type="gramStart"/>
                    <w:r>
                      <w:rPr>
                        <w:rFonts w:ascii="Arial" w:eastAsia="Arial" w:hAnsi="Arial" w:cs="Arial"/>
                      </w:rPr>
                      <w:t>Č.j.</w:t>
                    </w:r>
                    <w:proofErr w:type="gramEnd"/>
                    <w:r>
                      <w:rPr>
                        <w:rFonts w:ascii="Arial" w:eastAsia="Arial" w:hAnsi="Arial" w:cs="Arial"/>
                      </w:rPr>
                      <w:t>: NPÚ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789" w:rsidRDefault="006E1789">
    <w:pPr>
      <w:spacing w:line="1" w:lineRule="exact"/>
    </w:pPr>
    <w:r>
      <w:rPr>
        <w:noProof/>
        <w:lang w:bidi="ar-SA"/>
      </w:rPr>
      <mc:AlternateContent>
        <mc:Choice Requires="wps">
          <w:drawing>
            <wp:anchor distT="0" distB="0" distL="0" distR="0" simplePos="0" relativeHeight="62914691" behindDoc="1" locked="0" layoutInCell="1" allowOverlap="1">
              <wp:simplePos x="0" y="0"/>
              <wp:positionH relativeFrom="page">
                <wp:posOffset>3495675</wp:posOffset>
              </wp:positionH>
              <wp:positionV relativeFrom="page">
                <wp:posOffset>478155</wp:posOffset>
              </wp:positionV>
              <wp:extent cx="667385" cy="155575"/>
              <wp:effectExtent l="0" t="0" r="0" b="0"/>
              <wp:wrapNone/>
              <wp:docPr id="3" name="Shape 3"/>
              <wp:cNvGraphicFramePr/>
              <a:graphic xmlns:a="http://schemas.openxmlformats.org/drawingml/2006/main">
                <a:graphicData uri="http://schemas.microsoft.com/office/word/2010/wordprocessingShape">
                  <wps:wsp>
                    <wps:cNvSpPr txBox="1"/>
                    <wps:spPr>
                      <a:xfrm>
                        <a:off x="0" y="0"/>
                        <a:ext cx="667385" cy="155575"/>
                      </a:xfrm>
                      <a:prstGeom prst="rect">
                        <a:avLst/>
                      </a:prstGeom>
                      <a:noFill/>
                    </wps:spPr>
                    <wps:txbx>
                      <w:txbxContent>
                        <w:p w:rsidR="006E1789" w:rsidRDefault="006E1789">
                          <w:pPr>
                            <w:pStyle w:val="Zhlavnebozpat20"/>
                            <w:shd w:val="clear" w:color="auto" w:fill="auto"/>
                          </w:pPr>
                          <w:proofErr w:type="gramStart"/>
                          <w:r>
                            <w:rPr>
                              <w:rFonts w:ascii="Arial" w:eastAsia="Arial" w:hAnsi="Arial" w:cs="Arial"/>
                            </w:rPr>
                            <w:t>Č.j.</w:t>
                          </w:r>
                          <w:proofErr w:type="gramEnd"/>
                          <w:r>
                            <w:rPr>
                              <w:rFonts w:ascii="Arial" w:eastAsia="Arial" w:hAnsi="Arial" w:cs="Arial"/>
                            </w:rPr>
                            <w:t>: NPÚ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8" type="#_x0000_t202" style="position:absolute;margin-left:275.25pt;margin-top:37.65pt;width:52.55pt;height:12.25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" filled="f" stroked="f">
              <v:textbox style="mso-fit-shape-to-text:t" inset="0,0,0,0">
                <w:txbxContent>
                  <w:p w:rsidR="006E1789" w:rsidRDefault="006E1789">
                    <w:pPr>
                      <w:pStyle w:val="Zhlavnebozpat20"/>
                      <w:shd w:val="clear" w:color="auto" w:fill="auto"/>
                    </w:pPr>
                    <w:proofErr w:type="gramStart"/>
                    <w:r>
                      <w:rPr>
                        <w:rFonts w:ascii="Arial" w:eastAsia="Arial" w:hAnsi="Arial" w:cs="Arial"/>
                      </w:rPr>
                      <w:t>Č.j.</w:t>
                    </w:r>
                    <w:proofErr w:type="gramEnd"/>
                    <w:r>
                      <w:rPr>
                        <w:rFonts w:ascii="Arial" w:eastAsia="Arial" w:hAnsi="Arial" w:cs="Arial"/>
                      </w:rPr>
                      <w:t>: NPÚ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789" w:rsidRDefault="006E1789">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789" w:rsidRDefault="001B7F1B">
    <w:pPr>
      <w:spacing w:line="1" w:lineRule="exact"/>
    </w:pPr>
    <w:r>
      <w:t>p</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30E9C"/>
    <w:multiLevelType w:val="multilevel"/>
    <w:tmpl w:val="5C408104"/>
    <w:lvl w:ilvl="0">
      <w:start w:val="2"/>
      <w:numFmt w:val="decimal"/>
      <w:lvlText w:val="4.%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start w:val="3"/>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7D4556"/>
    <w:multiLevelType w:val="multilevel"/>
    <w:tmpl w:val="88D013FC"/>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EDE"/>
    <w:rsid w:val="00044E16"/>
    <w:rsid w:val="001B7F1B"/>
    <w:rsid w:val="001E1EDE"/>
    <w:rsid w:val="002D3DC0"/>
    <w:rsid w:val="002E4FE5"/>
    <w:rsid w:val="003F7AB1"/>
    <w:rsid w:val="004D755B"/>
    <w:rsid w:val="006E1789"/>
    <w:rsid w:val="00AF7B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1D9CF"/>
  <w15:docId w15:val="{F896F639-A3F9-4081-BF46-5CC1F785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Times New Roman" w:eastAsia="Times New Roman" w:hAnsi="Times New Roman" w:cs="Times New Roman"/>
      <w:b w:val="0"/>
      <w:bCs w:val="0"/>
      <w:i/>
      <w:iCs/>
      <w:smallCaps w:val="0"/>
      <w:strike w:val="0"/>
      <w:color w:val="2476C8"/>
      <w:sz w:val="30"/>
      <w:szCs w:val="3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u w:val="none"/>
    </w:rPr>
  </w:style>
  <w:style w:type="character" w:customStyle="1" w:styleId="Nadpis5">
    <w:name w:val="Nadpis #5_"/>
    <w:basedOn w:val="Standardnpsmoodstavce"/>
    <w:link w:val="Nadpis50"/>
    <w:rPr>
      <w:rFonts w:ascii="Calibri" w:eastAsia="Calibri" w:hAnsi="Calibri" w:cs="Calibri"/>
      <w:b/>
      <w:bCs/>
      <w:i w:val="0"/>
      <w:iCs w:val="0"/>
      <w:smallCaps w:val="0"/>
      <w:strike w:val="0"/>
      <w:sz w:val="20"/>
      <w:szCs w:val="20"/>
      <w:u w:val="none"/>
    </w:rPr>
  </w:style>
  <w:style w:type="character" w:customStyle="1" w:styleId="Nadpis4">
    <w:name w:val="Nadpis #4_"/>
    <w:basedOn w:val="Standardnpsmoodstavce"/>
    <w:link w:val="Nadpis40"/>
    <w:rPr>
      <w:rFonts w:ascii="Times New Roman" w:eastAsia="Times New Roman" w:hAnsi="Times New Roman" w:cs="Times New Roman"/>
      <w:b w:val="0"/>
      <w:bCs w:val="0"/>
      <w:i w:val="0"/>
      <w:iCs w:val="0"/>
      <w:smallCaps w:val="0"/>
      <w:strike w:val="0"/>
      <w:color w:val="8CB4D9"/>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Nadpis3">
    <w:name w:val="Nadpis #3_"/>
    <w:basedOn w:val="Standardnpsmoodstavce"/>
    <w:link w:val="Nadpis30"/>
    <w:rPr>
      <w:rFonts w:ascii="Arial Narrow" w:eastAsia="Arial Narrow" w:hAnsi="Arial Narrow" w:cs="Arial Narrow"/>
      <w:b w:val="0"/>
      <w:bCs w:val="0"/>
      <w:i w:val="0"/>
      <w:iCs w:val="0"/>
      <w:smallCaps w:val="0"/>
      <w:strike w:val="0"/>
      <w:w w:val="70"/>
      <w:sz w:val="28"/>
      <w:szCs w:val="28"/>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5"/>
      <w:szCs w:val="15"/>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4"/>
      <w:szCs w:val="14"/>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9"/>
      <w:szCs w:val="19"/>
      <w:u w:val="none"/>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10"/>
      <w:szCs w:val="1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9"/>
      <w:szCs w:val="9"/>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3"/>
      <w:szCs w:val="13"/>
      <w:u w:val="none"/>
    </w:rPr>
  </w:style>
  <w:style w:type="character" w:customStyle="1" w:styleId="rovkd">
    <w:name w:val="Čárový kód_"/>
    <w:basedOn w:val="Standardnpsmoodstavce"/>
    <w:link w:val="rovkd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40"/>
      <w:szCs w:val="40"/>
      <w:u w:val="none"/>
    </w:rPr>
  </w:style>
  <w:style w:type="paragraph" w:customStyle="1" w:styleId="Nadpis20">
    <w:name w:val="Nadpis #2"/>
    <w:basedOn w:val="Normln"/>
    <w:link w:val="Nadpis2"/>
    <w:pPr>
      <w:shd w:val="clear" w:color="auto" w:fill="FFFFFF"/>
      <w:outlineLvl w:val="1"/>
    </w:pPr>
    <w:rPr>
      <w:rFonts w:ascii="Times New Roman" w:eastAsia="Times New Roman" w:hAnsi="Times New Roman" w:cs="Times New Roman"/>
      <w:i/>
      <w:iCs/>
      <w:color w:val="2476C8"/>
      <w:sz w:val="30"/>
      <w:szCs w:val="30"/>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rPr>
  </w:style>
  <w:style w:type="paragraph" w:customStyle="1" w:styleId="Nadpis50">
    <w:name w:val="Nadpis #5"/>
    <w:basedOn w:val="Normln"/>
    <w:link w:val="Nadpis5"/>
    <w:pPr>
      <w:shd w:val="clear" w:color="auto" w:fill="FFFFFF"/>
      <w:spacing w:after="130"/>
      <w:outlineLvl w:val="4"/>
    </w:pPr>
    <w:rPr>
      <w:rFonts w:ascii="Calibri" w:eastAsia="Calibri" w:hAnsi="Calibri" w:cs="Calibri"/>
      <w:b/>
      <w:bCs/>
      <w:sz w:val="20"/>
      <w:szCs w:val="20"/>
    </w:rPr>
  </w:style>
  <w:style w:type="paragraph" w:customStyle="1" w:styleId="Nadpis40">
    <w:name w:val="Nadpis #4"/>
    <w:basedOn w:val="Normln"/>
    <w:link w:val="Nadpis4"/>
    <w:pPr>
      <w:shd w:val="clear" w:color="auto" w:fill="FFFFFF"/>
      <w:spacing w:after="90"/>
      <w:outlineLvl w:val="3"/>
    </w:pPr>
    <w:rPr>
      <w:rFonts w:ascii="Times New Roman" w:eastAsia="Times New Roman" w:hAnsi="Times New Roman" w:cs="Times New Roman"/>
      <w:color w:val="8CB4D9"/>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200"/>
    </w:pPr>
    <w:rPr>
      <w:rFonts w:ascii="Calibri" w:eastAsia="Calibri" w:hAnsi="Calibri" w:cs="Calibri"/>
      <w:sz w:val="20"/>
      <w:szCs w:val="20"/>
    </w:rPr>
  </w:style>
  <w:style w:type="paragraph" w:customStyle="1" w:styleId="Zkladntext20">
    <w:name w:val="Základní text (2)"/>
    <w:basedOn w:val="Normln"/>
    <w:link w:val="Zkladntext2"/>
    <w:pPr>
      <w:shd w:val="clear" w:color="auto" w:fill="FFFFFF"/>
      <w:spacing w:after="260"/>
      <w:ind w:firstLine="140"/>
    </w:pPr>
    <w:rPr>
      <w:rFonts w:ascii="Times New Roman" w:eastAsia="Times New Roman" w:hAnsi="Times New Roman" w:cs="Times New Roman"/>
    </w:rPr>
  </w:style>
  <w:style w:type="paragraph" w:customStyle="1" w:styleId="Nadpis30">
    <w:name w:val="Nadpis #3"/>
    <w:basedOn w:val="Normln"/>
    <w:link w:val="Nadpis3"/>
    <w:pPr>
      <w:shd w:val="clear" w:color="auto" w:fill="FFFFFF"/>
      <w:spacing w:line="403" w:lineRule="auto"/>
      <w:ind w:left="1980"/>
      <w:outlineLvl w:val="2"/>
    </w:pPr>
    <w:rPr>
      <w:rFonts w:ascii="Arial Narrow" w:eastAsia="Arial Narrow" w:hAnsi="Arial Narrow" w:cs="Arial Narrow"/>
      <w:w w:val="70"/>
      <w:sz w:val="28"/>
      <w:szCs w:val="28"/>
    </w:rPr>
  </w:style>
  <w:style w:type="paragraph" w:customStyle="1" w:styleId="Zkladntext40">
    <w:name w:val="Základní text (4)"/>
    <w:basedOn w:val="Normln"/>
    <w:link w:val="Zkladntext4"/>
    <w:pPr>
      <w:shd w:val="clear" w:color="auto" w:fill="FFFFFF"/>
      <w:spacing w:line="221" w:lineRule="auto"/>
    </w:pPr>
    <w:rPr>
      <w:rFonts w:ascii="Arial" w:eastAsia="Arial" w:hAnsi="Arial" w:cs="Arial"/>
      <w:sz w:val="15"/>
      <w:szCs w:val="15"/>
    </w:rPr>
  </w:style>
  <w:style w:type="paragraph" w:customStyle="1" w:styleId="Jin0">
    <w:name w:val="Jiné"/>
    <w:basedOn w:val="Normln"/>
    <w:link w:val="Jin"/>
    <w:pPr>
      <w:shd w:val="clear" w:color="auto" w:fill="FFFFFF"/>
      <w:spacing w:after="200"/>
    </w:pPr>
    <w:rPr>
      <w:rFonts w:ascii="Calibri" w:eastAsia="Calibri" w:hAnsi="Calibri" w:cs="Calibri"/>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14"/>
      <w:szCs w:val="14"/>
    </w:rPr>
  </w:style>
  <w:style w:type="paragraph" w:customStyle="1" w:styleId="Zkladntext70">
    <w:name w:val="Základní text (7)"/>
    <w:basedOn w:val="Normln"/>
    <w:link w:val="Zkladntext7"/>
    <w:pPr>
      <w:shd w:val="clear" w:color="auto" w:fill="FFFFFF"/>
    </w:pPr>
    <w:rPr>
      <w:rFonts w:ascii="Arial" w:eastAsia="Arial" w:hAnsi="Arial" w:cs="Arial"/>
      <w:sz w:val="19"/>
      <w:szCs w:val="19"/>
    </w:rPr>
  </w:style>
  <w:style w:type="paragraph" w:customStyle="1" w:styleId="Zkladntext60">
    <w:name w:val="Základní text (6)"/>
    <w:basedOn w:val="Normln"/>
    <w:link w:val="Zkladntext6"/>
    <w:pPr>
      <w:shd w:val="clear" w:color="auto" w:fill="FFFFFF"/>
    </w:pPr>
    <w:rPr>
      <w:rFonts w:ascii="Arial" w:eastAsia="Arial" w:hAnsi="Arial" w:cs="Arial"/>
      <w:b/>
      <w:bCs/>
      <w:sz w:val="10"/>
      <w:szCs w:val="10"/>
    </w:rPr>
  </w:style>
  <w:style w:type="paragraph" w:customStyle="1" w:styleId="Zkladntext30">
    <w:name w:val="Základní text (3)"/>
    <w:basedOn w:val="Normln"/>
    <w:link w:val="Zkladntext3"/>
    <w:pPr>
      <w:shd w:val="clear" w:color="auto" w:fill="FFFFFF"/>
      <w:spacing w:line="317" w:lineRule="auto"/>
    </w:pPr>
    <w:rPr>
      <w:rFonts w:ascii="Arial" w:eastAsia="Arial" w:hAnsi="Arial" w:cs="Arial"/>
      <w:sz w:val="9"/>
      <w:szCs w:val="9"/>
    </w:rPr>
  </w:style>
  <w:style w:type="paragraph" w:customStyle="1" w:styleId="Zkladntext50">
    <w:name w:val="Základní text (5)"/>
    <w:basedOn w:val="Normln"/>
    <w:link w:val="Zkladntext5"/>
    <w:pPr>
      <w:shd w:val="clear" w:color="auto" w:fill="FFFFFF"/>
      <w:spacing w:line="317" w:lineRule="auto"/>
    </w:pPr>
    <w:rPr>
      <w:rFonts w:ascii="Arial" w:eastAsia="Arial" w:hAnsi="Arial" w:cs="Arial"/>
      <w:sz w:val="13"/>
      <w:szCs w:val="13"/>
    </w:rPr>
  </w:style>
  <w:style w:type="paragraph" w:customStyle="1" w:styleId="rovkd0">
    <w:name w:val="Čárový kód"/>
    <w:basedOn w:val="Normln"/>
    <w:link w:val="rovkd"/>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540"/>
      <w:jc w:val="center"/>
      <w:outlineLvl w:val="0"/>
    </w:pPr>
    <w:rPr>
      <w:rFonts w:ascii="Times New Roman" w:eastAsia="Times New Roman" w:hAnsi="Times New Roman" w:cs="Times New Roman"/>
      <w:b/>
      <w:bCs/>
      <w:sz w:val="40"/>
      <w:szCs w:val="40"/>
    </w:rPr>
  </w:style>
  <w:style w:type="paragraph" w:styleId="Zhlav">
    <w:name w:val="header"/>
    <w:basedOn w:val="Normln"/>
    <w:link w:val="ZhlavChar"/>
    <w:uiPriority w:val="99"/>
    <w:unhideWhenUsed/>
    <w:rsid w:val="001B7F1B"/>
    <w:pPr>
      <w:tabs>
        <w:tab w:val="center" w:pos="4536"/>
        <w:tab w:val="right" w:pos="9072"/>
      </w:tabs>
    </w:pPr>
  </w:style>
  <w:style w:type="character" w:customStyle="1" w:styleId="ZhlavChar">
    <w:name w:val="Záhlaví Char"/>
    <w:basedOn w:val="Standardnpsmoodstavce"/>
    <w:link w:val="Zhlav"/>
    <w:uiPriority w:val="99"/>
    <w:rsid w:val="001B7F1B"/>
    <w:rPr>
      <w:color w:val="000000"/>
    </w:rPr>
  </w:style>
  <w:style w:type="paragraph" w:styleId="Zpat">
    <w:name w:val="footer"/>
    <w:basedOn w:val="Normln"/>
    <w:link w:val="ZpatChar"/>
    <w:uiPriority w:val="99"/>
    <w:unhideWhenUsed/>
    <w:rsid w:val="001B7F1B"/>
    <w:pPr>
      <w:tabs>
        <w:tab w:val="center" w:pos="4536"/>
        <w:tab w:val="right" w:pos="9072"/>
      </w:tabs>
    </w:pPr>
  </w:style>
  <w:style w:type="character" w:customStyle="1" w:styleId="ZpatChar">
    <w:name w:val="Zápatí Char"/>
    <w:basedOn w:val="Standardnpsmoodstavce"/>
    <w:link w:val="Zpat"/>
    <w:uiPriority w:val="99"/>
    <w:rsid w:val="001B7F1B"/>
    <w:rPr>
      <w:color w:val="000000"/>
    </w:rPr>
  </w:style>
  <w:style w:type="paragraph" w:customStyle="1" w:styleId="Default">
    <w:name w:val="Default"/>
    <w:rsid w:val="002D3DC0"/>
    <w:pPr>
      <w:widowControl/>
      <w:autoSpaceDE w:val="0"/>
      <w:autoSpaceDN w:val="0"/>
      <w:adjustRightInd w:val="0"/>
    </w:pPr>
    <w:rPr>
      <w:rFonts w:ascii="Times New Roman" w:hAnsi="Times New Roman" w:cs="Times New Roman"/>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pu.cz"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1981</Words>
  <Characters>11692</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KMBT_C224-20210526143047</vt:lpstr>
    </vt:vector>
  </TitlesOfParts>
  <Company>HP Inc.</Company>
  <LinksUpToDate>false</LinksUpToDate>
  <CharactersWithSpaces>13646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KMBT_C224-20210526143047</dc:title>
  <dc:subject/>
  <dc:creator/>
  <cp:keywords/>
  <cp:lastModifiedBy>Janouchová Miroslava</cp:lastModifiedBy>
  <cp:revision>4</cp:revision>
  <dcterms:created xsi:type="dcterms:W3CDTF">2021-06-18T09:15:00Z</dcterms:created>
  <dcterms:modified xsi:type="dcterms:W3CDTF">2021-06-18T10:00:00Z</dcterms:modified>
</cp:coreProperties>
</file>