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9997" w14:textId="0CEBE1D8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B02D16">
        <w:rPr>
          <w:b/>
          <w:sz w:val="28"/>
          <w:szCs w:val="28"/>
        </w:rPr>
        <w:t>18</w:t>
      </w:r>
      <w:r w:rsidR="00BA2B6B">
        <w:rPr>
          <w:b/>
          <w:sz w:val="28"/>
          <w:szCs w:val="28"/>
        </w:rPr>
        <w:t>/202</w:t>
      </w:r>
      <w:r w:rsidR="00B02D16">
        <w:rPr>
          <w:b/>
          <w:sz w:val="28"/>
          <w:szCs w:val="28"/>
        </w:rPr>
        <w:t>1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5276AAF8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2D16">
        <w:rPr>
          <w:b/>
          <w:sz w:val="20"/>
          <w:szCs w:val="20"/>
        </w:rPr>
        <w:t>Farmis</w:t>
      </w:r>
      <w:r w:rsidR="00245CD2">
        <w:rPr>
          <w:b/>
          <w:sz w:val="20"/>
          <w:szCs w:val="20"/>
        </w:rPr>
        <w:t xml:space="preserve"> s.r.o.</w:t>
      </w:r>
    </w:p>
    <w:p w14:paraId="52F831BA" w14:textId="12B79CC7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2D16">
        <w:rPr>
          <w:b/>
          <w:sz w:val="20"/>
          <w:szCs w:val="20"/>
        </w:rPr>
        <w:t>Machovcova 284/13</w:t>
      </w:r>
    </w:p>
    <w:p w14:paraId="16989D6A" w14:textId="65154728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2D16">
        <w:rPr>
          <w:b/>
          <w:sz w:val="20"/>
          <w:szCs w:val="20"/>
        </w:rPr>
        <w:t>500</w:t>
      </w:r>
      <w:r>
        <w:rPr>
          <w:b/>
          <w:sz w:val="20"/>
          <w:szCs w:val="20"/>
        </w:rPr>
        <w:t xml:space="preserve"> </w:t>
      </w:r>
      <w:r w:rsidR="00B02D16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 xml:space="preserve"> </w:t>
      </w:r>
      <w:r w:rsidR="00B02D16">
        <w:rPr>
          <w:b/>
          <w:sz w:val="20"/>
          <w:szCs w:val="20"/>
        </w:rPr>
        <w:t>Hradec Králové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08444A41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B02D16" w:rsidRPr="00B02D16">
        <w:rPr>
          <w:b/>
          <w:bCs/>
          <w:sz w:val="20"/>
          <w:szCs w:val="20"/>
        </w:rPr>
        <w:t>25283081</w:t>
      </w:r>
      <w:r>
        <w:rPr>
          <w:sz w:val="20"/>
          <w:szCs w:val="20"/>
        </w:rPr>
        <w:tab/>
      </w:r>
    </w:p>
    <w:p w14:paraId="3D708FB4" w14:textId="47DAD2A3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B02D16" w:rsidRPr="00B02D16">
        <w:rPr>
          <w:b/>
          <w:sz w:val="20"/>
          <w:szCs w:val="20"/>
        </w:rPr>
        <w:t>CZ25283081</w:t>
      </w:r>
    </w:p>
    <w:p w14:paraId="2245BC7E" w14:textId="77777777" w:rsidR="0027366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273231648/0300</w:t>
      </w:r>
    </w:p>
    <w:p w14:paraId="685CE7EA" w14:textId="7777777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018E67E6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 w:rsidR="00B02D16">
              <w:rPr>
                <w:sz w:val="20"/>
                <w:szCs w:val="20"/>
              </w:rPr>
              <w:t xml:space="preserve"> </w:t>
            </w:r>
            <w:r w:rsidR="00E04FF4">
              <w:rPr>
                <w:sz w:val="20"/>
                <w:szCs w:val="20"/>
              </w:rPr>
              <w:t>8</w:t>
            </w:r>
            <w:r w:rsidR="00B02D16">
              <w:rPr>
                <w:sz w:val="20"/>
                <w:szCs w:val="20"/>
              </w:rPr>
              <w:t xml:space="preserve">. </w:t>
            </w:r>
            <w:r w:rsidR="00E04FF4">
              <w:rPr>
                <w:sz w:val="20"/>
                <w:szCs w:val="20"/>
              </w:rPr>
              <w:t>6</w:t>
            </w:r>
            <w:r w:rsidR="00B02D16">
              <w:rPr>
                <w:sz w:val="20"/>
                <w:szCs w:val="20"/>
              </w:rPr>
              <w:t>. 2021</w:t>
            </w:r>
          </w:p>
          <w:p w14:paraId="3D3F83E6" w14:textId="3C890D3F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B02D16">
              <w:rPr>
                <w:sz w:val="20"/>
                <w:szCs w:val="20"/>
              </w:rPr>
              <w:t>198 000</w:t>
            </w:r>
            <w:r w:rsidR="00713F66">
              <w:rPr>
                <w:sz w:val="20"/>
                <w:szCs w:val="20"/>
              </w:rPr>
              <w:t>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B02D16">
              <w:rPr>
                <w:sz w:val="20"/>
                <w:szCs w:val="20"/>
              </w:rPr>
              <w:t>dle přilož. harmonogramu</w:t>
            </w:r>
          </w:p>
          <w:p w14:paraId="48B3D3DD" w14:textId="70CE0034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B02D16">
              <w:rPr>
                <w:sz w:val="20"/>
                <w:szCs w:val="20"/>
              </w:rPr>
              <w:t>239</w:t>
            </w:r>
            <w:r w:rsidR="00713F66">
              <w:rPr>
                <w:sz w:val="20"/>
                <w:szCs w:val="20"/>
              </w:rPr>
              <w:t> </w:t>
            </w:r>
            <w:r w:rsidR="00B02D16">
              <w:rPr>
                <w:sz w:val="20"/>
                <w:szCs w:val="20"/>
              </w:rPr>
              <w:t>580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414F5CA7" w:rsidR="005E4E78" w:rsidRDefault="006364E7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r w:rsidR="00EE24A4" w:rsidRPr="00EE24A4">
        <w:rPr>
          <w:sz w:val="20"/>
          <w:szCs w:val="20"/>
          <w:highlight w:val="black"/>
        </w:rPr>
        <w:t>XXXXXXXXXXXXXXXX</w:t>
      </w:r>
    </w:p>
    <w:p w14:paraId="66C6AA24" w14:textId="16B2CEC9" w:rsidR="005E4E78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4A4" w:rsidRPr="00EE24A4">
        <w:rPr>
          <w:sz w:val="20"/>
          <w:szCs w:val="20"/>
          <w:highlight w:val="black"/>
        </w:rPr>
        <w:t>XXXXXXXXXXX</w:t>
      </w:r>
    </w:p>
    <w:p w14:paraId="6E7A1FC9" w14:textId="021C4989" w:rsidR="005E4E78" w:rsidRDefault="005E4E78" w:rsidP="005E4E78">
      <w:pP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E24A4" w:rsidRPr="00EE24A4">
        <w:rPr>
          <w:sz w:val="20"/>
          <w:szCs w:val="20"/>
          <w:highlight w:val="black"/>
        </w:rPr>
        <w:t>XXXXXXXXXXXXXXXX</w:t>
      </w:r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42CBDFA6" w:rsidR="005E4E78" w:rsidRDefault="00AA1B13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Rozvoj informačního systému</w:t>
      </w:r>
      <w:r w:rsidR="00840DD2">
        <w:rPr>
          <w:sz w:val="20"/>
          <w:szCs w:val="20"/>
        </w:rPr>
        <w:t xml:space="preserve"> </w:t>
      </w:r>
      <w:r w:rsidR="00B02D16">
        <w:rPr>
          <w:sz w:val="20"/>
          <w:szCs w:val="20"/>
        </w:rPr>
        <w:t>Farmis</w:t>
      </w:r>
      <w:r w:rsidR="00840DD2">
        <w:rPr>
          <w:sz w:val="20"/>
          <w:szCs w:val="20"/>
        </w:rPr>
        <w:t xml:space="preserve"> </w:t>
      </w:r>
      <w:r>
        <w:rPr>
          <w:sz w:val="20"/>
          <w:szCs w:val="20"/>
        </w:rPr>
        <w:t>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4F0734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 w:rsidR="00B02D16">
        <w:rPr>
          <w:sz w:val="20"/>
          <w:szCs w:val="20"/>
        </w:rPr>
        <w:t> technickou specifikací</w:t>
      </w:r>
      <w:r w:rsidR="005E4E78">
        <w:rPr>
          <w:sz w:val="20"/>
          <w:szCs w:val="20"/>
        </w:rPr>
        <w:t>, kter</w:t>
      </w:r>
      <w:r w:rsidR="008B0D41">
        <w:rPr>
          <w:sz w:val="20"/>
          <w:szCs w:val="20"/>
        </w:rPr>
        <w:t>á</w:t>
      </w:r>
      <w:r w:rsidR="005E4E78">
        <w:rPr>
          <w:sz w:val="20"/>
          <w:szCs w:val="20"/>
        </w:rPr>
        <w:t xml:space="preserve"> tvoří přílohu této objednávky a </w:t>
      </w:r>
      <w:r w:rsidR="00A10E11">
        <w:rPr>
          <w:sz w:val="20"/>
          <w:szCs w:val="20"/>
        </w:rPr>
        <w:t>je</w:t>
      </w:r>
      <w:r w:rsidR="005E4E78">
        <w:rPr>
          <w:sz w:val="20"/>
          <w:szCs w:val="20"/>
        </w:rPr>
        <w:t xml:space="preserve">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0B160CBA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</w:t>
      </w:r>
      <w:r w:rsidR="0017571A">
        <w:rPr>
          <w:sz w:val="20"/>
          <w:szCs w:val="20"/>
        </w:rPr>
        <w:t>dle přiloženého harmonogramu.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29C4D04D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lastRenderedPageBreak/>
        <w:t xml:space="preserve">Objednatel je oprávněn od okamžiku účinnosti poskytnutí licence k autorskému dílu dle této smlouvy užívat toto autorské dílo k jakémukoliv účelu a v rozsahu, v jakém uzná za nezbytné, vhodné či přiměřené. Pro vyloučení pochybností to znamená, že objednatel je oprávněn užívat autorské dílo v neomezeném množstevním a územním rozsahu, a to všemi v úvahu přicházejícími způsoby 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 xml:space="preserve">Objednatel je bez potřeby jakéhokoliv dalšího svolení zhotovitele oprávněn udělit jím ovládané právnické osobě podlicenci k užití autorského díla nebo svoje oprávnění k užití autorského díla třetí osobě postoupit. 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C833F9F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</w:t>
      </w:r>
      <w:proofErr w:type="gramStart"/>
      <w:r w:rsidRPr="001C7756">
        <w:rPr>
          <w:sz w:val="20"/>
          <w:szCs w:val="20"/>
        </w:rPr>
        <w:t>oprávněn  licenci</w:t>
      </w:r>
      <w:proofErr w:type="gramEnd"/>
      <w:r w:rsidRPr="001C7756">
        <w:rPr>
          <w:sz w:val="20"/>
          <w:szCs w:val="20"/>
        </w:rPr>
        <w:t xml:space="preserve">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1AEB44E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4EFF13ED" w:rsidR="000F1A3E" w:rsidRPr="001C7756" w:rsidRDefault="00830F90" w:rsidP="00232A9C">
      <w:pPr>
        <w:tabs>
          <w:tab w:val="left" w:pos="6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9AE805" w14:textId="522CA954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="00830F90">
        <w:rPr>
          <w:sz w:val="20"/>
          <w:szCs w:val="20"/>
        </w:rPr>
        <w:t>.</w:t>
      </w:r>
      <w:r w:rsidRPr="001C7756">
        <w:rPr>
          <w:sz w:val="20"/>
          <w:szCs w:val="20"/>
        </w:rPr>
        <w:t xml:space="preserve">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54DD898B" w:rsidR="001C7756" w:rsidRDefault="001F18A8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38DF9902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  <w:r w:rsidR="003602EF">
        <w:rPr>
          <w:rFonts w:asciiTheme="minorHAnsi" w:eastAsiaTheme="minorHAnsi" w:hAnsiTheme="minorHAnsi" w:cstheme="minorBidi"/>
          <w:color w:val="auto"/>
          <w:sz w:val="20"/>
          <w:szCs w:val="20"/>
        </w:rPr>
        <w:t>.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5CC3E179" w:rsidR="000F1A3E" w:rsidRDefault="001F18A8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6415338F" w:rsidR="00620294" w:rsidRDefault="001F18A8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58CAA6A5" w:rsidR="000F1A3E" w:rsidRDefault="001F18A8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>. V případě prodlení dodavatele s předáním celého díla vzniká objednateli nárok na smluvní pokutu ve výši 3.000,-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74214447" w:rsidR="00620294" w:rsidRDefault="001F18A8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61B29571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EE24A4" w:rsidRPr="00EE24A4">
          <w:rPr>
            <w:rStyle w:val="Hypertextovodkaz"/>
            <w:b/>
            <w:i/>
            <w:sz w:val="20"/>
            <w:szCs w:val="20"/>
            <w:highlight w:val="black"/>
          </w:rPr>
          <w:t>XXXXXXXXXXXXXX</w:t>
        </w:r>
      </w:hyperlink>
      <w:r w:rsidR="00BA2B6B">
        <w:rPr>
          <w:b/>
          <w:i/>
          <w:sz w:val="20"/>
          <w:szCs w:val="20"/>
        </w:rPr>
        <w:t xml:space="preserve"> </w:t>
      </w:r>
      <w:proofErr w:type="gramStart"/>
      <w:r w:rsidR="00894D20">
        <w:rPr>
          <w:b/>
          <w:i/>
          <w:sz w:val="20"/>
          <w:szCs w:val="20"/>
        </w:rPr>
        <w:t xml:space="preserve">nebo </w:t>
      </w:r>
      <w:r w:rsidRPr="00361142">
        <w:rPr>
          <w:b/>
          <w:i/>
          <w:sz w:val="20"/>
          <w:szCs w:val="20"/>
        </w:rPr>
        <w:t xml:space="preserve"> v</w:t>
      </w:r>
      <w:proofErr w:type="gramEnd"/>
      <w:r w:rsidRPr="00361142">
        <w:rPr>
          <w:b/>
          <w:i/>
          <w:sz w:val="20"/>
          <w:szCs w:val="20"/>
        </w:rPr>
        <w:t>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4AA0FE3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Lhůta pro zaplacení faktury počíná běžet až od doručení faktury objednateli.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34817CD7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2FBB3663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F052134" w14:textId="77777777" w:rsidR="00667E81" w:rsidRDefault="00667E81" w:rsidP="005E4E78">
      <w:pPr>
        <w:spacing w:after="0"/>
        <w:jc w:val="both"/>
        <w:rPr>
          <w:b/>
          <w:sz w:val="20"/>
          <w:szCs w:val="20"/>
        </w:rPr>
      </w:pPr>
    </w:p>
    <w:p w14:paraId="17753CE3" w14:textId="77777777" w:rsidR="00667E81" w:rsidRDefault="00667E81" w:rsidP="005E4E78">
      <w:pPr>
        <w:spacing w:after="0"/>
        <w:jc w:val="both"/>
        <w:rPr>
          <w:b/>
          <w:sz w:val="20"/>
          <w:szCs w:val="20"/>
        </w:rPr>
      </w:pPr>
    </w:p>
    <w:p w14:paraId="759F9EB0" w14:textId="49A277EC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za podmínek stanovených touto objednávkou č. </w:t>
      </w:r>
      <w:r w:rsidR="00B02D16">
        <w:rPr>
          <w:b/>
          <w:sz w:val="20"/>
          <w:szCs w:val="20"/>
        </w:rPr>
        <w:t>18</w:t>
      </w:r>
      <w:r w:rsidR="00887411">
        <w:rPr>
          <w:b/>
          <w:sz w:val="20"/>
          <w:szCs w:val="20"/>
        </w:rPr>
        <w:t>/202</w:t>
      </w:r>
      <w:r w:rsidR="00B02D16">
        <w:rPr>
          <w:b/>
          <w:sz w:val="20"/>
          <w:szCs w:val="20"/>
        </w:rPr>
        <w:t>1</w:t>
      </w:r>
      <w:r w:rsidR="00B131DC">
        <w:rPr>
          <w:b/>
          <w:sz w:val="20"/>
          <w:szCs w:val="20"/>
        </w:rPr>
        <w:t xml:space="preserve">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47DC455C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556EBC59" w14:textId="65D7B5CE" w:rsidR="001E0087" w:rsidRDefault="001E0087" w:rsidP="001E00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Příloha – </w:t>
      </w:r>
      <w:r w:rsidR="00B02D16">
        <w:rPr>
          <w:b/>
          <w:sz w:val="28"/>
          <w:szCs w:val="28"/>
        </w:rPr>
        <w:t>harmonogram a technická specifikace</w:t>
      </w:r>
    </w:p>
    <w:p w14:paraId="1B19944A" w14:textId="77777777" w:rsidR="00B02D16" w:rsidRPr="001C0182" w:rsidRDefault="00B02D16" w:rsidP="00B02D16">
      <w:pPr>
        <w:spacing w:after="240"/>
        <w:rPr>
          <w:b/>
          <w:color w:val="1F4E79" w:themeColor="accent1" w:themeShade="80"/>
          <w:sz w:val="24"/>
        </w:rPr>
      </w:pPr>
      <w:bookmarkStart w:id="0" w:name="_Toc27573196"/>
      <w:r w:rsidRPr="001C0182">
        <w:rPr>
          <w:b/>
          <w:color w:val="1F4E79" w:themeColor="accent1" w:themeShade="80"/>
          <w:sz w:val="24"/>
        </w:rPr>
        <w:t xml:space="preserve">Požadavky na součinnost </w:t>
      </w:r>
      <w:r>
        <w:rPr>
          <w:b/>
          <w:color w:val="1F4E79" w:themeColor="accent1" w:themeShade="80"/>
          <w:sz w:val="24"/>
        </w:rPr>
        <w:t>FARMIS</w:t>
      </w:r>
      <w:r w:rsidRPr="001C0182">
        <w:rPr>
          <w:b/>
          <w:color w:val="1F4E79" w:themeColor="accent1" w:themeShade="80"/>
          <w:sz w:val="24"/>
        </w:rPr>
        <w:t xml:space="preserve"> pro integraci NIS s</w:t>
      </w:r>
      <w:r>
        <w:rPr>
          <w:b/>
          <w:color w:val="1F4E79" w:themeColor="accent1" w:themeShade="80"/>
          <w:sz w:val="24"/>
        </w:rPr>
        <w:t xml:space="preserve"> FARMIS </w:t>
      </w:r>
      <w:r w:rsidRPr="001C0182">
        <w:rPr>
          <w:b/>
          <w:color w:val="1F4E79" w:themeColor="accent1" w:themeShade="80"/>
          <w:sz w:val="24"/>
        </w:rPr>
        <w:t>(pro přípravu řešení, pro implementaci a ověření řešení a pro provoz řešení)</w:t>
      </w:r>
    </w:p>
    <w:p w14:paraId="3F5AAE47" w14:textId="77777777" w:rsidR="00B02D16" w:rsidRPr="001C0182" w:rsidRDefault="00B02D16" w:rsidP="00B02D16">
      <w:pPr>
        <w:pStyle w:val="Nadpis2"/>
        <w:spacing w:before="0" w:after="240"/>
        <w:rPr>
          <w:b/>
          <w:sz w:val="24"/>
        </w:rPr>
      </w:pPr>
      <w:r w:rsidRPr="001C0182">
        <w:rPr>
          <w:b/>
          <w:sz w:val="24"/>
        </w:rPr>
        <w:t xml:space="preserve">Termíny součinnosti </w:t>
      </w:r>
      <w:r>
        <w:rPr>
          <w:b/>
          <w:sz w:val="24"/>
        </w:rPr>
        <w:t>FARMIS</w:t>
      </w:r>
    </w:p>
    <w:bookmarkEnd w:id="0"/>
    <w:p w14:paraId="7647261D" w14:textId="6AB5FBD1" w:rsidR="00894D20" w:rsidRPr="001C0182" w:rsidRDefault="00894D20" w:rsidP="00E04FF4">
      <w:pPr>
        <w:pStyle w:val="Nadpis2"/>
        <w:numPr>
          <w:ilvl w:val="0"/>
          <w:numId w:val="0"/>
        </w:numPr>
        <w:spacing w:before="0" w:after="240"/>
        <w:ind w:left="576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0"/>
        <w:gridCol w:w="1330"/>
        <w:gridCol w:w="1389"/>
        <w:gridCol w:w="1544"/>
        <w:gridCol w:w="1379"/>
      </w:tblGrid>
      <w:tr w:rsidR="00894D20" w14:paraId="25EBF577" w14:textId="77777777" w:rsidTr="008C140F">
        <w:tc>
          <w:tcPr>
            <w:tcW w:w="3823" w:type="dxa"/>
          </w:tcPr>
          <w:p w14:paraId="228E2371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1354" w:type="dxa"/>
          </w:tcPr>
          <w:p w14:paraId="41F27819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Jičín</w:t>
            </w:r>
          </w:p>
        </w:tc>
        <w:tc>
          <w:tcPr>
            <w:tcW w:w="1426" w:type="dxa"/>
          </w:tcPr>
          <w:p w14:paraId="0DF62CF4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614" w:type="dxa"/>
          </w:tcPr>
          <w:p w14:paraId="38274643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  <w:tc>
          <w:tcPr>
            <w:tcW w:w="1413" w:type="dxa"/>
          </w:tcPr>
          <w:p w14:paraId="55BF45F7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</w:t>
            </w:r>
          </w:p>
        </w:tc>
      </w:tr>
      <w:tr w:rsidR="00894D20" w14:paraId="170302B7" w14:textId="77777777" w:rsidTr="008C140F">
        <w:tc>
          <w:tcPr>
            <w:tcW w:w="3823" w:type="dxa"/>
          </w:tcPr>
          <w:p w14:paraId="68349CD0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Vytvoření a zpřístupnění požadovaného integračního rozhraní (WS </w:t>
            </w:r>
            <w:proofErr w:type="gramStart"/>
            <w:r>
              <w:rPr>
                <w:sz w:val="20"/>
                <w:szCs w:val="20"/>
              </w:rPr>
              <w:t>a pod.</w:t>
            </w:r>
            <w:proofErr w:type="gramEnd"/>
            <w:r>
              <w:rPr>
                <w:sz w:val="20"/>
                <w:szCs w:val="20"/>
              </w:rPr>
              <w:t>) včetně poskytnutí dokumentace tohoto rozhraní.</w:t>
            </w:r>
          </w:p>
        </w:tc>
        <w:tc>
          <w:tcPr>
            <w:tcW w:w="1354" w:type="dxa"/>
          </w:tcPr>
          <w:p w14:paraId="4570B57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426" w:type="dxa"/>
          </w:tcPr>
          <w:p w14:paraId="0FEDC71C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614" w:type="dxa"/>
          </w:tcPr>
          <w:p w14:paraId="2FFC37D8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413" w:type="dxa"/>
          </w:tcPr>
          <w:p w14:paraId="79F7158F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15.6.2021</w:t>
            </w:r>
          </w:p>
        </w:tc>
      </w:tr>
      <w:tr w:rsidR="00894D20" w14:paraId="53A3DC65" w14:textId="77777777" w:rsidTr="008C140F">
        <w:tc>
          <w:tcPr>
            <w:tcW w:w="3823" w:type="dxa"/>
          </w:tcPr>
          <w:p w14:paraId="698BF261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Odladění integrace v úzké součinnosti s dodavatelem NIS (poskytnutí konzultací, případné opravy chyb atd.) v testovacích prostředích dodavatelů IS. </w:t>
            </w:r>
          </w:p>
        </w:tc>
        <w:tc>
          <w:tcPr>
            <w:tcW w:w="1354" w:type="dxa"/>
          </w:tcPr>
          <w:p w14:paraId="38DE738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49026798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10.6.2021</w:t>
            </w:r>
          </w:p>
        </w:tc>
        <w:tc>
          <w:tcPr>
            <w:tcW w:w="1614" w:type="dxa"/>
          </w:tcPr>
          <w:p w14:paraId="7C4D077C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25.8.2021</w:t>
            </w:r>
          </w:p>
        </w:tc>
        <w:tc>
          <w:tcPr>
            <w:tcW w:w="1413" w:type="dxa"/>
          </w:tcPr>
          <w:p w14:paraId="3225150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20.12.2021</w:t>
            </w:r>
          </w:p>
        </w:tc>
      </w:tr>
      <w:tr w:rsidR="00894D20" w14:paraId="4BD50058" w14:textId="77777777" w:rsidTr="008C140F">
        <w:trPr>
          <w:trHeight w:val="855"/>
        </w:trPr>
        <w:tc>
          <w:tcPr>
            <w:tcW w:w="3823" w:type="dxa"/>
          </w:tcPr>
          <w:p w14:paraId="504AF365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354" w:type="dxa"/>
          </w:tcPr>
          <w:p w14:paraId="6668485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.2021 – </w:t>
            </w:r>
            <w:r>
              <w:rPr>
                <w:sz w:val="20"/>
                <w:szCs w:val="20"/>
              </w:rPr>
              <w:t>30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.2021</w:t>
            </w:r>
          </w:p>
        </w:tc>
        <w:tc>
          <w:tcPr>
            <w:tcW w:w="1426" w:type="dxa"/>
          </w:tcPr>
          <w:p w14:paraId="49AB81CD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11.6.2021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.2021</w:t>
            </w:r>
          </w:p>
        </w:tc>
        <w:tc>
          <w:tcPr>
            <w:tcW w:w="1614" w:type="dxa"/>
          </w:tcPr>
          <w:p w14:paraId="539F73A8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26.8.2021 – 30.8.2021 </w:t>
            </w:r>
          </w:p>
        </w:tc>
        <w:tc>
          <w:tcPr>
            <w:tcW w:w="1413" w:type="dxa"/>
          </w:tcPr>
          <w:p w14:paraId="2724DA3C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.12.2021 –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.12.2021</w:t>
            </w:r>
          </w:p>
        </w:tc>
      </w:tr>
      <w:tr w:rsidR="00894D20" w14:paraId="73175602" w14:textId="77777777" w:rsidTr="008C140F">
        <w:tc>
          <w:tcPr>
            <w:tcW w:w="3823" w:type="dxa"/>
          </w:tcPr>
          <w:p w14:paraId="457B13EC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integračních testech, případné opravy chyb atd.)</w:t>
            </w:r>
          </w:p>
        </w:tc>
        <w:tc>
          <w:tcPr>
            <w:tcW w:w="1354" w:type="dxa"/>
          </w:tcPr>
          <w:p w14:paraId="1DB82A6A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.2021 -</w:t>
            </w:r>
            <w:r>
              <w:rPr>
                <w:sz w:val="20"/>
                <w:szCs w:val="20"/>
              </w:rPr>
              <w:t>26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.2021</w:t>
            </w:r>
          </w:p>
        </w:tc>
        <w:tc>
          <w:tcPr>
            <w:tcW w:w="1426" w:type="dxa"/>
          </w:tcPr>
          <w:p w14:paraId="3D3FEAA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9.8.2021 – 20.8.2021</w:t>
            </w:r>
          </w:p>
        </w:tc>
        <w:tc>
          <w:tcPr>
            <w:tcW w:w="1614" w:type="dxa"/>
          </w:tcPr>
          <w:p w14:paraId="5819700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1.10.2021 – 14.10.2021</w:t>
            </w:r>
          </w:p>
        </w:tc>
        <w:tc>
          <w:tcPr>
            <w:tcW w:w="1413" w:type="dxa"/>
          </w:tcPr>
          <w:p w14:paraId="62EB2C82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7.3.2022 – 18.3.2022</w:t>
            </w:r>
          </w:p>
        </w:tc>
      </w:tr>
      <w:tr w:rsidR="00894D20" w14:paraId="40264D1A" w14:textId="77777777" w:rsidTr="008C140F">
        <w:tc>
          <w:tcPr>
            <w:tcW w:w="3823" w:type="dxa"/>
          </w:tcPr>
          <w:p w14:paraId="614B824F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testování</w:t>
            </w:r>
          </w:p>
        </w:tc>
        <w:tc>
          <w:tcPr>
            <w:tcW w:w="1354" w:type="dxa"/>
          </w:tcPr>
          <w:p w14:paraId="28D30D02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.2021 – 2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.2021</w:t>
            </w:r>
          </w:p>
        </w:tc>
        <w:tc>
          <w:tcPr>
            <w:tcW w:w="1426" w:type="dxa"/>
          </w:tcPr>
          <w:p w14:paraId="43A6C651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27.8.2021 – 16.9.2021</w:t>
            </w:r>
          </w:p>
        </w:tc>
        <w:tc>
          <w:tcPr>
            <w:tcW w:w="1614" w:type="dxa"/>
          </w:tcPr>
          <w:p w14:paraId="7012DAEE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21.10.2021 - 11.11.2021</w:t>
            </w:r>
          </w:p>
        </w:tc>
        <w:tc>
          <w:tcPr>
            <w:tcW w:w="1413" w:type="dxa"/>
          </w:tcPr>
          <w:p w14:paraId="1E65BD92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25.3.2022 – 22.4.2022</w:t>
            </w:r>
          </w:p>
        </w:tc>
      </w:tr>
      <w:tr w:rsidR="00894D20" w14:paraId="2B6C8696" w14:textId="77777777" w:rsidTr="008C140F">
        <w:tc>
          <w:tcPr>
            <w:tcW w:w="3823" w:type="dxa"/>
          </w:tcPr>
          <w:p w14:paraId="1868A7BA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354" w:type="dxa"/>
          </w:tcPr>
          <w:p w14:paraId="01F756C7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27.7.2021 – 9.8.2021</w:t>
            </w:r>
          </w:p>
        </w:tc>
        <w:tc>
          <w:tcPr>
            <w:tcW w:w="1426" w:type="dxa"/>
          </w:tcPr>
          <w:p w14:paraId="08C8B95B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18.10.2021 – 1.11.2021</w:t>
            </w:r>
          </w:p>
        </w:tc>
        <w:tc>
          <w:tcPr>
            <w:tcW w:w="1614" w:type="dxa"/>
          </w:tcPr>
          <w:p w14:paraId="177BA038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13.12.2021 – 27.12.2021</w:t>
            </w:r>
          </w:p>
        </w:tc>
        <w:tc>
          <w:tcPr>
            <w:tcW w:w="1413" w:type="dxa"/>
          </w:tcPr>
          <w:p w14:paraId="7CBE4BBD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12.5.2022 – 25.5.2022</w:t>
            </w:r>
          </w:p>
        </w:tc>
      </w:tr>
      <w:tr w:rsidR="00894D20" w14:paraId="1B40E459" w14:textId="77777777" w:rsidTr="008C140F">
        <w:tc>
          <w:tcPr>
            <w:tcW w:w="3823" w:type="dxa"/>
          </w:tcPr>
          <w:p w14:paraId="7D740088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1.etapy zkušebního provozu v testovacím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54" w:type="dxa"/>
          </w:tcPr>
          <w:p w14:paraId="66454BA7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27.8.2021 – 1.10.2021</w:t>
            </w:r>
          </w:p>
        </w:tc>
        <w:tc>
          <w:tcPr>
            <w:tcW w:w="1426" w:type="dxa"/>
          </w:tcPr>
          <w:p w14:paraId="0B74356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15.10.2021 – 6.12.2021</w:t>
            </w:r>
          </w:p>
        </w:tc>
        <w:tc>
          <w:tcPr>
            <w:tcW w:w="1614" w:type="dxa"/>
          </w:tcPr>
          <w:p w14:paraId="0430EA2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10.12.2021 – 28.01.2022</w:t>
            </w:r>
          </w:p>
        </w:tc>
        <w:tc>
          <w:tcPr>
            <w:tcW w:w="1413" w:type="dxa"/>
          </w:tcPr>
          <w:p w14:paraId="63930C04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11.5.2022 – 28.6.2022</w:t>
            </w:r>
          </w:p>
        </w:tc>
      </w:tr>
      <w:tr w:rsidR="00894D20" w14:paraId="0D5221FA" w14:textId="77777777" w:rsidTr="008C140F">
        <w:tc>
          <w:tcPr>
            <w:tcW w:w="3823" w:type="dxa"/>
          </w:tcPr>
          <w:p w14:paraId="2384FD94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354" w:type="dxa"/>
          </w:tcPr>
          <w:p w14:paraId="4000E90A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8.9.2021 – 20.10.2021</w:t>
            </w:r>
          </w:p>
        </w:tc>
        <w:tc>
          <w:tcPr>
            <w:tcW w:w="1426" w:type="dxa"/>
          </w:tcPr>
          <w:p w14:paraId="7DF8E90A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1.11.2021 – 28.12.2021</w:t>
            </w:r>
          </w:p>
        </w:tc>
        <w:tc>
          <w:tcPr>
            <w:tcW w:w="1614" w:type="dxa"/>
          </w:tcPr>
          <w:p w14:paraId="51111E9E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3.1.2022 – 15.2.2022</w:t>
            </w:r>
          </w:p>
        </w:tc>
        <w:tc>
          <w:tcPr>
            <w:tcW w:w="1413" w:type="dxa"/>
          </w:tcPr>
          <w:p w14:paraId="18D06227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22.5.2022 – 12.7.2022 </w:t>
            </w:r>
          </w:p>
        </w:tc>
      </w:tr>
      <w:tr w:rsidR="00894D20" w14:paraId="332EFDCB" w14:textId="77777777" w:rsidTr="008C140F">
        <w:tc>
          <w:tcPr>
            <w:tcW w:w="3823" w:type="dxa"/>
          </w:tcPr>
          <w:p w14:paraId="22EE22F4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v produkčním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54" w:type="dxa"/>
          </w:tcPr>
          <w:p w14:paraId="24BFA7C9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8.11.2021 – 16.2.2022</w:t>
            </w:r>
          </w:p>
        </w:tc>
        <w:tc>
          <w:tcPr>
            <w:tcW w:w="1426" w:type="dxa"/>
          </w:tcPr>
          <w:p w14:paraId="679485E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7.1.2022 – 14.4.2022</w:t>
            </w:r>
          </w:p>
        </w:tc>
        <w:tc>
          <w:tcPr>
            <w:tcW w:w="1614" w:type="dxa"/>
          </w:tcPr>
          <w:p w14:paraId="47E1345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28.2.2022 – 03.6.2022</w:t>
            </w:r>
          </w:p>
        </w:tc>
        <w:tc>
          <w:tcPr>
            <w:tcW w:w="1413" w:type="dxa"/>
          </w:tcPr>
          <w:p w14:paraId="25A12C58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1.9.2022 –7.12.2022</w:t>
            </w:r>
          </w:p>
        </w:tc>
      </w:tr>
      <w:tr w:rsidR="00894D20" w14:paraId="670178EE" w14:textId="77777777" w:rsidTr="008C140F">
        <w:tc>
          <w:tcPr>
            <w:tcW w:w="3823" w:type="dxa"/>
          </w:tcPr>
          <w:p w14:paraId="2CCB15B6" w14:textId="77777777" w:rsidR="00894D20" w:rsidRDefault="00894D20" w:rsidP="008C140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354" w:type="dxa"/>
          </w:tcPr>
          <w:p w14:paraId="060CAD1B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14.1.2022 – 11.2.2022</w:t>
            </w:r>
          </w:p>
        </w:tc>
        <w:tc>
          <w:tcPr>
            <w:tcW w:w="1426" w:type="dxa"/>
          </w:tcPr>
          <w:p w14:paraId="2F598AF3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15.3.2022 – 11.4.2022 </w:t>
            </w:r>
          </w:p>
        </w:tc>
        <w:tc>
          <w:tcPr>
            <w:tcW w:w="1614" w:type="dxa"/>
          </w:tcPr>
          <w:p w14:paraId="19345137" w14:textId="77777777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4.5.2022 - 31.5.2022</w:t>
            </w:r>
          </w:p>
        </w:tc>
        <w:tc>
          <w:tcPr>
            <w:tcW w:w="1413" w:type="dxa"/>
          </w:tcPr>
          <w:p w14:paraId="071C62A8" w14:textId="1668CB04" w:rsidR="00894D20" w:rsidRPr="00765F56" w:rsidRDefault="00894D20" w:rsidP="008C140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7.11.2022 – 2.12.202</w:t>
            </w:r>
            <w:r w:rsidR="00830F90">
              <w:rPr>
                <w:sz w:val="20"/>
                <w:szCs w:val="20"/>
              </w:rPr>
              <w:t>2</w:t>
            </w:r>
          </w:p>
        </w:tc>
      </w:tr>
    </w:tbl>
    <w:p w14:paraId="492BD130" w14:textId="40DB3991" w:rsidR="00B02D16" w:rsidRDefault="00894D20" w:rsidP="00E04FF4">
      <w:pPr>
        <w:pStyle w:val="Nadpis2"/>
        <w:numPr>
          <w:ilvl w:val="0"/>
          <w:numId w:val="0"/>
        </w:numPr>
        <w:tabs>
          <w:tab w:val="left" w:pos="0"/>
        </w:tabs>
        <w:spacing w:before="480" w:after="240" w:line="240" w:lineRule="auto"/>
        <w:ind w:left="576"/>
      </w:pPr>
      <w:r w:rsidRPr="00E04FF4">
        <w:rPr>
          <w:rFonts w:asciiTheme="minorHAnsi" w:eastAsiaTheme="minorHAnsi" w:hAnsiTheme="minorHAnsi" w:cstheme="minorBidi"/>
          <w:color w:val="auto"/>
          <w:sz w:val="22"/>
          <w:szCs w:val="22"/>
        </w:rPr>
        <w:t>Termíny lze po vzájemné dohodě obou stran měnit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písemně (papírově nebo e-mailem)</w:t>
      </w:r>
      <w:r w:rsidRPr="00E04FF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dle potřeb projektu implementace NIS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v nemocnicích ZH KHK.</w:t>
      </w:r>
      <w:r w:rsidR="00B02D16">
        <w:rPr>
          <w:sz w:val="20"/>
          <w:szCs w:val="20"/>
        </w:rPr>
        <w:br w:type="page"/>
      </w:r>
      <w:bookmarkStart w:id="1" w:name="_Toc37352537"/>
      <w:r w:rsidR="00B02D16">
        <w:lastRenderedPageBreak/>
        <w:t>Lékárna Farmis</w:t>
      </w:r>
      <w:bookmarkEnd w:id="1"/>
      <w:r w:rsidR="00B02D16">
        <w:t xml:space="preserve">  </w:t>
      </w:r>
    </w:p>
    <w:p w14:paraId="3104EB9D" w14:textId="77777777" w:rsidR="00B02D16" w:rsidRDefault="00B02D16" w:rsidP="00B02D16">
      <w:pPr>
        <w:pStyle w:val="Nadpis3"/>
        <w:numPr>
          <w:ilvl w:val="2"/>
          <w:numId w:val="4"/>
        </w:numPr>
        <w:tabs>
          <w:tab w:val="clear" w:pos="1134"/>
          <w:tab w:val="left" w:pos="0"/>
          <w:tab w:val="num" w:pos="3545"/>
        </w:tabs>
        <w:spacing w:before="480" w:line="240" w:lineRule="auto"/>
      </w:pPr>
      <w:bookmarkStart w:id="2" w:name="_Toc37352538"/>
      <w:r>
        <w:t>Seznam realizovaných integrací</w:t>
      </w:r>
      <w:bookmarkEnd w:id="2"/>
    </w:p>
    <w:p w14:paraId="24CFC353" w14:textId="4C7DC155" w:rsidR="00B02D16" w:rsidRDefault="00B02D16" w:rsidP="00B02D16">
      <w:pPr>
        <w:pStyle w:val="Titulek"/>
      </w:pPr>
      <w:bookmarkStart w:id="3" w:name="_Toc37352325"/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853BCC">
        <w:rPr>
          <w:noProof/>
        </w:rPr>
        <w:t>1</w:t>
      </w:r>
      <w:r>
        <w:rPr>
          <w:noProof/>
        </w:rPr>
        <w:fldChar w:fldCharType="end"/>
      </w:r>
      <w:r>
        <w:t xml:space="preserve"> - Seznam Realizovaných integrací</w:t>
      </w:r>
      <w:bookmarkEnd w:id="3"/>
    </w:p>
    <w:tbl>
      <w:tblPr>
        <w:tblStyle w:val="TabulkaICZ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B02D16" w14:paraId="1979644E" w14:textId="77777777" w:rsidTr="004C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51850019" w14:textId="77777777" w:rsidR="00B02D16" w:rsidRDefault="00B02D16" w:rsidP="004C0D24">
            <w:pPr>
              <w:keepLines w:val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 Integrace</w:t>
            </w:r>
          </w:p>
        </w:tc>
        <w:tc>
          <w:tcPr>
            <w:tcW w:w="5670" w:type="dxa"/>
            <w:hideMark/>
          </w:tcPr>
          <w:p w14:paraId="76619AB7" w14:textId="77777777" w:rsidR="00B02D16" w:rsidRDefault="00B02D16" w:rsidP="004C0D24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Stručný popis integrace</w:t>
            </w:r>
          </w:p>
        </w:tc>
      </w:tr>
      <w:tr w:rsidR="00B02D16" w14:paraId="4E9ABDA6" w14:textId="77777777" w:rsidTr="004C0D2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09C7B2" w14:textId="77777777" w:rsidR="00B02D16" w:rsidRPr="00222051" w:rsidRDefault="00B02D16" w:rsidP="004C0D24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Elektronický dodací list</w:t>
            </w:r>
          </w:p>
          <w:p w14:paraId="4F3EDCD1" w14:textId="77777777" w:rsidR="00B02D16" w:rsidRDefault="00B02D16" w:rsidP="004C0D24">
            <w:pPr>
              <w:rPr>
                <w:bCs/>
                <w:lang w:eastAsia="cs-CZ"/>
              </w:rPr>
            </w:pPr>
          </w:p>
        </w:tc>
        <w:tc>
          <w:tcPr>
            <w:tcW w:w="5670" w:type="dxa"/>
          </w:tcPr>
          <w:p w14:paraId="39AA2002" w14:textId="77777777" w:rsidR="00B02D16" w:rsidRDefault="00B02D16" w:rsidP="004C0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Integrace za účelem přenesení údajů o obsahu dodávky přípravků z lékárny na oddělení.</w:t>
            </w:r>
          </w:p>
        </w:tc>
      </w:tr>
    </w:tbl>
    <w:p w14:paraId="216A69BD" w14:textId="77777777" w:rsidR="00B02D16" w:rsidRPr="00AB1B9A" w:rsidRDefault="00B02D16" w:rsidP="00B02D16">
      <w:pPr>
        <w:pStyle w:val="Nadpis3"/>
        <w:numPr>
          <w:ilvl w:val="2"/>
          <w:numId w:val="4"/>
        </w:numPr>
        <w:tabs>
          <w:tab w:val="clear" w:pos="1134"/>
          <w:tab w:val="left" w:pos="0"/>
          <w:tab w:val="num" w:pos="3545"/>
        </w:tabs>
        <w:spacing w:before="480" w:line="240" w:lineRule="auto"/>
      </w:pPr>
      <w:bookmarkStart w:id="4" w:name="_Toc37352539"/>
      <w:r>
        <w:t>Realizace integrace Elektronický dodací list</w:t>
      </w:r>
      <w:bookmarkEnd w:id="4"/>
      <w:r>
        <w:t xml:space="preserve"> </w:t>
      </w:r>
    </w:p>
    <w:p w14:paraId="0A6748BC" w14:textId="77777777" w:rsidR="00B02D16" w:rsidRDefault="00B02D16" w:rsidP="00B02D16">
      <w:pPr>
        <w:pStyle w:val="Nadpis4"/>
        <w:keepNext w:val="0"/>
        <w:keepLines w:val="0"/>
        <w:numPr>
          <w:ilvl w:val="3"/>
          <w:numId w:val="4"/>
        </w:numPr>
        <w:spacing w:before="480" w:after="120" w:line="240" w:lineRule="auto"/>
        <w:jc w:val="both"/>
      </w:pPr>
      <w:bookmarkStart w:id="5" w:name="_Toc37352540"/>
      <w:r>
        <w:t>Popis integrace</w:t>
      </w:r>
      <w:bookmarkEnd w:id="5"/>
    </w:p>
    <w:p w14:paraId="375E1C4E" w14:textId="77777777" w:rsidR="00B02D16" w:rsidRDefault="00B02D16" w:rsidP="00B02D16">
      <w:r>
        <w:t>Z</w:t>
      </w:r>
      <w:r w:rsidRPr="00F904C4">
        <w:t xml:space="preserve">působ integrace se systémem </w:t>
      </w:r>
      <w:r>
        <w:t>Farmis</w:t>
      </w:r>
      <w:r w:rsidRPr="00F904C4">
        <w:t xml:space="preserve"> vychází z předpokladu, že všechna na oddělení dodávaná léčiva (HVLP, IVLP) budou na úrovni balení označena kódem typu </w:t>
      </w:r>
      <w:proofErr w:type="spellStart"/>
      <w:r w:rsidRPr="00F904C4">
        <w:t>Datamatrix</w:t>
      </w:r>
      <w:proofErr w:type="spellEnd"/>
      <w:r w:rsidRPr="00F904C4">
        <w:t xml:space="preserve"> vytvořeným v souladu se směrnicí 2011/62/EU (</w:t>
      </w:r>
      <w:proofErr w:type="spellStart"/>
      <w:r w:rsidRPr="00F904C4">
        <w:t>Falsified</w:t>
      </w:r>
      <w:proofErr w:type="spellEnd"/>
      <w:r w:rsidRPr="00F904C4">
        <w:t xml:space="preserve"> </w:t>
      </w:r>
      <w:proofErr w:type="spellStart"/>
      <w:r w:rsidRPr="00F904C4">
        <w:t>Medicines</w:t>
      </w:r>
      <w:proofErr w:type="spellEnd"/>
      <w:r w:rsidRPr="00F904C4">
        <w:t xml:space="preserve"> </w:t>
      </w:r>
      <w:proofErr w:type="spellStart"/>
      <w:r w:rsidRPr="00F904C4">
        <w:t>Directive</w:t>
      </w:r>
      <w:proofErr w:type="spellEnd"/>
      <w:r w:rsidRPr="00F904C4">
        <w:t>, FMD) a obsahujícím kód přípravku, šarži a exspiraci</w:t>
      </w:r>
      <w:r w:rsidRPr="00647558">
        <w:t>;</w:t>
      </w:r>
      <w:r w:rsidRPr="00F904C4">
        <w:t xml:space="preserve"> tento kód je vytvořen buď externě (výrobce, distributor) nebo interně (lékárna)</w:t>
      </w:r>
      <w:r>
        <w:t>.</w:t>
      </w:r>
    </w:p>
    <w:p w14:paraId="3070A52B" w14:textId="77777777" w:rsidR="00B02D16" w:rsidRPr="00F904C4" w:rsidRDefault="00B02D16" w:rsidP="00B02D16">
      <w:r>
        <w:t>P</w:t>
      </w:r>
      <w:r w:rsidRPr="00F904C4">
        <w:t>řípravk</w:t>
      </w:r>
      <w:r>
        <w:t>y</w:t>
      </w:r>
      <w:r w:rsidRPr="00F904C4">
        <w:t xml:space="preserve"> kategorie IVLP </w:t>
      </w:r>
      <w:r>
        <w:t>připravované pro konkrétního pacienta se nevyskytují, čárový kód tedy nemusí</w:t>
      </w:r>
      <w:r w:rsidRPr="00F904C4">
        <w:t xml:space="preserve"> obsahovat číslo pacienta, pro něhož byl přípravek individuálně připraven.</w:t>
      </w:r>
    </w:p>
    <w:p w14:paraId="6C7D2B60" w14:textId="77777777" w:rsidR="00B02D16" w:rsidRDefault="00B02D16" w:rsidP="00B02D16">
      <w:pPr>
        <w:pStyle w:val="Nadpis4"/>
        <w:keepNext w:val="0"/>
        <w:keepLines w:val="0"/>
        <w:numPr>
          <w:ilvl w:val="3"/>
          <w:numId w:val="4"/>
        </w:numPr>
        <w:spacing w:before="480" w:after="120" w:line="240" w:lineRule="auto"/>
        <w:jc w:val="both"/>
      </w:pPr>
      <w:bookmarkStart w:id="6" w:name="_Toc37352541"/>
      <w:r>
        <w:t>Popis Integračního rozhraní</w:t>
      </w:r>
      <w:bookmarkEnd w:id="6"/>
    </w:p>
    <w:p w14:paraId="18F5EA07" w14:textId="51C7AC40" w:rsidR="00B02D16" w:rsidRPr="00222051" w:rsidRDefault="00B02D16" w:rsidP="00B02D16">
      <w:r w:rsidRPr="00BD6907">
        <w:t>Komunika</w:t>
      </w:r>
      <w:r>
        <w:t>ce mezi lékárenským systémem FARMIS a NIS bude probíhat pomocí REST služby, kde NIS je server. Formát pro předávání dat je JSON, jehož definice je uvedena v tabulce „</w:t>
      </w:r>
      <w:r w:rsidRPr="00BD6907">
        <w:t>Specifikace XML formátu</w:t>
      </w:r>
      <w:r>
        <w:t>“.  Pro předávání hodnot platí všeobecný XML standard (pokud není uvedeno jinak).</w:t>
      </w:r>
    </w:p>
    <w:p w14:paraId="4205F418" w14:textId="77777777" w:rsidR="00865D43" w:rsidRDefault="00865D43" w:rsidP="00865D43">
      <w:pPr>
        <w:pStyle w:val="Nadpis2"/>
        <w:numPr>
          <w:ilvl w:val="1"/>
          <w:numId w:val="4"/>
        </w:numPr>
        <w:tabs>
          <w:tab w:val="clear" w:pos="1134"/>
        </w:tabs>
        <w:ind w:left="576" w:hanging="576"/>
      </w:pPr>
      <w:bookmarkStart w:id="7" w:name="_Toc37352542"/>
      <w:proofErr w:type="spellStart"/>
      <w:r w:rsidRPr="00672052">
        <w:t>PutDeliveryNoteDrugs</w:t>
      </w:r>
      <w:proofErr w:type="spellEnd"/>
    </w:p>
    <w:p w14:paraId="79720B77" w14:textId="77777777" w:rsidR="00865D43" w:rsidRDefault="00865D43" w:rsidP="00865D43">
      <w:proofErr w:type="spellStart"/>
      <w:r w:rsidRPr="00672052">
        <w:rPr>
          <w:b/>
        </w:rPr>
        <w:t>PutDeliveryNoteDrugs</w:t>
      </w:r>
      <w:proofErr w:type="spellEnd"/>
      <w:r>
        <w:rPr>
          <w:b/>
        </w:rPr>
        <w:t xml:space="preserve"> </w:t>
      </w:r>
      <w:r>
        <w:t>má jako parametr XML odpovídající XSD vzorům (</w:t>
      </w:r>
      <w:r>
        <w:rPr>
          <w:i/>
          <w:iCs/>
        </w:rPr>
        <w:t>{"</w:t>
      </w:r>
      <w:proofErr w:type="spellStart"/>
      <w:r>
        <w:rPr>
          <w:i/>
          <w:iCs/>
        </w:rPr>
        <w:t>xml</w:t>
      </w:r>
      <w:proofErr w:type="spellEnd"/>
      <w:r>
        <w:rPr>
          <w:i/>
          <w:iCs/>
        </w:rPr>
        <w:t xml:space="preserve">":"%XSD </w:t>
      </w:r>
      <w:proofErr w:type="spellStart"/>
      <w:r>
        <w:rPr>
          <w:i/>
          <w:iCs/>
        </w:rPr>
        <w:t>Valid</w:t>
      </w:r>
      <w:proofErr w:type="spellEnd"/>
      <w:r>
        <w:rPr>
          <w:i/>
          <w:iCs/>
        </w:rPr>
        <w:t xml:space="preserve"> XML%"}</w:t>
      </w:r>
      <w:r>
        <w:t xml:space="preserve">). </w:t>
      </w:r>
    </w:p>
    <w:p w14:paraId="272ED0C3" w14:textId="77777777" w:rsidR="00865D43" w:rsidRDefault="00865D43" w:rsidP="00865D43">
      <w:r>
        <w:t xml:space="preserve">Příklad metody </w:t>
      </w:r>
      <w:proofErr w:type="spellStart"/>
      <w:r w:rsidRPr="00672052">
        <w:rPr>
          <w:b/>
        </w:rPr>
        <w:t>PutDeliveryNoteDrugs</w:t>
      </w:r>
      <w:proofErr w:type="spellEnd"/>
      <w:r>
        <w:t xml:space="preserve"> testované aplikací </w:t>
      </w:r>
      <w:proofErr w:type="spellStart"/>
      <w:r>
        <w:t>Postman</w:t>
      </w:r>
      <w:proofErr w:type="spellEnd"/>
      <w:r>
        <w:t xml:space="preserve"> (EOZ_HDR+EOZ_ITM, typ zprávy DND):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65D43" w14:paraId="3ACBC620" w14:textId="77777777" w:rsidTr="00054962">
        <w:trPr>
          <w:trHeight w:val="254"/>
        </w:trPr>
        <w:tc>
          <w:tcPr>
            <w:tcW w:w="90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B9E7C" w14:textId="77777777" w:rsidR="00865D43" w:rsidRDefault="00865D43" w:rsidP="00054962">
            <w:pPr>
              <w:pStyle w:val="Normlnweb"/>
              <w:spacing w:before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POST:</w:t>
            </w:r>
            <w:hyperlink r:id="rId8" w:history="1">
              <w:r w:rsidRPr="00037197">
                <w:rPr>
                  <w:rStyle w:val="Hypertextovodkaz"/>
                  <w:rFonts w:ascii="DejaVu Sans" w:hAnsi="DejaVu Sans" w:cs="DejaVu Sans"/>
                  <w:sz w:val="20"/>
                  <w:szCs w:val="20"/>
                </w:rPr>
                <w:t>http://localhost/WsUniversalOsirisInterface/WsUniversalOsirisInterface.svc/rest/PutDeliveryNoteDrugs</w:t>
              </w:r>
            </w:hyperlink>
          </w:p>
        </w:tc>
      </w:tr>
      <w:tr w:rsidR="00865D43" w14:paraId="6437CDA4" w14:textId="77777777" w:rsidTr="00054962">
        <w:trPr>
          <w:trHeight w:val="254"/>
        </w:trPr>
        <w:tc>
          <w:tcPr>
            <w:tcW w:w="905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C939D" w14:textId="77777777" w:rsidR="00865D43" w:rsidRDefault="00865D43" w:rsidP="00054962">
            <w:pPr>
              <w:pStyle w:val="Normlnweb"/>
              <w:spacing w:before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Request</w:t>
            </w:r>
            <w:proofErr w:type="spellEnd"/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 xml:space="preserve"> body:</w:t>
            </w:r>
          </w:p>
        </w:tc>
      </w:tr>
      <w:tr w:rsidR="00865D43" w14:paraId="782FACF8" w14:textId="77777777" w:rsidTr="00054962">
        <w:trPr>
          <w:trHeight w:val="1260"/>
        </w:trPr>
        <w:tc>
          <w:tcPr>
            <w:tcW w:w="905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90417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proofErr w:type="gramStart"/>
            <w:r w:rsidRPr="00D913E2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{ "</w:t>
            </w:r>
            <w:proofErr w:type="spellStart"/>
            <w:proofErr w:type="gramEnd"/>
            <w:r w:rsidRPr="00D913E2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xml</w:t>
            </w:r>
            <w:proofErr w:type="spellEnd"/>
            <w:r w:rsidRPr="00D913E2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": "</w:t>
            </w:r>
            <w:r>
              <w:t xml:space="preserve"> </w:t>
            </w: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&lt;?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xml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version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=\"1.0\" 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encoding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=\"utf-8\"?&gt;</w:t>
            </w:r>
          </w:p>
          <w:p w14:paraId="5F7EB554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&lt;UOIDATA&gt;</w:t>
            </w:r>
          </w:p>
          <w:p w14:paraId="1AFF4297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&lt;EOZ_HDR&gt;</w:t>
            </w:r>
          </w:p>
          <w:p w14:paraId="4DAA63F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&lt;TYPZPR&gt;DN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D</w:t>
            </w: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&lt;/TYPZPR&gt;</w:t>
            </w:r>
          </w:p>
          <w:p w14:paraId="1CCA9F2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&lt;ID_VYDEJKY&gt;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&lt;/ID_VYDEJKY&gt;</w:t>
            </w:r>
          </w:p>
          <w:p w14:paraId="24495904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&lt;ID_POZADAVKU&gt;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&lt;/ID_POZADAVKU&gt;</w:t>
            </w:r>
          </w:p>
          <w:p w14:paraId="2CE8B5D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&lt;ID_STANICE&gt;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&lt;/ID_STANICE&gt;</w:t>
            </w:r>
          </w:p>
          <w:p w14:paraId="769596BB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&lt;SUMANCBEZDPH&gt;3178840.2349058&lt;/SUMANCBEZDPH&gt;</w:t>
            </w:r>
          </w:p>
          <w:p w14:paraId="63C46DA8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&lt;SUMANCSDPH&gt;4842100.2349058&lt;/SUMANCSDPH&gt;</w:t>
            </w:r>
          </w:p>
          <w:p w14:paraId="01AFAB43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lastRenderedPageBreak/>
              <w:t xml:space="preserve">    &lt;SUMAPCBEZDPH&gt;-4169749.7650942&lt;/SUMAPCBEZDPH&gt;</w:t>
            </w:r>
          </w:p>
          <w:p w14:paraId="4B49EC07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&lt;SUMAPCSDPH&gt;3659010.2349058&lt;/SUMAPCSDPH&gt;</w:t>
            </w:r>
          </w:p>
          <w:p w14:paraId="6DF09558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&lt;POZNAM&gt;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&lt;/POZNAM&gt;</w:t>
            </w:r>
          </w:p>
          <w:p w14:paraId="419E48C8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Items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&gt;</w:t>
            </w:r>
          </w:p>
          <w:p w14:paraId="705AE537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&lt;EOZ_ITM&gt;</w:t>
            </w:r>
          </w:p>
          <w:p w14:paraId="6A185089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&lt;TYPZPR&gt;DN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D</w:t>
            </w: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&lt;/TYPZPR&gt;</w:t>
            </w:r>
          </w:p>
          <w:p w14:paraId="41D684CA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&lt;KODVZP&gt;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&lt;/KODVZP&gt;</w:t>
            </w:r>
          </w:p>
          <w:p w14:paraId="5DB11E3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&lt;POPISBALENI&gt;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&lt;/POPISBALENI&gt;</w:t>
            </w:r>
          </w:p>
          <w:p w14:paraId="6EE1D05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&lt;KATEGORIEVZP&gt;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&lt;/KATEGORIEVZP&gt;</w:t>
            </w:r>
          </w:p>
          <w:p w14:paraId="6803878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&lt;VYDANO&gt;-2406119.7650942&lt;/VYDANO&gt;</w:t>
            </w:r>
          </w:p>
          <w:p w14:paraId="6A743185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&lt;NCBEZDPH&gt;-1350099.7650942&lt;/NCBEZDPH&gt;</w:t>
            </w:r>
          </w:p>
          <w:p w14:paraId="069C9A7B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&lt;NCSDPH&gt;-925759.765094196&lt;/NCSDPH&gt;</w:t>
            </w:r>
          </w:p>
          <w:p w14:paraId="40DF0805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&lt;PCBEZDPH&gt;614330.234905804&lt;/PCBEZDPH&gt;</w:t>
            </w:r>
          </w:p>
          <w:p w14:paraId="47438F84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&lt;PCSDPH&gt;-1497599.7650942&lt;/PCSDPH&gt;</w:t>
            </w:r>
          </w:p>
          <w:p w14:paraId="05E5A3C8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&lt;VYROBNICENA&gt;4967070.2349058&lt;/VYROBNICENA&gt;</w:t>
            </w:r>
          </w:p>
          <w:p w14:paraId="55C8E78D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&lt;SARZE&gt;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&lt;/SARZE&gt;</w:t>
            </w:r>
          </w:p>
          <w:p w14:paraId="1767F965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&lt;EXSPIRACE&gt;2007-02-28T22:13:29.86&lt;/EXSPIRACE&gt;</w:t>
            </w:r>
          </w:p>
          <w:p w14:paraId="0AD7641F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&lt;CISRADKU&gt;-2438&lt;/CISRADKU&gt;</w:t>
            </w:r>
          </w:p>
          <w:p w14:paraId="0428B73B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&lt;CAROVYKOD&gt;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&lt;/CAROVYKOD&gt;</w:t>
            </w:r>
          </w:p>
          <w:p w14:paraId="290A0E3A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&lt;EAN&gt;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&lt;/EAN&gt;</w:t>
            </w:r>
          </w:p>
          <w:p w14:paraId="01D09EF7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&lt;RCPACIENTA&gt;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&lt;/RCPACIENTA&gt;</w:t>
            </w:r>
          </w:p>
          <w:p w14:paraId="3B6F1FA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&lt;VYROBCE&gt;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&lt;/VYROBCE&gt;</w:t>
            </w:r>
          </w:p>
          <w:p w14:paraId="311F27A9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&lt;MATKOD&gt;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&lt;/MATKOD&gt;</w:t>
            </w:r>
          </w:p>
          <w:p w14:paraId="134159E3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&lt;/EOZ_ITM&gt;</w:t>
            </w:r>
          </w:p>
          <w:p w14:paraId="4D2204A0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&lt;EOZ_ITM&gt;</w:t>
            </w:r>
          </w:p>
          <w:p w14:paraId="2D183994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&lt;TYPZPR&gt;DND&lt;/TYPZPR&gt;</w:t>
            </w:r>
          </w:p>
          <w:p w14:paraId="1565B93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&lt;KODVZP&gt;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&lt;/KODVZP&gt;</w:t>
            </w:r>
          </w:p>
          <w:p w14:paraId="7A7FFDC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&lt;POPISBALENI&gt;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&lt;/POPISBALENI&gt;</w:t>
            </w:r>
          </w:p>
          <w:p w14:paraId="1B38747F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&lt;KATEGORIEVZP&gt;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&lt;/KATEGORIEVZP&gt;</w:t>
            </w:r>
          </w:p>
          <w:p w14:paraId="5FD9E980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&lt;VYDANO&gt;1653170.2349058&lt;/VYDANO&gt;</w:t>
            </w:r>
          </w:p>
          <w:p w14:paraId="45DFCAA3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&lt;NCBEZDPH&gt;2644630.2349058&lt;/NCBEZDPH&gt;</w:t>
            </w:r>
          </w:p>
          <w:p w14:paraId="356DA1B6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&lt;NCSDPH&gt;2219760.2349058&lt;/NCSDPH&gt;</w:t>
            </w:r>
          </w:p>
          <w:p w14:paraId="49E19C6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&lt;PCBEZDPH&gt;265830.234905804&lt;/PCBEZDPH&gt;</w:t>
            </w:r>
          </w:p>
          <w:p w14:paraId="6F3B1594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&lt;PCSDPH&gt;-4237769.7650942&lt;/PCSDPH&gt;</w:t>
            </w:r>
          </w:p>
          <w:p w14:paraId="48B7C501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&lt;VYROBNICENA&gt;3663610.2349058&lt;/VYROBNICENA&gt;</w:t>
            </w:r>
          </w:p>
          <w:p w14:paraId="4D0D831E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&lt;SARZE&gt;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&lt;/SARZE&gt;</w:t>
            </w:r>
          </w:p>
          <w:p w14:paraId="1A6BE1E1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&lt;EXSPIRACE&gt;1974-08-03T05:16:23.37&lt;/EXSPIRACE&gt;</w:t>
            </w:r>
          </w:p>
          <w:p w14:paraId="37C52F42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&lt;CISRADKU&gt;-2128&lt;/CISRADKU&gt;</w:t>
            </w:r>
          </w:p>
          <w:p w14:paraId="22B2CB7F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&lt;POZNAMKA&gt;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&lt;/POZNAMKA&gt;</w:t>
            </w:r>
          </w:p>
          <w:p w14:paraId="40359CC8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&lt;CAROVYKOD&gt;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&lt;/CAROVYKOD&gt;</w:t>
            </w:r>
          </w:p>
          <w:p w14:paraId="63CC6FBC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&lt;EAN&gt;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&lt;/EAN&gt;</w:t>
            </w:r>
          </w:p>
          <w:p w14:paraId="34E75949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&lt;VYROBCE&gt;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&lt;/VYROBCE&gt;</w:t>
            </w:r>
          </w:p>
          <w:p w14:paraId="2A592521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&lt;MATKOD&gt;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&lt;/MATKOD&gt;</w:t>
            </w:r>
          </w:p>
          <w:p w14:paraId="38F23423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&lt;/EOZ_ITM&gt;</w:t>
            </w:r>
          </w:p>
          <w:p w14:paraId="3EC6F1B1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&lt;/</w:t>
            </w:r>
            <w:proofErr w:type="spellStart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Items</w:t>
            </w:r>
            <w:proofErr w:type="spellEnd"/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&gt;</w:t>
            </w:r>
          </w:p>
          <w:p w14:paraId="7132D802" w14:textId="77777777" w:rsidR="00865D43" w:rsidRPr="00433FBB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&lt;/EOZ_HDR&gt;</w:t>
            </w:r>
          </w:p>
          <w:p w14:paraId="4695B438" w14:textId="77777777" w:rsidR="00865D43" w:rsidRDefault="00865D43" w:rsidP="00054962">
            <w:pPr>
              <w:pStyle w:val="Normlnweb"/>
              <w:spacing w:before="0"/>
              <w:jc w:val="left"/>
              <w:rPr>
                <w:rFonts w:ascii="DejaVu Sans Mono" w:hAnsi="DejaVu Sans Mono" w:cs="DejaVu Sans Mono"/>
                <w:sz w:val="20"/>
                <w:szCs w:val="20"/>
              </w:rPr>
            </w:pP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&lt;/UOIDATA&gt; </w:t>
            </w:r>
            <w:r w:rsidRPr="00D913E2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" }</w:t>
            </w:r>
          </w:p>
        </w:tc>
      </w:tr>
      <w:tr w:rsidR="00865D43" w14:paraId="51A4272E" w14:textId="77777777" w:rsidTr="00054962">
        <w:trPr>
          <w:trHeight w:val="254"/>
        </w:trPr>
        <w:tc>
          <w:tcPr>
            <w:tcW w:w="905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BA41F" w14:textId="77777777" w:rsidR="00865D43" w:rsidRDefault="00865D43" w:rsidP="00054962">
            <w:pPr>
              <w:pStyle w:val="Normlnweb"/>
              <w:spacing w:before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lastRenderedPageBreak/>
              <w:t>Response body: OK</w:t>
            </w:r>
          </w:p>
        </w:tc>
      </w:tr>
      <w:tr w:rsidR="00865D43" w14:paraId="01A34999" w14:textId="77777777" w:rsidTr="00054962">
        <w:trPr>
          <w:trHeight w:val="1712"/>
        </w:trPr>
        <w:tc>
          <w:tcPr>
            <w:tcW w:w="9052" w:type="dxa"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FFB76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lastRenderedPageBreak/>
              <w:t>{</w:t>
            </w:r>
          </w:p>
          <w:p w14:paraId="45DE98FC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PutDeliveryNote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Drugs</w:t>
            </w: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Result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": {</w:t>
            </w:r>
          </w:p>
          <w:p w14:paraId="079FE174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IsSuccess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true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,</w:t>
            </w:r>
          </w:p>
          <w:p w14:paraId="1B98D3D1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Reason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": "OK. 1 řádků vloženo.",</w:t>
            </w:r>
          </w:p>
          <w:p w14:paraId="5102C700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"Response":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null</w:t>
            </w:r>
            <w:proofErr w:type="spellEnd"/>
          </w:p>
          <w:p w14:paraId="72992F2D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}</w:t>
            </w:r>
          </w:p>
          <w:p w14:paraId="79B3CBED" w14:textId="77777777" w:rsidR="00865D43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}</w:t>
            </w:r>
          </w:p>
        </w:tc>
      </w:tr>
      <w:tr w:rsidR="00865D43" w14:paraId="0E44DC06" w14:textId="77777777" w:rsidTr="00054962">
        <w:trPr>
          <w:trHeight w:val="294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27DA" w14:textId="77777777" w:rsidR="00865D43" w:rsidRPr="00676FA0" w:rsidRDefault="00865D43" w:rsidP="00054962">
            <w:pPr>
              <w:pStyle w:val="Normlnweb"/>
              <w:spacing w:before="0"/>
            </w:pPr>
            <w:r>
              <w:rPr>
                <w:rFonts w:ascii="DejaVu Sans" w:hAnsi="DejaVu Sans" w:cs="DejaVu Sans"/>
                <w:color w:val="000000"/>
                <w:sz w:val="20"/>
                <w:szCs w:val="20"/>
              </w:rPr>
              <w:t>Response body: NOT OK</w:t>
            </w:r>
          </w:p>
        </w:tc>
      </w:tr>
      <w:tr w:rsidR="00865D43" w14:paraId="46770605" w14:textId="77777777" w:rsidTr="00054962">
        <w:trPr>
          <w:trHeight w:val="1712"/>
        </w:trPr>
        <w:tc>
          <w:tcPr>
            <w:tcW w:w="9052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7A92" w14:textId="77777777" w:rsidR="00865D43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1)</w:t>
            </w:r>
          </w:p>
          <w:p w14:paraId="209FE2D8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{</w:t>
            </w:r>
          </w:p>
          <w:p w14:paraId="30CE4DF7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"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PutDeliveryNote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Drugs</w:t>
            </w: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Result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": {</w:t>
            </w:r>
          </w:p>
          <w:p w14:paraId="7591D0DF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IsSuccess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false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,</w:t>
            </w:r>
          </w:p>
          <w:p w14:paraId="7606FA89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Reason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": "Neplatný XML soubor | Invalid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column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name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'TYP_ZADANKY</w:t>
            </w:r>
            <w:proofErr w:type="gram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'.\r\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nInvalid</w:t>
            </w:r>
            <w:proofErr w:type="spellEnd"/>
            <w:proofErr w:type="gram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column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name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'DATUMCASEXPORTU'.",</w:t>
            </w:r>
          </w:p>
          <w:p w14:paraId="04C65FF8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    "Response":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null</w:t>
            </w:r>
            <w:proofErr w:type="spellEnd"/>
          </w:p>
          <w:p w14:paraId="495C6CDC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   }</w:t>
            </w:r>
          </w:p>
          <w:p w14:paraId="79C8FD80" w14:textId="77777777" w:rsidR="00865D43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}</w:t>
            </w:r>
          </w:p>
          <w:p w14:paraId="2EB1FF94" w14:textId="77777777" w:rsidR="00865D43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2)</w:t>
            </w:r>
          </w:p>
          <w:p w14:paraId="7DA68FC7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{</w:t>
            </w:r>
          </w:p>
          <w:p w14:paraId="79E6BC47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    "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PutDeliveryNote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Drugs</w:t>
            </w: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Result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": {</w:t>
            </w:r>
          </w:p>
          <w:p w14:paraId="23D1DAB8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       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IsSuccess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false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,</w:t>
            </w:r>
          </w:p>
          <w:p w14:paraId="44C0801D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        "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Reason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": "Element TYPZPR je neplatný. Hodnota D</w:t>
            </w:r>
            <w:r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NE</w:t>
            </w: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je neplatná vzhledem k jejímu datovému typu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String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– Omezení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Enumeration</w:t>
            </w:r>
            <w:proofErr w:type="spellEnd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se nezdařilo... Obsah elementu </w:t>
            </w:r>
            <w:r w:rsidRPr="00433FBB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EOZ_HDR</w:t>
            </w: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 je neúplný. Seznam možných očekávaných elementů: ARTKOD. ",</w:t>
            </w:r>
          </w:p>
          <w:p w14:paraId="27FFA603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 xml:space="preserve">        "Response": </w:t>
            </w:r>
            <w:proofErr w:type="spellStart"/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null</w:t>
            </w:r>
            <w:proofErr w:type="spellEnd"/>
          </w:p>
          <w:p w14:paraId="159093E3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    }</w:t>
            </w:r>
          </w:p>
          <w:p w14:paraId="66863A4A" w14:textId="77777777" w:rsidR="00865D43" w:rsidRPr="00676FA0" w:rsidRDefault="00865D43" w:rsidP="00054962">
            <w:pPr>
              <w:pStyle w:val="Normlnweb"/>
              <w:spacing w:before="0"/>
              <w:rPr>
                <w:rFonts w:ascii="DejaVu Sans Mono" w:hAnsi="DejaVu Sans Mono" w:cs="DejaVu Sans Mono"/>
                <w:color w:val="000000"/>
                <w:sz w:val="20"/>
                <w:szCs w:val="20"/>
              </w:rPr>
            </w:pPr>
            <w:r w:rsidRPr="00676FA0">
              <w:rPr>
                <w:rFonts w:ascii="DejaVu Sans Mono" w:hAnsi="DejaVu Sans Mono" w:cs="DejaVu Sans Mono"/>
                <w:color w:val="000000"/>
                <w:sz w:val="20"/>
                <w:szCs w:val="20"/>
              </w:rPr>
              <w:t>}</w:t>
            </w:r>
          </w:p>
        </w:tc>
      </w:tr>
    </w:tbl>
    <w:p w14:paraId="64A3B29F" w14:textId="77777777" w:rsidR="00B02D16" w:rsidRDefault="00B02D16" w:rsidP="00B02D16">
      <w:pPr>
        <w:pStyle w:val="Nadpis3"/>
        <w:numPr>
          <w:ilvl w:val="2"/>
          <w:numId w:val="4"/>
        </w:numPr>
        <w:tabs>
          <w:tab w:val="clear" w:pos="1134"/>
          <w:tab w:val="left" w:pos="0"/>
          <w:tab w:val="num" w:pos="3545"/>
        </w:tabs>
        <w:spacing w:before="480" w:line="240" w:lineRule="auto"/>
      </w:pPr>
      <w:r>
        <w:t>Součinnost</w:t>
      </w:r>
      <w:bookmarkEnd w:id="7"/>
    </w:p>
    <w:p w14:paraId="77086443" w14:textId="77777777" w:rsidR="00B02D16" w:rsidRDefault="00B02D16" w:rsidP="00B02D16">
      <w:r>
        <w:t>Od dodavatele systému Farmis je vyžadována následující součinnost:</w:t>
      </w:r>
    </w:p>
    <w:p w14:paraId="17FB4AC4" w14:textId="77777777" w:rsidR="00B02D16" w:rsidRDefault="00B02D16" w:rsidP="00B02D16">
      <w:pPr>
        <w:pStyle w:val="Seznamsodrkami"/>
      </w:pPr>
      <w:r>
        <w:t xml:space="preserve">umožnit tisk 2D </w:t>
      </w:r>
      <w:proofErr w:type="spellStart"/>
      <w:r>
        <w:t>Datamatrix</w:t>
      </w:r>
      <w:proofErr w:type="spellEnd"/>
      <w:r>
        <w:t xml:space="preserve"> kódu v souladu s direktivou FMD pro označování přípravků, které nepodléhají „</w:t>
      </w:r>
      <w:proofErr w:type="spellStart"/>
      <w:r>
        <w:t>protipadělkové</w:t>
      </w:r>
      <w:proofErr w:type="spellEnd"/>
      <w:r>
        <w:t xml:space="preserve"> směrnici“ FMD a nejsou označeny 2D </w:t>
      </w:r>
      <w:proofErr w:type="spellStart"/>
      <w:r>
        <w:t>Datamatrix</w:t>
      </w:r>
      <w:proofErr w:type="spellEnd"/>
      <w:r>
        <w:t xml:space="preserve"> kódem</w:t>
      </w:r>
    </w:p>
    <w:p w14:paraId="1E6FEE63" w14:textId="77777777" w:rsidR="00B02D16" w:rsidRDefault="00B02D16" w:rsidP="00B02D16">
      <w:pPr>
        <w:pStyle w:val="Seznamsodrkami"/>
      </w:pPr>
      <w:r>
        <w:t xml:space="preserve">poskytnout v elektronické formě informaci o každé dodávce přípravků z lékárny na oddělení ve struktuře a obsahu uvedeném v předchozí kapitole </w:t>
      </w:r>
    </w:p>
    <w:p w14:paraId="471913BF" w14:textId="77777777" w:rsidR="00B02D16" w:rsidRDefault="00B02D16" w:rsidP="00B02D16">
      <w:pPr>
        <w:pStyle w:val="Seznamsodrkami"/>
      </w:pPr>
      <w:r>
        <w:t xml:space="preserve">poskytnutí nezbytných informací a součinnosti objednateli a dodavateli NIS při přípravě a testování integrací (ve vývojovém prostředí zhotovitele, v testovacím a produkčním prostředí objednatele) včetně zapracování případných připomínek a výhrad objednatele z testování </w:t>
      </w:r>
    </w:p>
    <w:p w14:paraId="281760AD" w14:textId="77777777" w:rsidR="00B02D16" w:rsidRDefault="00B02D16" w:rsidP="00B02D16">
      <w:r w:rsidRPr="00F904C4">
        <w:t>Výše uveden</w:t>
      </w:r>
      <w:r>
        <w:t>á součinnost</w:t>
      </w:r>
      <w:r w:rsidRPr="00F904C4">
        <w:t xml:space="preserve"> je nezbytnou podmínkou pro implementaci modulu Evidence operativních zásob a zajištění požadavků Lékového </w:t>
      </w:r>
      <w:proofErr w:type="spellStart"/>
      <w:r w:rsidRPr="00F904C4">
        <w:t>workflow</w:t>
      </w:r>
      <w:proofErr w:type="spellEnd"/>
      <w:r w:rsidRPr="00F904C4">
        <w:t>.</w:t>
      </w:r>
    </w:p>
    <w:p w14:paraId="23E4A1F8" w14:textId="77777777" w:rsidR="00B02D16" w:rsidRDefault="00B02D16" w:rsidP="00B02D16">
      <w:r>
        <w:t xml:space="preserve">Mimo jiné to znamená, že </w:t>
      </w:r>
    </w:p>
    <w:p w14:paraId="152667C3" w14:textId="77777777" w:rsidR="00B02D16" w:rsidRDefault="00B02D16" w:rsidP="00B02D16">
      <w:pPr>
        <w:pStyle w:val="Seznamsodrkami"/>
      </w:pPr>
      <w:r>
        <w:t xml:space="preserve">u přípravků, které již mají z výroby čárový 2D </w:t>
      </w:r>
      <w:proofErr w:type="spellStart"/>
      <w:r>
        <w:t>Datamatrix</w:t>
      </w:r>
      <w:proofErr w:type="spellEnd"/>
      <w:r>
        <w:t xml:space="preserve"> kód předtištěn na obalu léčiva, bude použit tento originál </w:t>
      </w:r>
      <w:proofErr w:type="spellStart"/>
      <w:r>
        <w:t>Datamatrix</w:t>
      </w:r>
      <w:proofErr w:type="spellEnd"/>
      <w:r>
        <w:t xml:space="preserve"> (2D) kód beze změny,</w:t>
      </w:r>
    </w:p>
    <w:p w14:paraId="7D674DF2" w14:textId="77777777" w:rsidR="00B02D16" w:rsidRDefault="00B02D16" w:rsidP="00B02D16">
      <w:pPr>
        <w:pStyle w:val="Seznamsodrkami"/>
      </w:pPr>
      <w:r>
        <w:t xml:space="preserve">u přípravků, které nemají </w:t>
      </w:r>
      <w:proofErr w:type="spellStart"/>
      <w:r>
        <w:t>Datamatrix</w:t>
      </w:r>
      <w:proofErr w:type="spellEnd"/>
      <w:r>
        <w:t xml:space="preserve"> (2D) kód od výrobce, bude lékárna na balení vydávaná na oddělení umísťovat vlastní 2D kód vytištěný ze systému Farmis dle výše uvedené směrnice tak, aby obsahoval jednoznačnou identifikaci přípravku, šarži a exspiraci. </w:t>
      </w:r>
    </w:p>
    <w:p w14:paraId="7F264043" w14:textId="77777777" w:rsidR="00B02D16" w:rsidRDefault="00B02D16" w:rsidP="00B02D16">
      <w:r>
        <w:lastRenderedPageBreak/>
        <w:t xml:space="preserve">Navržené řešení umožňuje sjednotit systém označování a jednoznačné strojové identifikace léčiv a je v souladu s nařízením dle směrnice </w:t>
      </w:r>
      <w:r w:rsidRPr="00F904C4">
        <w:t>2011/62/EU (</w:t>
      </w:r>
      <w:proofErr w:type="spellStart"/>
      <w:r w:rsidRPr="00F904C4">
        <w:t>Falsified</w:t>
      </w:r>
      <w:proofErr w:type="spellEnd"/>
      <w:r w:rsidRPr="00F904C4">
        <w:t xml:space="preserve"> </w:t>
      </w:r>
      <w:proofErr w:type="spellStart"/>
      <w:r w:rsidRPr="00F904C4">
        <w:t>Medicines</w:t>
      </w:r>
      <w:proofErr w:type="spellEnd"/>
      <w:r w:rsidRPr="00F904C4">
        <w:t xml:space="preserve"> </w:t>
      </w:r>
      <w:proofErr w:type="spellStart"/>
      <w:r w:rsidRPr="00F904C4">
        <w:t>Directive</w:t>
      </w:r>
      <w:proofErr w:type="spellEnd"/>
      <w:r w:rsidRPr="00F904C4">
        <w:t>, FMD)</w:t>
      </w:r>
      <w:r>
        <w:t>.</w:t>
      </w:r>
    </w:p>
    <w:p w14:paraId="7501FCD1" w14:textId="6A1B6F8E" w:rsidR="00191F1C" w:rsidRDefault="00191F1C" w:rsidP="001E0087">
      <w:pPr>
        <w:rPr>
          <w:b/>
          <w:sz w:val="28"/>
          <w:szCs w:val="28"/>
        </w:rPr>
      </w:pPr>
    </w:p>
    <w:p w14:paraId="67E0DB0C" w14:textId="77777777" w:rsidR="001B7E60" w:rsidRPr="00087F16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sectPr w:rsidR="001B7E60" w:rsidRPr="00087F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7D61" w14:textId="77777777" w:rsidR="009C72E1" w:rsidRDefault="009C72E1" w:rsidP="0027366C">
      <w:pPr>
        <w:spacing w:after="0" w:line="240" w:lineRule="auto"/>
      </w:pPr>
      <w:r>
        <w:separator/>
      </w:r>
    </w:p>
  </w:endnote>
  <w:endnote w:type="continuationSeparator" w:id="0">
    <w:p w14:paraId="4BDE5397" w14:textId="77777777" w:rsidR="009C72E1" w:rsidRDefault="009C72E1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DejaVu Sans Mono">
    <w:altName w:val="Verdana"/>
    <w:charset w:val="EE"/>
    <w:family w:val="modern"/>
    <w:pitch w:val="fixed"/>
    <w:sig w:usb0="E70026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8E">
          <w:rPr>
            <w:noProof/>
          </w:rPr>
          <w:t>5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82A1" w14:textId="77777777" w:rsidR="009C72E1" w:rsidRDefault="009C72E1" w:rsidP="0027366C">
      <w:pPr>
        <w:spacing w:after="0" w:line="240" w:lineRule="auto"/>
      </w:pPr>
      <w:r>
        <w:separator/>
      </w:r>
    </w:p>
  </w:footnote>
  <w:footnote w:type="continuationSeparator" w:id="0">
    <w:p w14:paraId="5B0C009F" w14:textId="77777777" w:rsidR="009C72E1" w:rsidRDefault="009C72E1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24D"/>
    <w:multiLevelType w:val="multilevel"/>
    <w:tmpl w:val="CDDCF6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4A5A84"/>
    <w:multiLevelType w:val="multilevel"/>
    <w:tmpl w:val="45E26CEA"/>
    <w:lvl w:ilvl="0">
      <w:start w:val="1"/>
      <w:numFmt w:val="bullet"/>
      <w:pStyle w:val="Seznamsodrkami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5B9BD5" w:themeColor="accent1"/>
      </w:rPr>
    </w:lvl>
    <w:lvl w:ilvl="1">
      <w:start w:val="1"/>
      <w:numFmt w:val="bullet"/>
      <w:pStyle w:val="Seznamsodrkami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ED7D31" w:themeColor="accent2"/>
      </w:rPr>
    </w:lvl>
    <w:lvl w:ilvl="2">
      <w:start w:val="1"/>
      <w:numFmt w:val="bullet"/>
      <w:pStyle w:val="Seznamsodrkami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22A35" w:themeColor="text2" w:themeShade="80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433DC8"/>
    <w:multiLevelType w:val="hybridMultilevel"/>
    <w:tmpl w:val="BB1CB0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8B4ED6"/>
    <w:multiLevelType w:val="multilevel"/>
    <w:tmpl w:val="57780A1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B0F0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A4E8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  <w:rPr>
        <w:rFonts w:hint="default"/>
        <w:b/>
        <w:i w:val="0"/>
        <w:color w:val="00A4E8"/>
      </w:r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  <w:b/>
        <w:i w:val="0"/>
        <w:color w:val="00A4E8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07610"/>
    <w:rsid w:val="00087F16"/>
    <w:rsid w:val="000D38EF"/>
    <w:rsid w:val="000F1A3E"/>
    <w:rsid w:val="00101095"/>
    <w:rsid w:val="0017571A"/>
    <w:rsid w:val="00191F1C"/>
    <w:rsid w:val="001B6187"/>
    <w:rsid w:val="001B7E60"/>
    <w:rsid w:val="001C7756"/>
    <w:rsid w:val="001E0087"/>
    <w:rsid w:val="001E3A76"/>
    <w:rsid w:val="001F18A8"/>
    <w:rsid w:val="002117EC"/>
    <w:rsid w:val="00232A9C"/>
    <w:rsid w:val="00245CD2"/>
    <w:rsid w:val="0027366C"/>
    <w:rsid w:val="002A3017"/>
    <w:rsid w:val="00347F21"/>
    <w:rsid w:val="003602EF"/>
    <w:rsid w:val="00361142"/>
    <w:rsid w:val="003D35BF"/>
    <w:rsid w:val="00446C25"/>
    <w:rsid w:val="00457C8E"/>
    <w:rsid w:val="004F0734"/>
    <w:rsid w:val="0052654E"/>
    <w:rsid w:val="00540F1E"/>
    <w:rsid w:val="00566D69"/>
    <w:rsid w:val="00571C87"/>
    <w:rsid w:val="005E1584"/>
    <w:rsid w:val="005E4E78"/>
    <w:rsid w:val="005E6732"/>
    <w:rsid w:val="005F4D28"/>
    <w:rsid w:val="006104F5"/>
    <w:rsid w:val="00620294"/>
    <w:rsid w:val="006364E7"/>
    <w:rsid w:val="00641EC0"/>
    <w:rsid w:val="00667E81"/>
    <w:rsid w:val="00672299"/>
    <w:rsid w:val="00674C0A"/>
    <w:rsid w:val="006B4DBC"/>
    <w:rsid w:val="006D1F97"/>
    <w:rsid w:val="00713F66"/>
    <w:rsid w:val="00747F7A"/>
    <w:rsid w:val="00773C43"/>
    <w:rsid w:val="007871BE"/>
    <w:rsid w:val="00790614"/>
    <w:rsid w:val="007A0070"/>
    <w:rsid w:val="007E2762"/>
    <w:rsid w:val="00830F90"/>
    <w:rsid w:val="00840DD2"/>
    <w:rsid w:val="00853BCC"/>
    <w:rsid w:val="00865D43"/>
    <w:rsid w:val="00876422"/>
    <w:rsid w:val="008771A1"/>
    <w:rsid w:val="00887411"/>
    <w:rsid w:val="00894D20"/>
    <w:rsid w:val="00896D68"/>
    <w:rsid w:val="008B0D41"/>
    <w:rsid w:val="00920F21"/>
    <w:rsid w:val="009253AE"/>
    <w:rsid w:val="00937734"/>
    <w:rsid w:val="00996160"/>
    <w:rsid w:val="009C72E1"/>
    <w:rsid w:val="00A04C8F"/>
    <w:rsid w:val="00A10E11"/>
    <w:rsid w:val="00A77BA5"/>
    <w:rsid w:val="00AA00A2"/>
    <w:rsid w:val="00AA1B13"/>
    <w:rsid w:val="00AB7EDE"/>
    <w:rsid w:val="00AD7A13"/>
    <w:rsid w:val="00AF4B9E"/>
    <w:rsid w:val="00B02D16"/>
    <w:rsid w:val="00B131DC"/>
    <w:rsid w:val="00B41A97"/>
    <w:rsid w:val="00B44213"/>
    <w:rsid w:val="00BA2B6B"/>
    <w:rsid w:val="00BA33DF"/>
    <w:rsid w:val="00BC45FC"/>
    <w:rsid w:val="00BD65B0"/>
    <w:rsid w:val="00C20200"/>
    <w:rsid w:val="00C57DD4"/>
    <w:rsid w:val="00C66F2C"/>
    <w:rsid w:val="00CE6EA1"/>
    <w:rsid w:val="00D77D63"/>
    <w:rsid w:val="00E04FF4"/>
    <w:rsid w:val="00E10A45"/>
    <w:rsid w:val="00E71AF4"/>
    <w:rsid w:val="00EE24A4"/>
    <w:rsid w:val="00F26009"/>
    <w:rsid w:val="00F3769F"/>
    <w:rsid w:val="00F40B46"/>
    <w:rsid w:val="00F87ADE"/>
    <w:rsid w:val="00FA0DE4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Kapitola,kapitola,Chapter,1,section,ASAPHeading 1,Celého textu,V_Head1,Záhlaví 1,h1,Nadpis 11,Prj1,POS1,L1 Heading 1,Kapitola1,Kapitola2,Kapitola3,Kapitola4,Kapitola5,Kapitola11,Kapitola21,Kapitola31,Kapitola41,Kapitola6,Kapitola12"/>
    <w:basedOn w:val="Normln"/>
    <w:next w:val="Normln"/>
    <w:link w:val="Nadpis1Char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H2,Podkapitola1,hlavní odstavec,PA Major Section,Nadpis_2_úroveň,h2,Attribute Heading 2,2m,hlavicka,F2,F21,2,sub-sect,21,sub-sect1,22,sub-sect2,211,sub-sect11,ASAPHeading 2,Běžného textu,V_Head2,V_Head21,V_Head22,Odstavec č.,Paragraph"/>
    <w:basedOn w:val="Normln"/>
    <w:next w:val="Normln"/>
    <w:link w:val="Nadpis2Char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3,Podkapitola2,Záhlaví 3,V_Head3,V_Head31,V_Head32,Nadpis_3_úroveň,Podkapitola,odstavec,PA Minor Section,ASAPHeading 3,Sub Paragraph,Podkapitola21,Prj3,Nadpis_3_úroveo,POS3"/>
    <w:basedOn w:val="Normln"/>
    <w:next w:val="Normln"/>
    <w:link w:val="Nadpis3Char"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aliases w:val="H1 Char,Kapitola Char,kapitola Char,Chapter Char,1 Char,section Char,ASAPHeading 1 Char,Celého textu Char,V_Head1 Char,Záhlaví 1 Char,h1 Char,Nadpis 11 Char,Prj1 Char,POS1 Char,L1 Heading 1 Char,Kapitola1 Char,Kapitola2 Char,Kapitola3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H2 Char,Podkapitola1 Char,hlavní odstavec Char,PA Major Section Char,Nadpis_2_úroveň Char,h2 Char,Attribute Heading 2 Char,2m Char,hlavicka Char,F2 Char,F21 Char,2 Char,sub-sect Char,21 Char,sub-sect1 Char,22 Char,sub-sect2 Char,211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aliases w:val="H3 Char,Podkapitola2 Char,Záhlaví 3 Char,V_Head3 Char,V_Head31 Char,V_Head32 Char,Nadpis_3_úroveň Char,Podkapitola Char,odstavec Char,PA Minor Section Char,ASAPHeading 3 Char,Sub Paragraph Char,Podkapitola21 Char,Prj3 Char,POS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A2B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B6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02D16"/>
    <w:pPr>
      <w:spacing w:after="0" w:line="240" w:lineRule="auto"/>
    </w:pPr>
    <w:rPr>
      <w:rFonts w:ascii="Arial" w:eastAsia="Arial" w:hAnsi="Arial" w:cs="Arial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"/>
    <w:qFormat/>
    <w:rsid w:val="00B02D16"/>
    <w:pPr>
      <w:numPr>
        <w:numId w:val="3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2">
    <w:name w:val="List Bullet 2"/>
    <w:basedOn w:val="Normln"/>
    <w:uiPriority w:val="9"/>
    <w:qFormat/>
    <w:rsid w:val="00B02D16"/>
    <w:pPr>
      <w:numPr>
        <w:ilvl w:val="1"/>
        <w:numId w:val="3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3">
    <w:name w:val="List Bullet 3"/>
    <w:basedOn w:val="Normln"/>
    <w:uiPriority w:val="9"/>
    <w:qFormat/>
    <w:rsid w:val="00B02D16"/>
    <w:pPr>
      <w:numPr>
        <w:ilvl w:val="2"/>
        <w:numId w:val="3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4">
    <w:name w:val="List Bullet 4"/>
    <w:basedOn w:val="Normln"/>
    <w:uiPriority w:val="9"/>
    <w:rsid w:val="00B02D16"/>
    <w:pPr>
      <w:numPr>
        <w:ilvl w:val="3"/>
        <w:numId w:val="3"/>
      </w:numPr>
      <w:spacing w:after="120" w:line="240" w:lineRule="auto"/>
      <w:contextualSpacing/>
      <w:jc w:val="both"/>
    </w:pPr>
    <w:rPr>
      <w:lang w:eastAsia="cs-CZ"/>
    </w:rPr>
  </w:style>
  <w:style w:type="paragraph" w:styleId="Seznamsodrkami5">
    <w:name w:val="List Bullet 5"/>
    <w:basedOn w:val="Normln"/>
    <w:uiPriority w:val="9"/>
    <w:rsid w:val="00B02D16"/>
    <w:pPr>
      <w:numPr>
        <w:ilvl w:val="4"/>
        <w:numId w:val="3"/>
      </w:numPr>
      <w:spacing w:after="120" w:line="240" w:lineRule="auto"/>
      <w:contextualSpacing/>
      <w:jc w:val="both"/>
    </w:pPr>
    <w:rPr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B02D16"/>
    <w:pPr>
      <w:keepNext/>
      <w:keepLines/>
      <w:spacing w:before="220" w:after="120" w:line="240" w:lineRule="auto"/>
      <w:jc w:val="both"/>
    </w:pPr>
    <w:rPr>
      <w:b/>
      <w:bCs/>
      <w:sz w:val="18"/>
      <w:szCs w:val="18"/>
    </w:rPr>
  </w:style>
  <w:style w:type="table" w:customStyle="1" w:styleId="TabulkaICZ">
    <w:name w:val="Tabulka ICZ"/>
    <w:basedOn w:val="Normlntabulka"/>
    <w:uiPriority w:val="99"/>
    <w:rsid w:val="00B02D16"/>
    <w:pPr>
      <w:spacing w:after="0" w:line="240" w:lineRule="auto"/>
      <w:ind w:left="57" w:right="57"/>
      <w:contextualSpacing/>
    </w:p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44546A" w:themeColor="text2"/>
          <w:tl2br w:val="nil"/>
          <w:tr2bl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44546A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E7E6E6" w:themeFill="background2"/>
      </w:tcPr>
    </w:tblStyle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B02D16"/>
    <w:rPr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rsid w:val="00865D43"/>
    <w:pPr>
      <w:spacing w:before="240"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WsUniversalOsirisInterface/WsUniversalOsirisInterface.svc/rest/PutDeliveryNoteDru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cp:lastPrinted>2021-06-11T04:19:00Z</cp:lastPrinted>
  <dcterms:created xsi:type="dcterms:W3CDTF">2021-06-11T09:51:00Z</dcterms:created>
  <dcterms:modified xsi:type="dcterms:W3CDTF">2021-06-11T10:04:00Z</dcterms:modified>
</cp:coreProperties>
</file>