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12" w:rsidRDefault="005A1A27">
      <w:pPr>
        <w:pStyle w:val="Zkladntext1"/>
        <w:shd w:val="clear" w:color="auto" w:fill="auto"/>
        <w:spacing w:after="0"/>
        <w:ind w:left="620" w:hanging="340"/>
      </w:pPr>
      <w:r>
        <w:t>t‘</w:t>
      </w:r>
    </w:p>
    <w:p w:rsidR="00562A12" w:rsidRDefault="005A1A27">
      <w:pPr>
        <w:pStyle w:val="Zkladntext1"/>
        <w:shd w:val="clear" w:color="auto" w:fill="auto"/>
        <w:tabs>
          <w:tab w:val="left" w:pos="4114"/>
        </w:tabs>
        <w:spacing w:after="0"/>
      </w:pPr>
      <w:r>
        <w:rPr>
          <w:b/>
          <w:bCs/>
          <w:i/>
          <w:iCs/>
          <w:sz w:val="18"/>
          <w:szCs w:val="18"/>
        </w:rPr>
        <w:t>&lt;9, ■'£’ “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</w:rPr>
        <w:t>Smlouva o dílo</w:t>
      </w:r>
    </w:p>
    <w:p w:rsidR="00562A12" w:rsidRDefault="005A1A27">
      <w:pPr>
        <w:pStyle w:val="Nadpis10"/>
        <w:keepNext/>
        <w:keepLines/>
        <w:shd w:val="clear" w:color="auto" w:fill="auto"/>
        <w:ind w:right="160"/>
      </w:pPr>
      <w:bookmarkStart w:id="0" w:name="bookmark0"/>
      <w:proofErr w:type="spellStart"/>
      <w:r>
        <w:rPr>
          <w:vertAlign w:val="subscript"/>
        </w:rPr>
        <w:t>f</w:t>
      </w:r>
      <w:r>
        <w:t>uzavřená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>. § 2586 a násl. a 2631 a násl. zákona ě. 89/2012 Sb., občanský</w:t>
      </w:r>
      <w:r>
        <w:br/>
        <w:t>zákoník, v platném znění</w:t>
      </w:r>
      <w:bookmarkEnd w:id="0"/>
    </w:p>
    <w:p w:rsidR="00562A12" w:rsidRDefault="005A1A27">
      <w:pPr>
        <w:pStyle w:val="Zkladntext1"/>
        <w:shd w:val="clear" w:color="auto" w:fill="auto"/>
        <w:spacing w:after="0"/>
        <w:ind w:right="160"/>
        <w:jc w:val="center"/>
      </w:pPr>
      <w:r>
        <w:t>rok 2021</w:t>
      </w:r>
    </w:p>
    <w:p w:rsidR="00562A12" w:rsidRDefault="005A1A27">
      <w:pPr>
        <w:pStyle w:val="Nadpis10"/>
        <w:keepNext/>
        <w:keepLines/>
        <w:shd w:val="clear" w:color="auto" w:fill="auto"/>
        <w:ind w:left="4800" w:firstLine="40"/>
        <w:jc w:val="left"/>
      </w:pPr>
      <w:bookmarkStart w:id="1" w:name="bookmark1"/>
      <w:r>
        <w:t>I.</w:t>
      </w:r>
      <w:bookmarkEnd w:id="1"/>
    </w:p>
    <w:p w:rsidR="00562A12" w:rsidRDefault="005A1A27">
      <w:pPr>
        <w:pStyle w:val="Nadpis10"/>
        <w:keepNext/>
        <w:keepLines/>
        <w:shd w:val="clear" w:color="auto" w:fill="auto"/>
        <w:spacing w:after="260"/>
        <w:ind w:right="160"/>
      </w:pPr>
      <w:bookmarkStart w:id="2" w:name="bookmark2"/>
      <w:r>
        <w:t>Smluvní strany</w:t>
      </w:r>
      <w:bookmarkEnd w:id="2"/>
    </w:p>
    <w:p w:rsidR="00562A12" w:rsidRDefault="005A1A27">
      <w:pPr>
        <w:pStyle w:val="Nadpis10"/>
        <w:keepNext/>
        <w:keepLines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12700</wp:posOffset>
                </wp:positionV>
                <wp:extent cx="85344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2A12" w:rsidRDefault="005A1A2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599999999999994pt;margin-top:1.pt;width:67.200000000000003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" w:name="bookmark3"/>
      <w:r>
        <w:t>BASF spol. s r.o.</w:t>
      </w:r>
      <w:bookmarkEnd w:id="3"/>
    </w:p>
    <w:p w:rsidR="00562A12" w:rsidRDefault="005A1A27" w:rsidP="007202A7">
      <w:pPr>
        <w:pStyle w:val="Zkladntext1"/>
        <w:shd w:val="clear" w:color="auto" w:fill="auto"/>
        <w:spacing w:after="0"/>
        <w:jc w:val="left"/>
      </w:pPr>
      <w:r>
        <w:t>Se sídlem Sokolovská 668/136d, 18600 Praha 8</w:t>
      </w:r>
    </w:p>
    <w:p w:rsidR="007202A7" w:rsidRDefault="005A1A27" w:rsidP="007202A7">
      <w:pPr>
        <w:pStyle w:val="Zkladntext1"/>
        <w:shd w:val="clear" w:color="auto" w:fill="auto"/>
        <w:spacing w:after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165100</wp:posOffset>
                </wp:positionV>
                <wp:extent cx="853440" cy="7283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2A7" w:rsidRDefault="005A1A2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zastoupená ve </w:t>
                            </w:r>
                            <w:proofErr w:type="spellStart"/>
                            <w:r>
                              <w:t>věc.techn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62A12" w:rsidRDefault="005A1A2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 IČ:</w:t>
                            </w:r>
                          </w:p>
                          <w:p w:rsidR="00562A12" w:rsidRDefault="005A1A2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72.1pt;margin-top:13pt;width:67.2pt;height:57.3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" filled="f" stroked="f">
                <v:textbox style="mso-fit-shape-to-text:t" inset="0,0,0,0">
                  <w:txbxContent>
                    <w:p w:rsidR="007202A7" w:rsidRDefault="005A1A2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zastoupená ve </w:t>
                      </w:r>
                      <w:proofErr w:type="spellStart"/>
                      <w:r>
                        <w:t>věc.techn</w:t>
                      </w:r>
                      <w:proofErr w:type="spellEnd"/>
                      <w:r>
                        <w:t>.</w:t>
                      </w:r>
                    </w:p>
                    <w:p w:rsidR="00562A12" w:rsidRDefault="005A1A2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 IČ:</w:t>
                      </w:r>
                    </w:p>
                    <w:p w:rsidR="00562A12" w:rsidRDefault="005A1A2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Sp</w:t>
      </w:r>
      <w:proofErr w:type="spellEnd"/>
      <w:r>
        <w:t>. zapsaná v OR vedeným Městským soudem v Praze, oddíl C, vložka 3255</w:t>
      </w:r>
    </w:p>
    <w:p w:rsidR="007202A7" w:rsidRDefault="005A1A27" w:rsidP="007202A7">
      <w:pPr>
        <w:pStyle w:val="Zkladntext1"/>
        <w:shd w:val="clear" w:color="auto" w:fill="auto"/>
        <w:spacing w:after="0"/>
        <w:jc w:val="left"/>
      </w:pPr>
      <w:r>
        <w:t xml:space="preserve"> Ing. Filip Dvořák </w:t>
      </w:r>
      <w:r w:rsidR="007202A7">
        <w:t>–</w:t>
      </w:r>
      <w:r>
        <w:t xml:space="preserve"> jednatel</w:t>
      </w:r>
    </w:p>
    <w:p w:rsidR="007202A7" w:rsidRDefault="007202A7" w:rsidP="007202A7">
      <w:pPr>
        <w:pStyle w:val="Zkladntext1"/>
        <w:shd w:val="clear" w:color="auto" w:fill="auto"/>
        <w:spacing w:after="0"/>
        <w:jc w:val="left"/>
      </w:pPr>
      <w:r>
        <w:t xml:space="preserve"> </w:t>
      </w:r>
    </w:p>
    <w:p w:rsidR="00562A12" w:rsidRDefault="005A1A27" w:rsidP="007202A7">
      <w:pPr>
        <w:pStyle w:val="Zkladntext1"/>
        <w:shd w:val="clear" w:color="auto" w:fill="auto"/>
        <w:spacing w:after="0"/>
        <w:jc w:val="left"/>
      </w:pPr>
      <w:r>
        <w:t xml:space="preserve"> 41195469</w:t>
      </w:r>
    </w:p>
    <w:p w:rsidR="007202A7" w:rsidRDefault="005A1A27">
      <w:pPr>
        <w:pStyle w:val="Zkladntext1"/>
        <w:shd w:val="clear" w:color="auto" w:fill="auto"/>
        <w:spacing w:after="260"/>
        <w:ind w:left="1800" w:right="5540" w:hanging="1800"/>
        <w:jc w:val="left"/>
      </w:pPr>
      <w:r>
        <w:t>CZ41195469</w:t>
      </w:r>
    </w:p>
    <w:p w:rsidR="00562A12" w:rsidRDefault="005A1A27">
      <w:pPr>
        <w:pStyle w:val="Zkladntext1"/>
        <w:shd w:val="clear" w:color="auto" w:fill="auto"/>
        <w:spacing w:after="260"/>
        <w:ind w:left="1800" w:right="5540" w:hanging="1800"/>
        <w:jc w:val="left"/>
      </w:pPr>
      <w:r>
        <w:t xml:space="preserve"> (dále jen „objednatel“)</w:t>
      </w:r>
    </w:p>
    <w:p w:rsidR="00562A12" w:rsidRDefault="005A1A27">
      <w:pPr>
        <w:pStyle w:val="Nadpis10"/>
        <w:keepNext/>
        <w:keepLines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12700</wp:posOffset>
                </wp:positionV>
                <wp:extent cx="798830" cy="2012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2A12" w:rsidRDefault="005A1A2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099999999999994pt;margin-top:1.pt;width:62.899999999999999pt;height:15.85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4"/>
    </w:p>
    <w:p w:rsidR="007202A7" w:rsidRDefault="005A1A27" w:rsidP="007202A7">
      <w:pPr>
        <w:pStyle w:val="Zkladntext1"/>
        <w:shd w:val="clear" w:color="auto" w:fill="auto"/>
        <w:spacing w:after="0"/>
        <w:jc w:val="left"/>
      </w:pPr>
      <w:r>
        <w:rPr>
          <w:noProof/>
          <w:lang w:bidi="ar-SA"/>
        </w:rPr>
        <mc:AlternateContent>
          <mc:Choice Requires="wps">
            <w:drawing>
              <wp:anchor distT="101600" distB="101600" distL="101600" distR="101600" simplePos="0" relativeHeight="125829384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342900</wp:posOffset>
                </wp:positionV>
                <wp:extent cx="902335" cy="108204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02A7" w:rsidRDefault="005A1A2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zastoupený:</w:t>
                            </w:r>
                          </w:p>
                          <w:p w:rsidR="00562A12" w:rsidRDefault="007202A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 ve </w:t>
                            </w:r>
                            <w:proofErr w:type="spellStart"/>
                            <w:r>
                              <w:t>věc.</w:t>
                            </w:r>
                            <w:r w:rsidR="005A1A27">
                              <w:t>techn</w:t>
                            </w:r>
                            <w:proofErr w:type="spellEnd"/>
                            <w:r w:rsidR="005A1A27">
                              <w:t xml:space="preserve">.: </w:t>
                            </w:r>
                            <w:r>
                              <w:t xml:space="preserve">ve věc. </w:t>
                            </w:r>
                            <w:proofErr w:type="spellStart"/>
                            <w:r>
                              <w:t>sml</w:t>
                            </w:r>
                            <w:proofErr w:type="spellEnd"/>
                            <w:r w:rsidR="005A1A27">
                              <w:t xml:space="preserve">.: bank. </w:t>
                            </w:r>
                            <w:proofErr w:type="gramStart"/>
                            <w:r w:rsidR="005A1A27">
                              <w:t>spojení</w:t>
                            </w:r>
                            <w:proofErr w:type="gramEnd"/>
                            <w:r w:rsidR="005A1A27">
                              <w:t>: IČ:</w:t>
                            </w:r>
                          </w:p>
                          <w:p w:rsidR="00562A12" w:rsidRDefault="005A1A2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72.1pt;margin-top:27pt;width:71.05pt;height:85.2pt;z-index:125829384;visibility:visible;mso-wrap-style:square;mso-wrap-distance-left:8pt;mso-wrap-distance-top:8pt;mso-wrap-distance-right:8pt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" filled="f" stroked="f">
                <v:textbox style="mso-fit-shape-to-text:t" inset="0,0,0,0">
                  <w:txbxContent>
                    <w:p w:rsidR="007202A7" w:rsidRDefault="005A1A2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zastoupený:</w:t>
                      </w:r>
                    </w:p>
                    <w:p w:rsidR="00562A12" w:rsidRDefault="007202A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 ve </w:t>
                      </w:r>
                      <w:proofErr w:type="spellStart"/>
                      <w:r>
                        <w:t>věc.</w:t>
                      </w:r>
                      <w:r w:rsidR="005A1A27">
                        <w:t>techn</w:t>
                      </w:r>
                      <w:proofErr w:type="spellEnd"/>
                      <w:r w:rsidR="005A1A27">
                        <w:t xml:space="preserve">.: </w:t>
                      </w:r>
                      <w:r>
                        <w:t xml:space="preserve">ve věc. </w:t>
                      </w:r>
                      <w:proofErr w:type="spellStart"/>
                      <w:r>
                        <w:t>sml</w:t>
                      </w:r>
                      <w:proofErr w:type="spellEnd"/>
                      <w:r w:rsidR="005A1A27">
                        <w:t xml:space="preserve">.: bank. </w:t>
                      </w:r>
                      <w:proofErr w:type="gramStart"/>
                      <w:r w:rsidR="005A1A27">
                        <w:t>spojení</w:t>
                      </w:r>
                      <w:proofErr w:type="gramEnd"/>
                      <w:r w:rsidR="005A1A27">
                        <w:t>: IČ:</w:t>
                      </w:r>
                    </w:p>
                    <w:p w:rsidR="00562A12" w:rsidRDefault="005A1A2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7202A7">
        <w:t xml:space="preserve">   </w:t>
      </w:r>
      <w:r>
        <w:t xml:space="preserve">Drnovská 507, 161 06, Praha 6 - Ruzyně Zapsaná v rejstříku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vedeném Ministerstvem školství </w:t>
      </w:r>
    </w:p>
    <w:p w:rsidR="00562A12" w:rsidRDefault="005A1A27" w:rsidP="007202A7">
      <w:pPr>
        <w:pStyle w:val="Zkladntext1"/>
        <w:shd w:val="clear" w:color="auto" w:fill="auto"/>
        <w:spacing w:after="0"/>
        <w:jc w:val="left"/>
      </w:pPr>
      <w:r>
        <w:t>RNDr. Mikuláš Madaras, Ph.D. - ředitel</w:t>
      </w:r>
    </w:p>
    <w:p w:rsidR="007202A7" w:rsidRDefault="007202A7">
      <w:pPr>
        <w:pStyle w:val="Zkladntext1"/>
        <w:shd w:val="clear" w:color="auto" w:fill="auto"/>
        <w:spacing w:after="0"/>
        <w:ind w:right="5380"/>
        <w:jc w:val="left"/>
      </w:pPr>
    </w:p>
    <w:p w:rsidR="00562A12" w:rsidRDefault="00562A12">
      <w:pPr>
        <w:pStyle w:val="Zkladntext1"/>
        <w:shd w:val="clear" w:color="auto" w:fill="auto"/>
        <w:spacing w:after="0"/>
        <w:ind w:right="5380"/>
        <w:jc w:val="left"/>
      </w:pPr>
    </w:p>
    <w:p w:rsidR="007202A7" w:rsidRDefault="005A1A27">
      <w:pPr>
        <w:pStyle w:val="Zkladntext1"/>
        <w:shd w:val="clear" w:color="auto" w:fill="auto"/>
        <w:spacing w:after="260"/>
        <w:ind w:right="3200"/>
        <w:jc w:val="left"/>
      </w:pPr>
      <w:r>
        <w:t>Komerční banka</w:t>
      </w:r>
      <w:r>
        <w:t xml:space="preserve"> Praha 6, </w:t>
      </w:r>
      <w:proofErr w:type="spellStart"/>
      <w:proofErr w:type="gramStart"/>
      <w:r>
        <w:t>č.ú</w:t>
      </w:r>
      <w:proofErr w:type="spellEnd"/>
      <w:r>
        <w:t>. 25635</w:t>
      </w:r>
      <w:proofErr w:type="gramEnd"/>
      <w:r>
        <w:t xml:space="preserve">-061/0100 00027006 </w:t>
      </w:r>
      <w:r>
        <w:t xml:space="preserve">CZ00027006 </w:t>
      </w:r>
    </w:p>
    <w:p w:rsidR="00562A12" w:rsidRDefault="005A1A27">
      <w:pPr>
        <w:pStyle w:val="Zkladntext1"/>
        <w:shd w:val="clear" w:color="auto" w:fill="auto"/>
        <w:spacing w:after="260"/>
        <w:ind w:right="3200"/>
        <w:jc w:val="left"/>
      </w:pPr>
      <w:r>
        <w:t>(dále jen „zhotovitel“)</w:t>
      </w:r>
    </w:p>
    <w:p w:rsidR="00562A12" w:rsidRDefault="005A1A27">
      <w:pPr>
        <w:pStyle w:val="Nadpis10"/>
        <w:keepNext/>
        <w:keepLines/>
        <w:shd w:val="clear" w:color="auto" w:fill="auto"/>
        <w:spacing w:after="260"/>
        <w:ind w:left="100"/>
      </w:pPr>
      <w:bookmarkStart w:id="5" w:name="bookmark5"/>
      <w:r>
        <w:t>(společně dále také jako „smluvní strany“)</w:t>
      </w:r>
      <w:bookmarkEnd w:id="5"/>
    </w:p>
    <w:p w:rsidR="00562A12" w:rsidRDefault="005A1A27">
      <w:pPr>
        <w:pStyle w:val="Nadpis10"/>
        <w:keepNext/>
        <w:keepLines/>
        <w:shd w:val="clear" w:color="auto" w:fill="auto"/>
        <w:ind w:left="4800" w:firstLine="40"/>
        <w:jc w:val="left"/>
      </w:pPr>
      <w:bookmarkStart w:id="6" w:name="bookmark6"/>
      <w:r>
        <w:t>II.</w:t>
      </w:r>
      <w:bookmarkEnd w:id="6"/>
    </w:p>
    <w:p w:rsidR="00562A12" w:rsidRDefault="005A1A27">
      <w:pPr>
        <w:pStyle w:val="Nadpis10"/>
        <w:keepNext/>
        <w:keepLines/>
        <w:shd w:val="clear" w:color="auto" w:fill="auto"/>
        <w:spacing w:after="100"/>
        <w:ind w:right="160"/>
      </w:pPr>
      <w:bookmarkStart w:id="7" w:name="bookmark7"/>
      <w:r>
        <w:t>Předmět smlouvy o dílo</w:t>
      </w:r>
      <w:bookmarkEnd w:id="7"/>
    </w:p>
    <w:p w:rsidR="00562A12" w:rsidRDefault="005A1A27">
      <w:pPr>
        <w:pStyle w:val="Zkladntext1"/>
        <w:numPr>
          <w:ilvl w:val="0"/>
          <w:numId w:val="1"/>
        </w:numPr>
        <w:shd w:val="clear" w:color="auto" w:fill="auto"/>
        <w:tabs>
          <w:tab w:val="left" w:pos="628"/>
        </w:tabs>
        <w:spacing w:after="120"/>
        <w:ind w:left="620" w:hanging="340"/>
      </w:pPr>
      <w:r>
        <w:t>Zhotovitel se touto smlouvu zavazuje zhotovit pro objednatele dílo spočívající v provedení pokusů, které jsou uv</w:t>
      </w:r>
      <w:r>
        <w:t xml:space="preserve">edeny v příloze číslo 1. této smlouvy s přípravky na ochranu rostlin (dále jen „dílo“) a podle objednávek </w:t>
      </w:r>
      <w:r>
        <w:rPr>
          <w:b/>
          <w:bCs/>
        </w:rPr>
        <w:t xml:space="preserve">4965147908 </w:t>
      </w:r>
      <w:r>
        <w:t xml:space="preserve">a </w:t>
      </w:r>
      <w:r>
        <w:rPr>
          <w:b/>
          <w:bCs/>
        </w:rPr>
        <w:t xml:space="preserve">4965147598. </w:t>
      </w:r>
      <w:r>
        <w:t>Pokusy budou provedeny podle zadání pokusů ve formě ARM či jiné formě.</w:t>
      </w:r>
    </w:p>
    <w:p w:rsidR="00562A12" w:rsidRDefault="005A1A27">
      <w:pPr>
        <w:pStyle w:val="Zkladntext1"/>
        <w:numPr>
          <w:ilvl w:val="0"/>
          <w:numId w:val="1"/>
        </w:numPr>
        <w:shd w:val="clear" w:color="auto" w:fill="auto"/>
        <w:tabs>
          <w:tab w:val="left" w:pos="634"/>
        </w:tabs>
        <w:spacing w:after="260"/>
        <w:ind w:left="620" w:hanging="340"/>
      </w:pPr>
      <w:r>
        <w:t>Zhotovitel se zavazuje dílo zhotovit, tj. připraví, za</w:t>
      </w:r>
      <w:r>
        <w:t xml:space="preserve">loží a vyhodnotí </w:t>
      </w:r>
      <w:proofErr w:type="gramStart"/>
      <w:r>
        <w:t>pokus(y) s přípravky</w:t>
      </w:r>
      <w:proofErr w:type="gramEnd"/>
      <w:r>
        <w:t xml:space="preserve"> na ochranu rostlin, podle zadání pokusů ve formě ARM či jiné domluvené formě.</w:t>
      </w:r>
    </w:p>
    <w:p w:rsidR="00562A12" w:rsidRDefault="005A1A27">
      <w:pPr>
        <w:pStyle w:val="Nadpis10"/>
        <w:keepNext/>
        <w:keepLines/>
        <w:shd w:val="clear" w:color="auto" w:fill="auto"/>
        <w:ind w:left="4760" w:firstLine="20"/>
        <w:jc w:val="left"/>
      </w:pPr>
      <w:bookmarkStart w:id="8" w:name="bookmark8"/>
      <w:r>
        <w:t>III.</w:t>
      </w:r>
      <w:bookmarkEnd w:id="8"/>
    </w:p>
    <w:p w:rsidR="00562A12" w:rsidRDefault="005A1A27">
      <w:pPr>
        <w:pStyle w:val="Nadpis10"/>
        <w:keepNext/>
        <w:keepLines/>
        <w:shd w:val="clear" w:color="auto" w:fill="auto"/>
        <w:spacing w:after="100"/>
        <w:ind w:right="160"/>
      </w:pPr>
      <w:bookmarkStart w:id="9" w:name="bookmark9"/>
      <w:r>
        <w:t>Povinnosti objednatele</w:t>
      </w:r>
      <w:bookmarkEnd w:id="9"/>
    </w:p>
    <w:p w:rsidR="00562A12" w:rsidRDefault="005A1A27">
      <w:pPr>
        <w:pStyle w:val="Zkladntext1"/>
        <w:numPr>
          <w:ilvl w:val="0"/>
          <w:numId w:val="2"/>
        </w:numPr>
        <w:shd w:val="clear" w:color="auto" w:fill="auto"/>
        <w:tabs>
          <w:tab w:val="left" w:pos="628"/>
        </w:tabs>
        <w:spacing w:after="120"/>
        <w:ind w:left="620" w:hanging="340"/>
      </w:pPr>
      <w:r>
        <w:t xml:space="preserve">V případě pokusů v režimu GEP u testovaných neregistrovaných přípravků zadá objednavatel informaci o přípravku </w:t>
      </w:r>
      <w:r>
        <w:t>do systému ÚKZÚZ včetně Bezpečnostního listu přípravku.</w:t>
      </w:r>
    </w:p>
    <w:p w:rsidR="00562A12" w:rsidRDefault="005A1A27">
      <w:pPr>
        <w:pStyle w:val="Zkladntext1"/>
        <w:numPr>
          <w:ilvl w:val="0"/>
          <w:numId w:val="2"/>
        </w:numPr>
        <w:shd w:val="clear" w:color="auto" w:fill="auto"/>
        <w:tabs>
          <w:tab w:val="left" w:pos="634"/>
        </w:tabs>
        <w:spacing w:after="0"/>
        <w:ind w:left="620" w:hanging="340"/>
      </w:pPr>
      <w:r>
        <w:t>Přípravky pro testování, včetně přípravků, u kterých je objednatel držitelem registračních práv, budou dodány přímo objednatelem, a to v množství nezbytně nutném pro provedení díla.</w:t>
      </w:r>
    </w:p>
    <w:p w:rsidR="007202A7" w:rsidRDefault="007202A7" w:rsidP="007202A7">
      <w:pPr>
        <w:pStyle w:val="Zkladntext1"/>
        <w:shd w:val="clear" w:color="auto" w:fill="auto"/>
        <w:tabs>
          <w:tab w:val="left" w:pos="634"/>
        </w:tabs>
        <w:spacing w:after="0"/>
        <w:ind w:left="620"/>
      </w:pPr>
    </w:p>
    <w:p w:rsidR="00562A12" w:rsidRDefault="005A1A27">
      <w:pPr>
        <w:pStyle w:val="Nadpis10"/>
        <w:keepNext/>
        <w:keepLines/>
        <w:shd w:val="clear" w:color="auto" w:fill="auto"/>
        <w:ind w:left="4760" w:firstLine="20"/>
        <w:jc w:val="left"/>
      </w:pPr>
      <w:bookmarkStart w:id="10" w:name="bookmark10"/>
      <w:r>
        <w:t>IV.</w:t>
      </w:r>
      <w:bookmarkEnd w:id="10"/>
    </w:p>
    <w:p w:rsidR="00562A12" w:rsidRDefault="005A1A27">
      <w:pPr>
        <w:pStyle w:val="Nadpis10"/>
        <w:keepNext/>
        <w:keepLines/>
        <w:shd w:val="clear" w:color="auto" w:fill="auto"/>
        <w:spacing w:after="100"/>
        <w:ind w:right="160"/>
      </w:pPr>
      <w:bookmarkStart w:id="11" w:name="bookmark11"/>
      <w:r>
        <w:t>Povinnosti zho</w:t>
      </w:r>
      <w:r>
        <w:t>tovitele</w:t>
      </w:r>
      <w:bookmarkEnd w:id="11"/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628"/>
        </w:tabs>
        <w:spacing w:after="120"/>
        <w:ind w:left="620" w:hanging="340"/>
      </w:pPr>
      <w:r>
        <w:t>Zhotovitel je povinen mít platné osvědčení o pověření pro provádění pokusů v režimu GEP na základě pověření Ministerstva zemědělství České republiky.</w:t>
      </w:r>
    </w:p>
    <w:p w:rsidR="007202A7" w:rsidRDefault="007202A7" w:rsidP="007202A7">
      <w:pPr>
        <w:pStyle w:val="Zkladntext1"/>
        <w:shd w:val="clear" w:color="auto" w:fill="auto"/>
        <w:tabs>
          <w:tab w:val="left" w:pos="628"/>
        </w:tabs>
        <w:spacing w:after="120"/>
      </w:pPr>
    </w:p>
    <w:p w:rsidR="007202A7" w:rsidRDefault="007202A7" w:rsidP="007202A7">
      <w:pPr>
        <w:pStyle w:val="Zkladntext1"/>
        <w:shd w:val="clear" w:color="auto" w:fill="auto"/>
        <w:tabs>
          <w:tab w:val="left" w:pos="628"/>
        </w:tabs>
        <w:spacing w:after="120"/>
      </w:pP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 xml:space="preserve">V případě pokusů v režimu GEP zhotovitel nahlásí před vlastním použitím testované </w:t>
      </w:r>
      <w:proofErr w:type="gramStart"/>
      <w:r>
        <w:t xml:space="preserve">přípravky </w:t>
      </w:r>
      <w:r w:rsidR="007202A7">
        <w:t xml:space="preserve">     </w:t>
      </w:r>
      <w:r>
        <w:t>do</w:t>
      </w:r>
      <w:proofErr w:type="gramEnd"/>
      <w:r>
        <w:t xml:space="preserve"> sy</w:t>
      </w:r>
      <w:r>
        <w:t>stému Státní rostlinolékařské správy podle platných pokynů.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 xml:space="preserve">Zhotovitel provede dílo v nejvyšší možné kvalitě odpovídající požadavkům stanoveným obecnými metodikami EPPO (č. 181, 135, 152), speciálními metodikami EPPO a dalších metodik, které budou uvedeny </w:t>
      </w:r>
      <w:r>
        <w:t>v zadání pokusu.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>Zhotovitel dodá osivo pro založení pokusů, které jsou součástí díla. Osivo musí splňovat požadavky stanovené touto smlouvou. Zhotovitel provádí aplikaci testovacích přípravků (moření, postřiky apod.). Výjimky z tohoto ustanovení jsou možné</w:t>
      </w:r>
      <w:r>
        <w:t xml:space="preserve"> pouze po předchozí dohodě s objednatelem.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>Zhotovitel se zavazuje, že přípravky dodané objednatelem budou použity výhradně ke zhotovení díla dle této smlouvy a pro objednatele. Standardní - referenční přípravky si zajistí zhotovitel sám.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 xml:space="preserve">Zhotovitel umožní </w:t>
      </w:r>
      <w:r>
        <w:t>objednateli provádění kontroly plnění předmětu díla, tj. kontrolovat kvalitu pokusů, dodržování metodik, evidenci dat a výsledků, způsob zpracování protokolů apod.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>Veškeré výsledky, poznatky, objevy apod., které byly získány v přímé souvislosti s plněním d</w:t>
      </w:r>
      <w:r>
        <w:t>íla, jsou vlastnictvím objednatele a zhotovitel se proto zavazuje, že je nezveřejní ani nepoužije pro interní potřebu a neposkytne je třetím osobám. Toto ustanovení se vztahuje i na kontrolní varianty a varianty se standardními (referenčními) přípravky. Vý</w:t>
      </w:r>
      <w:r>
        <w:t>jimky z tohoto ustanovení jsou možné pouze po předchozí písemné dohodě s objednatelem.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 xml:space="preserve">Zhotovitel je povinen brát na vědomí skutečnost, že zkoušené přípravky jsou neregistrovanými přípravky a je s nimi tedy nutno zacházet v souladu se zákonem č. 350/2011 </w:t>
      </w:r>
      <w:r>
        <w:t>Sb., o chemických látkách a chemických směsích a o změně některých zákonů (chemický zákon), ve znění pozdějších předpisů.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</w:pPr>
      <w:r>
        <w:t xml:space="preserve">Zhotovitel se zavazuje učinit všechna nezbytná opatření, aby nedošlo k poškození zdraví lidí a zvířat, poškození životního prostředí, </w:t>
      </w:r>
      <w:r>
        <w:t>sousedních porostů a následných plodin v souvislosti s použitím přípravku, zejména pak vhodným způsobem likvidovat sklizeň z pokusu a nepřipustit konzumaci lidmi ani zkrmování.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ind w:left="360" w:hanging="360"/>
      </w:pPr>
      <w:r>
        <w:t>Zhotovitel nese odpovědnost za bezpečnost svých pracovníků a za škody jím způso</w:t>
      </w:r>
      <w:r>
        <w:t>bené při plnění této dohody.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spacing w:after="0"/>
        <w:ind w:left="360" w:hanging="360"/>
      </w:pPr>
      <w:r>
        <w:t xml:space="preserve">Zhotovitel se zavazuje dokončit dílo, tj. předat výsledky díla (protokol(y) o </w:t>
      </w:r>
      <w:proofErr w:type="gramStart"/>
      <w:r>
        <w:t>pokusu(ech</w:t>
      </w:r>
      <w:proofErr w:type="gramEnd"/>
      <w:r>
        <w:t>)),</w:t>
      </w:r>
    </w:p>
    <w:p w:rsidR="00562A12" w:rsidRDefault="005A1A27">
      <w:pPr>
        <w:pStyle w:val="Zkladntext1"/>
        <w:shd w:val="clear" w:color="auto" w:fill="auto"/>
        <w:tabs>
          <w:tab w:val="left" w:pos="6758"/>
        </w:tabs>
        <w:spacing w:after="0"/>
        <w:ind w:left="360"/>
      </w:pPr>
      <w:r>
        <w:t>v elektronické podobě na e-mailové adresy:</w:t>
      </w:r>
      <w:r>
        <w:tab/>
      </w:r>
      <w:hyperlink r:id="rId8" w:history="1">
        <w:r>
          <w:rPr>
            <w:color w:val="215886"/>
            <w:u w:val="single"/>
            <w:lang w:val="en-US" w:eastAsia="en-US" w:bidi="en-US"/>
          </w:rPr>
          <w:t>@basf.com</w:t>
        </w:r>
      </w:hyperlink>
      <w:r>
        <w:rPr>
          <w:color w:val="215886"/>
          <w:lang w:val="en-US" w:eastAsia="en-US" w:bidi="en-US"/>
        </w:rPr>
        <w:t>,</w:t>
      </w:r>
    </w:p>
    <w:p w:rsidR="00562A12" w:rsidRDefault="005A1A27">
      <w:pPr>
        <w:pStyle w:val="Zkladntext1"/>
        <w:shd w:val="clear" w:color="auto" w:fill="auto"/>
        <w:ind w:left="360"/>
      </w:pPr>
      <w:proofErr w:type="gramStart"/>
      <w:r>
        <w:rPr>
          <w:color w:val="215886"/>
          <w:u w:val="single"/>
          <w:lang w:val="en-US" w:eastAsia="en-US" w:bidi="en-US"/>
        </w:rPr>
        <w:t>@basf.com</w:t>
      </w:r>
      <w:r>
        <w:rPr>
          <w:color w:val="215886"/>
          <w:lang w:val="en-US" w:eastAsia="en-US" w:bidi="en-US"/>
        </w:rPr>
        <w:t xml:space="preserve"> </w:t>
      </w:r>
      <w:r>
        <w:t>v systému ARM (nebo jiném dohodnutém, např.</w:t>
      </w:r>
      <w:proofErr w:type="gramEnd"/>
      <w:r>
        <w:t xml:space="preserve"> Excel) nejpozději do 30 dnů od posledního hodnocení pokusu. V případě potřeby dodá zhotovitel průběžné výsledky po předchozí dohodě s objednatelem.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ind w:left="360" w:hanging="360"/>
      </w:pPr>
      <w:r>
        <w:t>Zhotovitel se zavazuje doplnit, upřesni</w:t>
      </w:r>
      <w:r>
        <w:t xml:space="preserve">t a opravit </w:t>
      </w:r>
      <w:proofErr w:type="gramStart"/>
      <w:r>
        <w:t>protokol(y) podle</w:t>
      </w:r>
      <w:proofErr w:type="gramEnd"/>
      <w:r>
        <w:t xml:space="preserve"> připomínek objednatele nebo Státní rostlinolékařské správy a do 3 týdnů po obdržení připomínek je předat objednateli. Zhotovitel není oprávněn pověřit provedením díla jinou osobu. Výjimky z tohoto ustanovení jsou možné pouze p</w:t>
      </w:r>
      <w:r>
        <w:t>o předchozí písemné dohodě s objednatelem.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ind w:left="360" w:hanging="360"/>
      </w:pPr>
      <w:r>
        <w:t>Dílo je dokončeno dnem, kdy zhotovitel předá objednateli protokol. Nejpozději k tomuto dni předá zhotovitel objednateli všechny výstupy díla.</w:t>
      </w:r>
    </w:p>
    <w:p w:rsidR="00562A12" w:rsidRDefault="005A1A27">
      <w:pPr>
        <w:pStyle w:val="Zkladntext1"/>
        <w:numPr>
          <w:ilvl w:val="0"/>
          <w:numId w:val="3"/>
        </w:numPr>
        <w:shd w:val="clear" w:color="auto" w:fill="auto"/>
        <w:tabs>
          <w:tab w:val="left" w:pos="394"/>
        </w:tabs>
        <w:spacing w:after="260"/>
        <w:ind w:left="360" w:hanging="360"/>
      </w:pPr>
      <w:r>
        <w:t>V případě, že bude zhotovitel v prodlení s</w:t>
      </w:r>
      <w:r w:rsidR="00CB0B7A">
        <w:t xml:space="preserve"> </w:t>
      </w:r>
      <w:r>
        <w:t>dokončením díla oproti termín</w:t>
      </w:r>
      <w:r>
        <w:t>u dohodnutém v odst. 11 tohoto článku, má objednatele právo na smluvní pokutu ve výši 20 % z ceny díla bez DPH. Tímto není dotčen nárok objednatele na náhradu škody, která mu vznikne z porušení smluvní povinnosti, na kterou se vztahuje smluvní pokuta.</w:t>
      </w:r>
    </w:p>
    <w:p w:rsidR="00562A12" w:rsidRDefault="005A1A27">
      <w:pPr>
        <w:pStyle w:val="Nadpis10"/>
        <w:keepNext/>
        <w:keepLines/>
        <w:shd w:val="clear" w:color="auto" w:fill="auto"/>
        <w:ind w:left="4580"/>
        <w:jc w:val="left"/>
      </w:pPr>
      <w:bookmarkStart w:id="12" w:name="bookmark12"/>
      <w:r>
        <w:lastRenderedPageBreak/>
        <w:t>V.</w:t>
      </w:r>
      <w:bookmarkEnd w:id="12"/>
    </w:p>
    <w:p w:rsidR="00562A12" w:rsidRDefault="005A1A27">
      <w:pPr>
        <w:pStyle w:val="Nadpis10"/>
        <w:keepNext/>
        <w:keepLines/>
        <w:shd w:val="clear" w:color="auto" w:fill="auto"/>
        <w:spacing w:after="100"/>
      </w:pPr>
      <w:bookmarkStart w:id="13" w:name="bookmark13"/>
      <w:r>
        <w:t>Cena díla</w:t>
      </w:r>
      <w:bookmarkEnd w:id="13"/>
    </w:p>
    <w:p w:rsidR="00562A12" w:rsidRDefault="005A1A27">
      <w:pPr>
        <w:pStyle w:val="Zkladntext1"/>
        <w:numPr>
          <w:ilvl w:val="0"/>
          <w:numId w:val="4"/>
        </w:numPr>
        <w:shd w:val="clear" w:color="auto" w:fill="auto"/>
        <w:tabs>
          <w:tab w:val="left" w:pos="376"/>
        </w:tabs>
        <w:spacing w:after="120"/>
        <w:ind w:left="360" w:hanging="360"/>
      </w:pPr>
      <w:r>
        <w:t>Smluvní cena díla v cenách bez DPH je stanovena v příloze číslo 1. této smlouvy. DPH bude stanovena a odvedena dle platných právních předpisů.</w:t>
      </w:r>
    </w:p>
    <w:p w:rsidR="00562A12" w:rsidRDefault="005A1A27">
      <w:pPr>
        <w:pStyle w:val="Zkladntext1"/>
        <w:numPr>
          <w:ilvl w:val="0"/>
          <w:numId w:val="4"/>
        </w:numPr>
        <w:shd w:val="clear" w:color="auto" w:fill="auto"/>
        <w:tabs>
          <w:tab w:val="left" w:pos="376"/>
        </w:tabs>
        <w:spacing w:after="120"/>
        <w:ind w:left="360" w:hanging="360"/>
      </w:pPr>
      <w:r>
        <w:t>Smluvní strany se dohodly, že cena bude snížena o 30 %:</w:t>
      </w:r>
    </w:p>
    <w:p w:rsidR="00562A12" w:rsidRDefault="005A1A27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spacing w:after="120" w:line="233" w:lineRule="auto"/>
        <w:ind w:left="720" w:hanging="360"/>
        <w:jc w:val="left"/>
      </w:pPr>
      <w:r>
        <w:t>v případě, že pokus byl založen a testovací org</w:t>
      </w:r>
      <w:r>
        <w:t>anismus se nevyskytl v takové míře, aby mohla být objektivně posouzena účinnost testovacích přípravků,</w:t>
      </w:r>
    </w:p>
    <w:p w:rsidR="00562A12" w:rsidRDefault="005A1A27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spacing w:after="120"/>
        <w:ind w:left="720" w:hanging="360"/>
        <w:jc w:val="left"/>
      </w:pPr>
      <w:r>
        <w:t>v případě, že pokus bude znehodnocen nebo zničen bez zavinění zhotovitele.</w:t>
      </w:r>
    </w:p>
    <w:p w:rsidR="00562A12" w:rsidRDefault="005A1A27">
      <w:pPr>
        <w:pStyle w:val="Zkladntext1"/>
        <w:numPr>
          <w:ilvl w:val="0"/>
          <w:numId w:val="4"/>
        </w:numPr>
        <w:shd w:val="clear" w:color="auto" w:fill="auto"/>
        <w:tabs>
          <w:tab w:val="left" w:pos="376"/>
        </w:tabs>
        <w:spacing w:after="280"/>
        <w:ind w:left="360" w:hanging="360"/>
      </w:pPr>
      <w:r>
        <w:t>Dokončením díla vzniká zhotoviteli právo na vystavení faktury - daňového dokla</w:t>
      </w:r>
      <w:r>
        <w:t>du na příslušnou odměnu za dílo. Faktura je splatná do 30 dnů ode dne jejího doručení objednateli. Faktura musí splňovat veškeré náležitosti daňového dokladu, jinak je jí objednatel oprávněn vrátit a zhotovitel je povinen jí opravit. Doručením opravené fak</w:t>
      </w:r>
      <w:r>
        <w:t>tury počne běžet nová lhůta splatnosti, přičemž platí, že objednatel není v prodlení s úhradou fakturované částky. V případě prodlení objednatele s úhradou faktury je zhotovitel oprávněn uplatnit vůči objednateli smluvní pokutu ve výši 0,05 % z dlužné část</w:t>
      </w:r>
      <w:r>
        <w:t>ky za každý i jen započatý den prodlení s úhradou faktury.</w:t>
      </w:r>
    </w:p>
    <w:p w:rsidR="00562A12" w:rsidRDefault="005A1A27">
      <w:pPr>
        <w:pStyle w:val="Nadpis10"/>
        <w:keepNext/>
        <w:keepLines/>
        <w:shd w:val="clear" w:color="auto" w:fill="auto"/>
        <w:ind w:left="4480" w:firstLine="20"/>
        <w:jc w:val="left"/>
      </w:pPr>
      <w:bookmarkStart w:id="14" w:name="bookmark14"/>
      <w:r>
        <w:t>VI.</w:t>
      </w:r>
      <w:bookmarkEnd w:id="14"/>
    </w:p>
    <w:p w:rsidR="00562A12" w:rsidRDefault="005A1A27">
      <w:pPr>
        <w:pStyle w:val="Nadpis10"/>
        <w:keepNext/>
        <w:keepLines/>
        <w:shd w:val="clear" w:color="auto" w:fill="auto"/>
        <w:spacing w:after="260"/>
      </w:pPr>
      <w:bookmarkStart w:id="15" w:name="bookmark15"/>
      <w:r>
        <w:t>Práva z vadného plnění</w:t>
      </w:r>
      <w:bookmarkEnd w:id="15"/>
    </w:p>
    <w:p w:rsidR="00562A12" w:rsidRDefault="005A1A27">
      <w:pPr>
        <w:pStyle w:val="Zkladntext1"/>
        <w:numPr>
          <w:ilvl w:val="0"/>
          <w:numId w:val="6"/>
        </w:numPr>
        <w:shd w:val="clear" w:color="auto" w:fill="auto"/>
        <w:tabs>
          <w:tab w:val="left" w:pos="376"/>
        </w:tabs>
        <w:spacing w:after="0"/>
        <w:ind w:left="420" w:hanging="420"/>
      </w:pPr>
      <w:r>
        <w:t xml:space="preserve">Zhotovitel se zaručuje, že dílo bude zhotoveno kvalifikovanými pracovníky a bude provedeno s odbornou péčí a v souladu s veškerými specifikacemi, podle požadavků </w:t>
      </w:r>
      <w:r>
        <w:t>uvedených v této smlouvě.</w:t>
      </w:r>
    </w:p>
    <w:p w:rsidR="00562A12" w:rsidRDefault="005A1A27">
      <w:pPr>
        <w:pStyle w:val="Zkladntext1"/>
        <w:numPr>
          <w:ilvl w:val="0"/>
          <w:numId w:val="6"/>
        </w:numPr>
        <w:shd w:val="clear" w:color="auto" w:fill="auto"/>
        <w:tabs>
          <w:tab w:val="left" w:pos="376"/>
        </w:tabs>
        <w:spacing w:after="0"/>
        <w:ind w:left="420" w:hanging="420"/>
      </w:pPr>
      <w:r>
        <w:t>Zhotovitel odpovídá za vady díla, které bude mít dílo v době jeho dokončení (viz článek IV), a dále za vady vzniklé po této době, jestliže byly způsobeny porušením povinností zhotovitele.</w:t>
      </w:r>
    </w:p>
    <w:p w:rsidR="00562A12" w:rsidRDefault="005A1A27">
      <w:pPr>
        <w:pStyle w:val="Zkladntext1"/>
        <w:numPr>
          <w:ilvl w:val="0"/>
          <w:numId w:val="6"/>
        </w:numPr>
        <w:shd w:val="clear" w:color="auto" w:fill="auto"/>
        <w:tabs>
          <w:tab w:val="left" w:pos="376"/>
        </w:tabs>
        <w:spacing w:after="0"/>
        <w:ind w:left="420" w:hanging="420"/>
      </w:pPr>
      <w:r>
        <w:t>Smluvní strany se dohodly, že lhůta, ve kt</w:t>
      </w:r>
      <w:r>
        <w:t>eré je objednatel povinen nejpozději oznámit skryté vady díla dle § 2112 občanského zákoníku činí 12 měsíců ode dne dokončení díla.</w:t>
      </w:r>
    </w:p>
    <w:p w:rsidR="00562A12" w:rsidRDefault="005A1A27">
      <w:pPr>
        <w:pStyle w:val="Zkladntext1"/>
        <w:numPr>
          <w:ilvl w:val="0"/>
          <w:numId w:val="6"/>
        </w:numPr>
        <w:shd w:val="clear" w:color="auto" w:fill="auto"/>
        <w:tabs>
          <w:tab w:val="left" w:pos="376"/>
        </w:tabs>
        <w:spacing w:after="0"/>
        <w:ind w:left="420" w:hanging="420"/>
      </w:pPr>
      <w:r>
        <w:t>Zhotovitel se zavazuje, že pokud bude dílo vykazovat vady, že vady díla neprodleně, po jejich písemném vytknutí objednatelem</w:t>
      </w:r>
      <w:r>
        <w:t>, odstraní. V případě, že bude mít dílo vady spočívající v provedení díla, má objednatel právo na slevu z ceny díla nebo od smlouvy odstoupit.</w:t>
      </w:r>
    </w:p>
    <w:p w:rsidR="00562A12" w:rsidRDefault="005A1A27">
      <w:pPr>
        <w:pStyle w:val="Nadpis10"/>
        <w:keepNext/>
        <w:keepLines/>
        <w:shd w:val="clear" w:color="auto" w:fill="auto"/>
        <w:ind w:left="4480" w:firstLine="20"/>
        <w:jc w:val="left"/>
      </w:pPr>
      <w:bookmarkStart w:id="16" w:name="bookmark16"/>
      <w:r>
        <w:t>VII.</w:t>
      </w:r>
      <w:bookmarkEnd w:id="16"/>
    </w:p>
    <w:p w:rsidR="00562A12" w:rsidRDefault="005A1A27">
      <w:pPr>
        <w:pStyle w:val="Nadpis10"/>
        <w:keepNext/>
        <w:keepLines/>
        <w:shd w:val="clear" w:color="auto" w:fill="auto"/>
        <w:spacing w:after="120"/>
      </w:pPr>
      <w:bookmarkStart w:id="17" w:name="bookmark17"/>
      <w:r>
        <w:t>Ostatní ujednání</w:t>
      </w:r>
      <w:bookmarkEnd w:id="17"/>
    </w:p>
    <w:p w:rsidR="00562A12" w:rsidRDefault="005A1A27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after="120"/>
        <w:ind w:left="360" w:hanging="360"/>
      </w:pPr>
      <w:r>
        <w:t>Tato smlouva nabývá platnosti a účinnosti dnem jejího podpisu oprávněnými zástupci obou sml</w:t>
      </w:r>
      <w:r>
        <w:t>uvních stran.</w:t>
      </w:r>
    </w:p>
    <w:p w:rsidR="00562A12" w:rsidRDefault="005A1A27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after="120"/>
        <w:ind w:left="360" w:hanging="360"/>
      </w:pPr>
      <w:r>
        <w:t>Vztahy mezi smluvními stranami se řídí českým právním řádem. Ve věcech smlouvou výslovně neupravených se právní vztahy z ní vznikající a vyplývající řídí příslušnými ustanoveními zákona č. 89/2012 Sb., občanský zákoník, ve znění pozdějších př</w:t>
      </w:r>
      <w:r>
        <w:t>edpisů, a ostatními obecně závaznými právními předpisy.</w:t>
      </w:r>
    </w:p>
    <w:p w:rsidR="00562A12" w:rsidRDefault="005A1A27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after="120"/>
        <w:ind w:left="360" w:hanging="360"/>
      </w:pPr>
      <w:r>
        <w:t xml:space="preserve">Objednatel bezvýhradně souhlasí se zveřejněním plného znění smlouvy tak, aby tato smlouva mohla být předmětem poskytnuté informace ve smyslu zákona č. 106/1999 Sb., o svobodném přístupu k informacím, </w:t>
      </w:r>
      <w:r>
        <w:t>ve znění pozdějších předpisů a zákona č. 340/2015 Sb., o zvláštních podmínkách účinnosti některých smluv, uveřejňování těchto smluv a o registru smluv (zákon o registru smluv), ve znění pozdějších předpisů.</w:t>
      </w:r>
    </w:p>
    <w:p w:rsidR="00562A12" w:rsidRDefault="005A1A27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after="120"/>
        <w:ind w:left="360" w:hanging="360"/>
      </w:pPr>
      <w:r>
        <w:t>Objednatel se zavazuje spolupůsobit jako osoba po</w:t>
      </w:r>
      <w:r>
        <w:t>vinná v souladu se zákonem č. 320/2001 Sb., o finanční kontrole ve veřejné správě a o změně některých zákonů (zákon o finanční kontrole), ve znění pozdějších předpisů.</w:t>
      </w:r>
    </w:p>
    <w:p w:rsidR="00562A12" w:rsidRDefault="005A1A27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after="120"/>
        <w:ind w:left="360" w:hanging="360"/>
        <w:sectPr w:rsidR="00562A12">
          <w:footerReference w:type="default" r:id="rId9"/>
          <w:pgSz w:w="11900" w:h="16840"/>
          <w:pgMar w:top="679" w:right="1021" w:bottom="1167" w:left="1245" w:header="251" w:footer="3" w:gutter="0"/>
          <w:pgNumType w:start="1"/>
          <w:cols w:space="720"/>
          <w:noEndnote/>
          <w:docGrid w:linePitch="360"/>
        </w:sectPr>
      </w:pPr>
      <w:r>
        <w:t>Tato smlouva může být měněna pouze dodatky uzavřenými v písemné formě a podepsanými oprávněnými zástupci obou smluvních stran.</w:t>
      </w:r>
    </w:p>
    <w:p w:rsidR="00562A12" w:rsidRDefault="005A1A27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spacing w:after="120" w:line="233" w:lineRule="auto"/>
        <w:ind w:left="380" w:hanging="380"/>
      </w:pPr>
      <w:r>
        <w:lastRenderedPageBreak/>
        <w:t>Tato smlouva se vyhotovuje ve čtyřech stejnopisech s platností o</w:t>
      </w:r>
      <w:r>
        <w:t>riginálu, z nichž dva obdrží objednatel a dva zhotovitel.</w:t>
      </w:r>
    </w:p>
    <w:p w:rsidR="00562A12" w:rsidRDefault="005A1A27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spacing w:after="660"/>
        <w:ind w:left="380" w:hanging="380"/>
      </w:pPr>
      <w:r>
        <w:t xml:space="preserve">Smluvní strany prohlašují, že si smlouvu před jejím podpisem přečetly a s jejím obsahem bez výhrad souhlasí. Smlouva je vyjádřením jejich pravé, skutečné, svobodné a vážné vůle. Na důkaz pravosti a </w:t>
      </w:r>
      <w:r>
        <w:t>pravdivosti těchto prohlášení připojují oprávnění zástupci smluvních stran své vlastnoruční podpisy.</w:t>
      </w:r>
    </w:p>
    <w:p w:rsidR="00562A12" w:rsidRDefault="005A1A27">
      <w:pPr>
        <w:pStyle w:val="Zkladntext40"/>
        <w:shd w:val="clear" w:color="auto" w:fill="auto"/>
        <w:spacing w:after="540"/>
        <w:ind w:left="380" w:hanging="380"/>
        <w:jc w:val="both"/>
      </w:pPr>
      <w:r>
        <w:t>Příloha číslo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1440"/>
        <w:gridCol w:w="1387"/>
        <w:gridCol w:w="562"/>
        <w:gridCol w:w="941"/>
        <w:gridCol w:w="1200"/>
      </w:tblGrid>
      <w:tr w:rsidR="00562A1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Plodina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Lokalita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</w:t>
            </w:r>
            <w:proofErr w:type="gramEnd"/>
          </w:p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pokus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DEV-F-2021-CZ-X11-A-03.0-AHU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řepka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Humpolec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93 600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DEV-F-2021-CZ-C11-A-03.0-AIH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pšenice ozimá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Hněvčeves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93 600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 E V-F-2021-CZ-C48-A-03.0-AH 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ječmen jarní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Hněvčeves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117 000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MKD-F-2021-CZ-802-A-01,0-AHN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ječmen jarní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Hněvčeves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88 800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 KD-F-2021-CZ-802-A-01.0-AH 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ječmen jarní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Humpolec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88 800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MKD-F-2021-CZ-805-A-03.0-AHN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ječmen jarní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Hněvčeves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59 200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MKD-W-2021-CZ-808-A-01.0-AHU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pšenice ozimá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Humpolec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70 200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pokus s CL hybridy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řepka ozimá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Humpolec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16 932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BASF+LG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pšenice ozimá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Hněvčeves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43 350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1/2 pokusu</w:t>
            </w: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BASF+LG (České pivo)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ječmen jarní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Hněvčeves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A12" w:rsidRDefault="005A1A27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1/2 pokusu</w:t>
            </w:r>
          </w:p>
        </w:tc>
      </w:tr>
      <w:tr w:rsidR="00562A1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Mořidla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Systiva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pšenice ozimá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Iva,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:rsidR="00562A12" w:rsidRDefault="005A1A27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Časl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A12" w:rsidRDefault="005A1A27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205 200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A12" w:rsidRDefault="00562A12">
            <w:pPr>
              <w:rPr>
                <w:sz w:val="10"/>
                <w:szCs w:val="10"/>
              </w:rPr>
            </w:pPr>
          </w:p>
        </w:tc>
      </w:tr>
    </w:tbl>
    <w:p w:rsidR="00562A12" w:rsidRDefault="005A1A27">
      <w:pPr>
        <w:pStyle w:val="Zkladntext1"/>
        <w:shd w:val="clear" w:color="auto" w:fill="auto"/>
        <w:spacing w:after="2460"/>
        <w:ind w:left="6900"/>
        <w:jc w:val="left"/>
      </w:pPr>
      <w:r>
        <w:t>930 682</w:t>
      </w:r>
    </w:p>
    <w:p w:rsidR="00562A12" w:rsidRDefault="005A1A27">
      <w:pPr>
        <w:pStyle w:val="Zkladntext1"/>
        <w:shd w:val="clear" w:color="auto" w:fill="auto"/>
        <w:spacing w:after="0"/>
        <w:ind w:left="4980"/>
        <w:jc w:val="left"/>
        <w:sectPr w:rsidR="00562A12">
          <w:footerReference w:type="default" r:id="rId10"/>
          <w:pgSz w:w="11900" w:h="16840"/>
          <w:pgMar w:top="679" w:right="1021" w:bottom="1167" w:left="1245" w:header="251" w:footer="3" w:gutter="0"/>
          <w:cols w:space="720"/>
          <w:noEndnote/>
          <w:docGrid w:linePitch="360"/>
        </w:sectPr>
      </w:pPr>
      <w:r>
        <w:t>V Praze dne</w:t>
      </w:r>
    </w:p>
    <w:p w:rsidR="00562A12" w:rsidRDefault="00562A12">
      <w:pPr>
        <w:spacing w:line="48" w:lineRule="exact"/>
        <w:rPr>
          <w:sz w:val="4"/>
          <w:szCs w:val="4"/>
        </w:rPr>
      </w:pPr>
    </w:p>
    <w:p w:rsidR="00562A12" w:rsidRDefault="00562A12">
      <w:pPr>
        <w:spacing w:line="14" w:lineRule="exact"/>
        <w:sectPr w:rsidR="00562A12">
          <w:type w:val="continuous"/>
          <w:pgSz w:w="11900" w:h="16840"/>
          <w:pgMar w:top="822" w:right="0" w:bottom="980" w:left="0" w:header="0" w:footer="3" w:gutter="0"/>
          <w:cols w:space="720"/>
          <w:noEndnote/>
          <w:docGrid w:linePitch="360"/>
        </w:sectPr>
      </w:pPr>
    </w:p>
    <w:p w:rsidR="00562A12" w:rsidRDefault="00562A12">
      <w:pPr>
        <w:spacing w:line="14" w:lineRule="exact"/>
      </w:pPr>
      <w:bookmarkStart w:id="18" w:name="_GoBack"/>
      <w:bookmarkEnd w:id="18"/>
    </w:p>
    <w:p w:rsidR="00562A12" w:rsidRDefault="005A1A27">
      <w:pPr>
        <w:pStyle w:val="Zkladntext1"/>
        <w:shd w:val="clear" w:color="auto" w:fill="auto"/>
        <w:spacing w:after="0"/>
        <w:jc w:val="left"/>
      </w:pPr>
      <w:r>
        <w:t>Zhotovitel (razítko,</w:t>
      </w:r>
      <w:r>
        <w:t xml:space="preserve"> podpis)</w:t>
      </w:r>
    </w:p>
    <w:p w:rsidR="00562A12" w:rsidRDefault="005A1A27">
      <w:pPr>
        <w:pStyle w:val="Zkladntext1"/>
        <w:shd w:val="clear" w:color="auto" w:fill="auto"/>
        <w:spacing w:after="0"/>
        <w:jc w:val="left"/>
      </w:pPr>
      <w:r>
        <w:t>Objednatel (razítko, podpis)</w:t>
      </w:r>
    </w:p>
    <w:p w:rsidR="00562A12" w:rsidRDefault="005A1A27">
      <w:pPr>
        <w:pStyle w:val="Zkladntext20"/>
        <w:shd w:val="clear" w:color="auto" w:fill="auto"/>
        <w:spacing w:line="240" w:lineRule="auto"/>
        <w:ind w:left="1700"/>
      </w:pPr>
      <w:r>
        <w:t>Bez DPH</w:t>
      </w:r>
    </w:p>
    <w:p w:rsidR="00562A12" w:rsidRDefault="005A1A27">
      <w:pPr>
        <w:pStyle w:val="Zkladntext40"/>
        <w:shd w:val="clear" w:color="auto" w:fill="auto"/>
        <w:spacing w:after="0"/>
        <w:ind w:left="32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íASFspol</w:t>
      </w:r>
      <w:proofErr w:type="spellEnd"/>
      <w:r>
        <w:rPr>
          <w:sz w:val="26"/>
          <w:szCs w:val="26"/>
        </w:rPr>
        <w:t>. s r.o.</w:t>
      </w:r>
    </w:p>
    <w:p w:rsidR="00562A12" w:rsidRDefault="005A1A27">
      <w:pPr>
        <w:pStyle w:val="Zkladntext20"/>
        <w:shd w:val="clear" w:color="auto" w:fill="auto"/>
        <w:ind w:left="0"/>
        <w:jc w:val="center"/>
      </w:pPr>
      <w:r>
        <w:t>Sokolovská 638/136d,</w:t>
      </w:r>
    </w:p>
    <w:p w:rsidR="00562A12" w:rsidRDefault="005A1A27">
      <w:pPr>
        <w:pStyle w:val="Zkladntext20"/>
        <w:shd w:val="clear" w:color="auto" w:fill="auto"/>
        <w:spacing w:line="199" w:lineRule="auto"/>
        <w:ind w:left="0"/>
      </w:pPr>
      <w:r>
        <w:t xml:space="preserve">186 00 Praha 8, Czech </w:t>
      </w:r>
      <w:proofErr w:type="spellStart"/>
      <w:r>
        <w:t>Repubiic</w:t>
      </w:r>
      <w:proofErr w:type="spellEnd"/>
    </w:p>
    <w:p w:rsidR="00562A12" w:rsidRDefault="005A1A27">
      <w:pPr>
        <w:pStyle w:val="Zkladntext30"/>
        <w:shd w:val="clear" w:color="auto" w:fill="auto"/>
        <w:tabs>
          <w:tab w:val="left" w:pos="2436"/>
        </w:tabs>
        <w:ind w:left="780"/>
        <w:jc w:val="both"/>
      </w:pPr>
      <w:r>
        <w:t>IČO: 411Ú5409</w:t>
      </w:r>
      <w:r>
        <w:tab/>
        <w:t>(5)</w:t>
      </w:r>
    </w:p>
    <w:p w:rsidR="00562A12" w:rsidRDefault="005A1A27">
      <w:pPr>
        <w:pStyle w:val="Zkladntext30"/>
        <w:shd w:val="clear" w:color="auto" w:fill="auto"/>
        <w:ind w:left="0"/>
      </w:pPr>
      <w:r>
        <w:t>(Č DPH: CZ41193469</w:t>
      </w:r>
    </w:p>
    <w:sectPr w:rsidR="00562A12">
      <w:type w:val="continuous"/>
      <w:pgSz w:w="11900" w:h="16840"/>
      <w:pgMar w:top="822" w:right="2800" w:bottom="980" w:left="1347" w:header="0" w:footer="3" w:gutter="0"/>
      <w:cols w:num="2" w:space="208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27" w:rsidRDefault="005A1A27">
      <w:r>
        <w:separator/>
      </w:r>
    </w:p>
  </w:endnote>
  <w:endnote w:type="continuationSeparator" w:id="0">
    <w:p w:rsidR="005A1A27" w:rsidRDefault="005A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12" w:rsidRDefault="005A1A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3381375</wp:posOffset>
              </wp:positionH>
              <wp:positionV relativeFrom="page">
                <wp:posOffset>10218420</wp:posOffset>
              </wp:positionV>
              <wp:extent cx="109728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2A12" w:rsidRDefault="005A1A2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243E4" w:rsidRPr="00A243E4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66.25pt;margin-top:804.6pt;width:86.4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" filled="f" stroked="f">
              <v:textbox style="mso-fit-shape-to-text:t" inset="0,0,0,0">
                <w:txbxContent>
                  <w:p w:rsidR="00562A12" w:rsidRDefault="005A1A27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243E4" w:rsidRPr="00A243E4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12" w:rsidRDefault="005A1A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3307080</wp:posOffset>
              </wp:positionH>
              <wp:positionV relativeFrom="page">
                <wp:posOffset>10015855</wp:posOffset>
              </wp:positionV>
              <wp:extent cx="109410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2A12" w:rsidRDefault="005A1A2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243E4" w:rsidRPr="00A243E4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60.4pt;margin-top:788.65pt;width:86.15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" filled="f" stroked="f">
              <v:textbox style="mso-fit-shape-to-text:t" inset="0,0,0,0">
                <w:txbxContent>
                  <w:p w:rsidR="00562A12" w:rsidRDefault="005A1A2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243E4" w:rsidRPr="00A243E4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399415</wp:posOffset>
              </wp:positionH>
              <wp:positionV relativeFrom="page">
                <wp:posOffset>10408920</wp:posOffset>
              </wp:positionV>
              <wp:extent cx="40259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2A12" w:rsidRDefault="005A1A2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4E5AB2"/>
                              <w:sz w:val="18"/>
                              <w:szCs w:val="18"/>
                            </w:rPr>
                            <w:t>IS.S.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4E5AB2"/>
                              <w:sz w:val="18"/>
                              <w:szCs w:val="18"/>
                            </w:rPr>
                            <w:t>Zi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1.449999999999999pt;margin-top:819.60000000000002pt;width:31.699999999999999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4E5AB2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IS.S.Zi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27" w:rsidRDefault="005A1A27"/>
  </w:footnote>
  <w:footnote w:type="continuationSeparator" w:id="0">
    <w:p w:rsidR="005A1A27" w:rsidRDefault="005A1A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733A"/>
    <w:multiLevelType w:val="multilevel"/>
    <w:tmpl w:val="7C0C5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B02FC"/>
    <w:multiLevelType w:val="multilevel"/>
    <w:tmpl w:val="53E013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B0DD6"/>
    <w:multiLevelType w:val="multilevel"/>
    <w:tmpl w:val="DE54D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30F98"/>
    <w:multiLevelType w:val="multilevel"/>
    <w:tmpl w:val="E4AA0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D52DE3"/>
    <w:multiLevelType w:val="multilevel"/>
    <w:tmpl w:val="256CE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600DAD"/>
    <w:multiLevelType w:val="multilevel"/>
    <w:tmpl w:val="BDDE8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7A6302"/>
    <w:multiLevelType w:val="multilevel"/>
    <w:tmpl w:val="38D6E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62A12"/>
    <w:rsid w:val="00562A12"/>
    <w:rsid w:val="005A1A27"/>
    <w:rsid w:val="007202A7"/>
    <w:rsid w:val="00A243E4"/>
    <w:rsid w:val="00CB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70"/>
      <w:ind w:left="350" w:hanging="19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  <w:ind w:left="85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ind w:left="390"/>
      <w:jc w:val="center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70"/>
      <w:ind w:left="350" w:hanging="19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  <w:ind w:left="85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ind w:left="390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malik@basf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1392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2021-06-16T10:39:00Z</dcterms:created>
  <dcterms:modified xsi:type="dcterms:W3CDTF">2021-06-16T10:48:00Z</dcterms:modified>
</cp:coreProperties>
</file>