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1BB4" w14:textId="77777777" w:rsidR="006B1962" w:rsidRDefault="008D2A29">
      <w:pPr>
        <w:keepNext/>
        <w:keepLines/>
        <w:spacing w:after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LICENČNÍ SMLOUVA A SMLOUVA O VYTVOŘENÍ ZÁZNAMU </w:t>
      </w:r>
    </w:p>
    <w:p w14:paraId="56B8CC90" w14:textId="77777777" w:rsidR="006B1962" w:rsidRDefault="006B1962">
      <w:pPr>
        <w:keepNext/>
        <w:keepLines/>
        <w:spacing w:after="120" w:line="240" w:lineRule="auto"/>
        <w:jc w:val="both"/>
        <w:rPr>
          <w:color w:val="000000"/>
        </w:rPr>
      </w:pPr>
    </w:p>
    <w:p w14:paraId="0A8C9A0A" w14:textId="77777777" w:rsidR="006B1962" w:rsidRDefault="008D2A29">
      <w:pPr>
        <w:keepNext/>
        <w:keepLines/>
        <w:numPr>
          <w:ilvl w:val="0"/>
          <w:numId w:val="3"/>
        </w:num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Centrum experimentálního divadla, </w:t>
      </w:r>
      <w:proofErr w:type="spell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</w:p>
    <w:p w14:paraId="4EFE306C" w14:textId="77777777" w:rsidR="006B1962" w:rsidRDefault="008D2A29">
      <w:pPr>
        <w:keepNext/>
        <w:keepLines/>
        <w:spacing w:after="120" w:line="240" w:lineRule="auto"/>
        <w:ind w:left="567"/>
        <w:jc w:val="both"/>
        <w:rPr>
          <w:b/>
          <w:bCs/>
        </w:rPr>
      </w:pPr>
      <w:r>
        <w:rPr>
          <w:b/>
          <w:bCs/>
        </w:rPr>
        <w:t>Divadlo Husa na provázku</w:t>
      </w:r>
    </w:p>
    <w:p w14:paraId="08948152" w14:textId="77777777" w:rsidR="006B1962" w:rsidRDefault="008D2A29">
      <w:pPr>
        <w:keepNext/>
        <w:keepLine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se sídlem </w:t>
      </w:r>
      <w:r>
        <w:t>Zelný trh 294/9, 602 00 Brno</w:t>
      </w:r>
    </w:p>
    <w:p w14:paraId="4431D159" w14:textId="77777777" w:rsidR="006B1962" w:rsidRDefault="008D2A29">
      <w:pPr>
        <w:keepNext/>
        <w:keepLines/>
        <w:spacing w:after="120" w:line="240" w:lineRule="auto"/>
        <w:ind w:left="567"/>
        <w:jc w:val="both"/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 xml:space="preserve">: </w:t>
      </w:r>
      <w:r>
        <w:t>00400921</w:t>
      </w:r>
      <w:r>
        <w:rPr>
          <w:color w:val="000000"/>
        </w:rPr>
        <w:t xml:space="preserve"> DIČ: </w:t>
      </w:r>
      <w:r>
        <w:t>CZ00400921</w:t>
      </w:r>
    </w:p>
    <w:p w14:paraId="463923C4" w14:textId="77777777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t xml:space="preserve">OR: spis. značka </w:t>
      </w:r>
      <w:proofErr w:type="spellStart"/>
      <w:r>
        <w:t>Pr</w:t>
      </w:r>
      <w:proofErr w:type="spellEnd"/>
      <w:r>
        <w:t>. 29, Krajský soud v Brně</w:t>
      </w:r>
    </w:p>
    <w:p w14:paraId="191DE747" w14:textId="77777777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zastoupená </w:t>
      </w:r>
      <w:r>
        <w:rPr>
          <w:color w:val="000000"/>
        </w:rPr>
        <w:t xml:space="preserve">Miroslavem </w:t>
      </w:r>
      <w:proofErr w:type="spellStart"/>
      <w:r>
        <w:rPr>
          <w:color w:val="000000"/>
        </w:rPr>
        <w:t>Oščatkou</w:t>
      </w:r>
      <w:proofErr w:type="spellEnd"/>
      <w:r>
        <w:rPr>
          <w:color w:val="000000"/>
        </w:rPr>
        <w:t xml:space="preserve">, ředitel CED, </w:t>
      </w:r>
      <w:proofErr w:type="spell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</w:p>
    <w:p w14:paraId="2B3E56CD" w14:textId="28D669BC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Číslo účtu: </w:t>
      </w:r>
      <w:r w:rsidR="00ED405C">
        <w:t>XXX</w:t>
      </w:r>
    </w:p>
    <w:p w14:paraId="1194BF4E" w14:textId="10A62B15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Plátce DPH: </w:t>
      </w:r>
      <w:r w:rsidR="00ED405C">
        <w:rPr>
          <w:color w:val="000000"/>
        </w:rPr>
        <w:t>XXX</w:t>
      </w:r>
    </w:p>
    <w:p w14:paraId="127BDC18" w14:textId="77777777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Divadlo</w:t>
      </w:r>
      <w:r>
        <w:rPr>
          <w:color w:val="000000"/>
        </w:rPr>
        <w:t>”)</w:t>
      </w:r>
    </w:p>
    <w:p w14:paraId="34B74682" w14:textId="77777777" w:rsidR="006B1962" w:rsidRDefault="006B1962">
      <w:pPr>
        <w:keepNext/>
        <w:keepLines/>
        <w:spacing w:after="120" w:line="240" w:lineRule="auto"/>
        <w:ind w:left="567"/>
        <w:jc w:val="both"/>
        <w:rPr>
          <w:color w:val="000000"/>
        </w:rPr>
      </w:pPr>
    </w:p>
    <w:p w14:paraId="7618AF22" w14:textId="77777777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a</w:t>
      </w:r>
    </w:p>
    <w:p w14:paraId="2C039740" w14:textId="77777777" w:rsidR="006B1962" w:rsidRDefault="006B1962">
      <w:pPr>
        <w:keepNext/>
        <w:keepLines/>
        <w:spacing w:after="120" w:line="240" w:lineRule="auto"/>
        <w:ind w:left="567"/>
        <w:jc w:val="both"/>
        <w:rPr>
          <w:color w:val="000000"/>
        </w:rPr>
      </w:pPr>
    </w:p>
    <w:p w14:paraId="20CE3B4F" w14:textId="77777777" w:rsidR="006B1962" w:rsidRDefault="008D2A29">
      <w:pPr>
        <w:keepNext/>
        <w:keepLines/>
        <w:numPr>
          <w:ilvl w:val="0"/>
          <w:numId w:val="3"/>
        </w:numPr>
        <w:spacing w:after="120"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Dramox</w:t>
      </w:r>
      <w:proofErr w:type="spellEnd"/>
      <w:r>
        <w:rPr>
          <w:b/>
          <w:color w:val="000000"/>
        </w:rPr>
        <w:t xml:space="preserve"> s.r.o.</w:t>
      </w:r>
    </w:p>
    <w:p w14:paraId="22C5FD00" w14:textId="77777777" w:rsidR="006B1962" w:rsidRDefault="008D2A29">
      <w:pPr>
        <w:keepNext/>
        <w:keepLine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se sídlem Bucharova 2928/</w:t>
      </w:r>
      <w:proofErr w:type="gramStart"/>
      <w:r>
        <w:rPr>
          <w:color w:val="000000"/>
        </w:rPr>
        <w:t>14a</w:t>
      </w:r>
      <w:proofErr w:type="gramEnd"/>
      <w:r>
        <w:rPr>
          <w:color w:val="000000"/>
        </w:rPr>
        <w:t xml:space="preserve">, Stodůlky, 158 00 Praha 5, </w:t>
      </w:r>
      <w:proofErr w:type="spellStart"/>
      <w:r>
        <w:rPr>
          <w:color w:val="000000"/>
        </w:rPr>
        <w:t>Aspira</w:t>
      </w:r>
      <w:proofErr w:type="spellEnd"/>
      <w:r>
        <w:rPr>
          <w:color w:val="000000"/>
        </w:rPr>
        <w:t xml:space="preserve"> Business Centre</w:t>
      </w:r>
    </w:p>
    <w:p w14:paraId="20879E6D" w14:textId="77777777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>: 09222103</w:t>
      </w:r>
    </w:p>
    <w:p w14:paraId="0DD582A2" w14:textId="77777777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společnost zapsaná v obchodním rejstříku v</w:t>
      </w:r>
      <w:r>
        <w:rPr>
          <w:color w:val="000000"/>
        </w:rPr>
        <w:t>edeném Městským soudem v Praze, oddíl C, vložka 332337</w:t>
      </w:r>
    </w:p>
    <w:p w14:paraId="53013BD2" w14:textId="4575FB65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zastoupená </w:t>
      </w:r>
      <w:r w:rsidR="00ED405C">
        <w:rPr>
          <w:color w:val="000000"/>
        </w:rPr>
        <w:t>XXX</w:t>
      </w:r>
      <w:r>
        <w:rPr>
          <w:color w:val="000000"/>
        </w:rPr>
        <w:t>, jednatelem</w:t>
      </w:r>
    </w:p>
    <w:p w14:paraId="7160BF41" w14:textId="7C026092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Plátce DPH: </w:t>
      </w:r>
      <w:r w:rsidR="00ED405C">
        <w:rPr>
          <w:color w:val="000000"/>
        </w:rPr>
        <w:t>XXX</w:t>
      </w:r>
    </w:p>
    <w:p w14:paraId="279603E5" w14:textId="77777777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proofErr w:type="spellStart"/>
      <w:r>
        <w:rPr>
          <w:b/>
          <w:color w:val="000000"/>
        </w:rPr>
        <w:t>Dramox</w:t>
      </w:r>
      <w:proofErr w:type="spellEnd"/>
      <w:r>
        <w:rPr>
          <w:color w:val="000000"/>
        </w:rPr>
        <w:t>”)</w:t>
      </w:r>
    </w:p>
    <w:p w14:paraId="41203598" w14:textId="77777777" w:rsidR="006B1962" w:rsidRDefault="008D2A29">
      <w:pPr>
        <w:keepNext/>
        <w:keepLine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(Divadlo 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dále společné též jako „</w:t>
      </w:r>
      <w:r>
        <w:rPr>
          <w:b/>
          <w:color w:val="000000"/>
        </w:rPr>
        <w:t>Smluvní strany</w:t>
      </w:r>
      <w:r>
        <w:rPr>
          <w:color w:val="000000"/>
        </w:rPr>
        <w:t>“, každý samostatně jako „</w:t>
      </w:r>
      <w:r>
        <w:rPr>
          <w:b/>
          <w:color w:val="000000"/>
        </w:rPr>
        <w:t>Smluvní strana</w:t>
      </w:r>
      <w:r>
        <w:rPr>
          <w:color w:val="000000"/>
        </w:rPr>
        <w:t>“)</w:t>
      </w:r>
    </w:p>
    <w:p w14:paraId="0BB4D40D" w14:textId="77777777" w:rsidR="006B1962" w:rsidRDefault="008D2A29">
      <w:pPr>
        <w:keepNext/>
        <w:keepLines/>
        <w:spacing w:after="120" w:line="24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>VZHLEDEM K TOMU, ŽE:</w:t>
      </w:r>
    </w:p>
    <w:p w14:paraId="3337A34E" w14:textId="77777777" w:rsidR="006B1962" w:rsidRDefault="008D2A29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Divadlo v rámci své činnosti disponuje repertoárem divadelních představení, která má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zájem zaznamenat formou audiovizuálního záznamu a dále užít a;</w:t>
      </w:r>
    </w:p>
    <w:p w14:paraId="7880C418" w14:textId="77777777" w:rsidR="006B1962" w:rsidRDefault="008D2A29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disponuje technickým a organizačním vybavením nutným k výrobě záznamu divadelního představení </w:t>
      </w:r>
      <w:r>
        <w:rPr>
          <w:color w:val="000000"/>
        </w:rPr>
        <w:t>a jeho zpřístupnění v digitální podobě veřejnosti prostřednictvím</w:t>
      </w:r>
    </w:p>
    <w:p w14:paraId="7EEFC7F9" w14:textId="77777777" w:rsidR="006B1962" w:rsidRDefault="008D2A29">
      <w:pPr>
        <w:keepNext/>
        <w:keepLines/>
        <w:spacing w:after="0" w:line="240" w:lineRule="auto"/>
        <w:ind w:left="927"/>
        <w:jc w:val="both"/>
        <w:rPr>
          <w:color w:val="000000"/>
        </w:rPr>
      </w:pPr>
      <w:r>
        <w:rPr>
          <w:color w:val="000000"/>
        </w:rPr>
        <w:t xml:space="preserve">digitální platformy „dramox.cz“ a dramu.com; </w:t>
      </w:r>
    </w:p>
    <w:p w14:paraId="4FD79404" w14:textId="77777777" w:rsidR="006B1962" w:rsidRDefault="008D2A29">
      <w:pPr>
        <w:keepNext/>
        <w:keepLines/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se Smluvní strany dohodly níže uvedeného dne, měsíce a roku uzavřít tuto licenční smlouvou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§2358 a násl. a smlouvu o vytvoření zá</w:t>
      </w:r>
      <w:r>
        <w:rPr>
          <w:color w:val="000000"/>
        </w:rPr>
        <w:t xml:space="preserve">znamu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§1746 odst. 2 zákona č. 89/2012 Sb., občanský zákoník, ve znění pozdějších předpisů („</w:t>
      </w:r>
      <w:r>
        <w:rPr>
          <w:b/>
          <w:color w:val="000000"/>
        </w:rPr>
        <w:t>Smlouva</w:t>
      </w:r>
      <w:r>
        <w:rPr>
          <w:color w:val="000000"/>
        </w:rPr>
        <w:t>“).</w:t>
      </w:r>
    </w:p>
    <w:p w14:paraId="1C564156" w14:textId="77777777" w:rsidR="006B1962" w:rsidRDefault="008D2A29">
      <w:pPr>
        <w:keepNext/>
        <w:keepLines/>
        <w:numPr>
          <w:ilvl w:val="0"/>
          <w:numId w:val="4"/>
        </w:numP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PŘEDMĚT SMLOUVY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34153897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Předmětem této Smlouvy je vymezení podmínek pro vytvoření a užití zvukově obrazového záznamu divadelního představení Div</w:t>
      </w:r>
      <w:r>
        <w:rPr>
          <w:color w:val="000000"/>
        </w:rPr>
        <w:t>adla, která jsou blíže specifikována v Příloze č. 1 této Smlouvy („</w:t>
      </w:r>
      <w:r>
        <w:rPr>
          <w:b/>
          <w:color w:val="000000"/>
        </w:rPr>
        <w:t>Popis představení</w:t>
      </w:r>
      <w:r>
        <w:rPr>
          <w:color w:val="000000"/>
        </w:rPr>
        <w:t xml:space="preserve">“) a jejich další užití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>.</w:t>
      </w:r>
    </w:p>
    <w:p w14:paraId="2D28C31C" w14:textId="77777777" w:rsidR="006B1962" w:rsidRDefault="008D2A29">
      <w:pPr>
        <w:keepNext/>
        <w:keepLines/>
        <w:numPr>
          <w:ilvl w:val="0"/>
          <w:numId w:val="4"/>
        </w:numP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PRÁVA A POVINNOSTI DIVADLA PŘI VYTVOŘENÍ ZÁZNAMU</w:t>
      </w:r>
    </w:p>
    <w:p w14:paraId="0FD1E33D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Divadlo se zavazuje zajistit podmínky pro natáčení představení v termínech stanovených v </w:t>
      </w:r>
      <w:r>
        <w:rPr>
          <w:color w:val="000000"/>
        </w:rPr>
        <w:t>harmonogramu, který tvoří Přílohu č. 2 této Smlouvy („</w:t>
      </w:r>
      <w:r>
        <w:rPr>
          <w:b/>
          <w:color w:val="000000"/>
        </w:rPr>
        <w:t>Harmonogram</w:t>
      </w:r>
      <w:r>
        <w:rPr>
          <w:color w:val="000000"/>
        </w:rPr>
        <w:t xml:space="preserve">“) a současně poskytnout nutnou součinnost při umístění nahrávací techniky. </w:t>
      </w:r>
    </w:p>
    <w:p w14:paraId="02075B61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Divadlo se zavazuje zajistit dodržení veškerých předpisů bezpečnosti a ochrany zdraví a požární ochrany a přítomno</w:t>
      </w:r>
      <w:r>
        <w:rPr>
          <w:color w:val="000000"/>
        </w:rPr>
        <w:t xml:space="preserve">st veškerého personálu nezbytného k řádnému vytvoření záznamu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včetně účasti všech účinkujících (i externích), včetně zajištění součinnosti jevištních techniků a osvětlovačů Divadla.</w:t>
      </w:r>
    </w:p>
    <w:p w14:paraId="6F493EE6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Divadlo umožní připojení výstupu ze zvukového pultu /nebo režie a</w:t>
      </w:r>
      <w:r>
        <w:rPr>
          <w:color w:val="000000"/>
        </w:rPr>
        <w:t xml:space="preserve"> dodá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scénickou hudbu a zvukové efekty z představení na nosiči požadovaném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>.</w:t>
      </w:r>
    </w:p>
    <w:p w14:paraId="67FEF344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Divadlo prohlašuje, že ke všem audiovizuálním a audio záznamům užitým v představení zajistil potřebná oprávnění a hlášení kolektivním správcům.</w:t>
      </w:r>
    </w:p>
    <w:p w14:paraId="3AC77642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se </w:t>
      </w:r>
      <w:r>
        <w:rPr>
          <w:color w:val="000000"/>
        </w:rPr>
        <w:t xml:space="preserve">zavazuje informovat diváky, že představení se natáčí a Záznam představení bude užit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>.</w:t>
      </w:r>
    </w:p>
    <w:p w14:paraId="111093CD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poskytne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seznam účinkujících a osob zúčastněných na představení, které je předmětem Záznamu pro účely vytvoření titulkové listiny. V závěrečných t</w:t>
      </w:r>
      <w:r>
        <w:rPr>
          <w:color w:val="000000"/>
        </w:rPr>
        <w:t xml:space="preserve">itulcích se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zavazuje uvést text: „Vyrobeno ve spolupráci s Divadlem </w:t>
      </w:r>
      <w:r>
        <w:t>Husa na provázku</w:t>
      </w:r>
      <w:r>
        <w:rPr>
          <w:color w:val="000000"/>
        </w:rPr>
        <w:t xml:space="preserve">“. </w:t>
      </w:r>
    </w:p>
    <w:p w14:paraId="4402E070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informuje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nejpozději při stanovení termínu natáčení konkrétního představení o skutečnosti, že se v představení, které má být předmětem Záznamu, vy</w:t>
      </w:r>
      <w:r>
        <w:rPr>
          <w:color w:val="000000"/>
        </w:rPr>
        <w:t xml:space="preserve">skytuje skrytá reklama nebo produkty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 2 odst. 1 písm. </w:t>
      </w:r>
      <w:proofErr w:type="gramStart"/>
      <w:r>
        <w:rPr>
          <w:color w:val="000000"/>
        </w:rPr>
        <w:t>f- h</w:t>
      </w:r>
      <w:proofErr w:type="gramEnd"/>
      <w:r>
        <w:rPr>
          <w:color w:val="000000"/>
        </w:rPr>
        <w:t xml:space="preserve">) zákona č. 132/2010 Sb., o audiovizuálních mediálních službách na vyžádání, nebo že je představení spojeno s plněním sponzorům Divadla (umístění log a názvů partnerů na viditelných </w:t>
      </w:r>
      <w:r>
        <w:rPr>
          <w:color w:val="000000"/>
        </w:rPr>
        <w:t xml:space="preserve">místech scény jako jsou opony, portály, forbína, výkryty). </w:t>
      </w:r>
    </w:p>
    <w:p w14:paraId="3D68EEAC" w14:textId="77777777" w:rsidR="006B1962" w:rsidRDefault="008D2A29">
      <w:pPr>
        <w:keepNext/>
        <w:keepLines/>
        <w:numPr>
          <w:ilvl w:val="0"/>
          <w:numId w:val="4"/>
        </w:numP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PRÁVA A POVINNOSTI DRAMOXU PŘI VYTVOŘENÍ ZÁZNAMU</w:t>
      </w:r>
    </w:p>
    <w:p w14:paraId="7D9908FC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se zavazuje pořídit Záznam vlastním jménem a na vlastní náklady.</w:t>
      </w:r>
    </w:p>
    <w:p w14:paraId="72FA96D7" w14:textId="77777777" w:rsidR="006B1962" w:rsidRDefault="008D2A29">
      <w:pPr>
        <w:keepNext/>
        <w:keepLines/>
        <w:numPr>
          <w:ilvl w:val="0"/>
          <w:numId w:val="4"/>
        </w:numPr>
        <w:spacing w:before="240" w:after="120" w:line="240" w:lineRule="auto"/>
        <w:jc w:val="both"/>
        <w:rPr>
          <w:b/>
          <w:color w:val="000000"/>
        </w:rPr>
      </w:pPr>
      <w:bookmarkStart w:id="0" w:name="_heading=h.gjdgxs"/>
      <w:bookmarkEnd w:id="0"/>
      <w:r>
        <w:rPr>
          <w:b/>
          <w:color w:val="000000"/>
        </w:rPr>
        <w:t>LICENCE</w:t>
      </w:r>
    </w:p>
    <w:p w14:paraId="1279BA82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poskytuje touto Smlouvou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územně a časově neomezené nevýhradní</w:t>
      </w:r>
      <w:r>
        <w:rPr>
          <w:color w:val="000000"/>
        </w:rPr>
        <w:t xml:space="preserve"> svolení k zařazení zaznamenaných výkonů (s výjimkou práv povinně kolektivně spravovaných) do Záznamu a po dobu autorskoprávní ochrany bez množstevního omezení oprávnění k užití d</w:t>
      </w:r>
      <w:r>
        <w:rPr>
          <w:color w:val="000000"/>
        </w:rPr>
        <w:t xml:space="preserve">ěl, výkonů a jiných předmětů ochrany při užití Záznamu v následujícím rozsahu, a dále k zaznamenání a užití zvukového záznamu (nebo jeho části) užitého jako složka představení při užití zvukově obrazového záznamu </w:t>
      </w:r>
      <w:proofErr w:type="gramStart"/>
      <w:r>
        <w:rPr>
          <w:color w:val="000000"/>
        </w:rPr>
        <w:t>představení  (</w:t>
      </w:r>
      <w:proofErr w:type="gramEnd"/>
      <w:r>
        <w:rPr>
          <w:color w:val="000000"/>
        </w:rPr>
        <w:t>„</w:t>
      </w:r>
      <w:r>
        <w:rPr>
          <w:b/>
          <w:color w:val="000000"/>
        </w:rPr>
        <w:t>Licence</w:t>
      </w:r>
      <w:r>
        <w:rPr>
          <w:color w:val="000000"/>
        </w:rPr>
        <w:t>“):</w:t>
      </w:r>
    </w:p>
    <w:p w14:paraId="62F4BF34" w14:textId="77777777" w:rsidR="006B1962" w:rsidRDefault="008D2A29">
      <w:pPr>
        <w:keepNext/>
        <w:keepLines/>
        <w:numPr>
          <w:ilvl w:val="2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rozmnožováním (§1</w:t>
      </w:r>
      <w:r>
        <w:rPr>
          <w:color w:val="000000"/>
        </w:rPr>
        <w:t>3 AZ)</w:t>
      </w:r>
    </w:p>
    <w:p w14:paraId="62580DA6" w14:textId="77777777" w:rsidR="006B1962" w:rsidRDefault="008D2A29">
      <w:pPr>
        <w:keepNext/>
        <w:keepLines/>
        <w:numPr>
          <w:ilvl w:val="2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rozšiřováním originálu nebo rozmnoženiny (§14 AZ)</w:t>
      </w:r>
    </w:p>
    <w:p w14:paraId="67107863" w14:textId="77777777" w:rsidR="006B1962" w:rsidRDefault="008D2A29">
      <w:pPr>
        <w:keepNext/>
        <w:keepLines/>
        <w:numPr>
          <w:ilvl w:val="2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sdělováním veřejnosti dle § 18 a násl. AZ (s výjimkou kolektivně spravovaných práv), a to zejména: </w:t>
      </w:r>
    </w:p>
    <w:p w14:paraId="7DE75B0F" w14:textId="77777777" w:rsidR="006B1962" w:rsidRDefault="008D2A29">
      <w:pPr>
        <w:keepNext/>
        <w:keepLines/>
        <w:numPr>
          <w:ilvl w:val="0"/>
          <w:numId w:val="2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provozováním ze záznamu a jeho přenosem (§ 20 AZ);</w:t>
      </w:r>
    </w:p>
    <w:p w14:paraId="2F9D3A46" w14:textId="77777777" w:rsidR="006B1962" w:rsidRDefault="008D2A29">
      <w:pPr>
        <w:keepNext/>
        <w:keepLines/>
        <w:numPr>
          <w:ilvl w:val="0"/>
          <w:numId w:val="2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zpřístupňováním způsobem, že kdokoli může mít k n</w:t>
      </w:r>
      <w:r>
        <w:rPr>
          <w:color w:val="000000"/>
        </w:rPr>
        <w:t xml:space="preserve">ěmu přístup na místě a v čase podle své vlastní volby, zejména počítačovou nebo obdobnou sítí, včetně užití způsobem video on </w:t>
      </w:r>
      <w:proofErr w:type="spellStart"/>
      <w:r>
        <w:rPr>
          <w:color w:val="000000"/>
        </w:rPr>
        <w:t>demand</w:t>
      </w:r>
      <w:proofErr w:type="spellEnd"/>
      <w:r>
        <w:rPr>
          <w:color w:val="000000"/>
        </w:rPr>
        <w:t xml:space="preserve"> nebo prostřednictvím mobilních sítí (§ 18 odst. 2 AZ);</w:t>
      </w:r>
    </w:p>
    <w:p w14:paraId="3DD15198" w14:textId="77777777" w:rsidR="006B1962" w:rsidRDefault="008D2A29">
      <w:pPr>
        <w:keepNext/>
        <w:keepLines/>
        <w:numPr>
          <w:ilvl w:val="2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k užití zvukové složky nebo její části k rozmnožování, rozšiřování, </w:t>
      </w:r>
      <w:r>
        <w:rPr>
          <w:color w:val="000000"/>
        </w:rPr>
        <w:t>půjčování originálu nebo rozmnoženiny a ke sdělování veřejnosti sdělováním počítačovou nebo obdobnou sítí;</w:t>
      </w:r>
    </w:p>
    <w:p w14:paraId="2233F69B" w14:textId="77777777" w:rsidR="006B1962" w:rsidRDefault="008D2A29">
      <w:pPr>
        <w:keepNext/>
        <w:keepLines/>
        <w:numPr>
          <w:ilvl w:val="2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oprávnění opatřit Záznam logem nebo jiným označením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>;</w:t>
      </w:r>
    </w:p>
    <w:p w14:paraId="3E886F9A" w14:textId="77777777" w:rsidR="006B1962" w:rsidRDefault="008D2A29">
      <w:pPr>
        <w:keepNext/>
        <w:keepLines/>
        <w:widowControl w:val="0"/>
        <w:numPr>
          <w:ilvl w:val="2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oprávnění opatřit Záznam jazykovými verzemi titulků;</w:t>
      </w:r>
    </w:p>
    <w:p w14:paraId="132E31E0" w14:textId="77777777" w:rsidR="006B1962" w:rsidRDefault="008D2A29">
      <w:pPr>
        <w:keepNext/>
        <w:keepLines/>
        <w:numPr>
          <w:ilvl w:val="2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oprávnění k propagování Záznamu vše</w:t>
      </w:r>
      <w:r>
        <w:rPr>
          <w:color w:val="000000"/>
        </w:rPr>
        <w:t xml:space="preserve">mi obvyklými způsoby, zejména v prostředí internetu na webových stránkách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a profilech na sociálních sítích, v tištěných médiích, bez územního omezení;</w:t>
      </w:r>
    </w:p>
    <w:p w14:paraId="6E3C2A6D" w14:textId="77777777" w:rsidR="006B1962" w:rsidRDefault="008D2A29">
      <w:pPr>
        <w:keepNext/>
        <w:keepLines/>
        <w:numPr>
          <w:ilvl w:val="2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oprávnění k zařazení Záznamu nebo jeho částí beze změny, po zpracování či jiné změně, samostatně </w:t>
      </w:r>
      <w:r>
        <w:rPr>
          <w:color w:val="000000"/>
        </w:rPr>
        <w:t>nebo ve spojení s jiným autorskými díly do jiného audiovizuálního díla (upoutávky) nebo do díla souborného a užít Záznam při užití těchto děl ve výše uvedeném rozsahu;</w:t>
      </w:r>
    </w:p>
    <w:p w14:paraId="15347F74" w14:textId="77777777" w:rsidR="006B1962" w:rsidRDefault="008D2A29">
      <w:pPr>
        <w:keepNext/>
        <w:keepLines/>
        <w:numPr>
          <w:ilvl w:val="2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oprávnění k poskytnutí výše uvedených licencí zcela nebo zčásti jakékoliv třetí osobě.</w:t>
      </w:r>
    </w:p>
    <w:p w14:paraId="1A0A2F54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bookmarkStart w:id="1" w:name="_heading=h.30j0zll"/>
      <w:bookmarkEnd w:id="1"/>
      <w:r>
        <w:rPr>
          <w:color w:val="000000"/>
        </w:rPr>
        <w:t>O</w:t>
      </w:r>
      <w:r>
        <w:rPr>
          <w:color w:val="000000"/>
        </w:rPr>
        <w:t xml:space="preserve">právnění dle článku 4 je pro účetní a daňové účely oceněno částkou 1.000 Kč. Pro vyloučení pochybností Smluvní strany uvádějí, že tato částka není předmětem úhrady a s ohledem na náklady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související s pořízením Záznamu je částka adekvátní.</w:t>
      </w:r>
    </w:p>
    <w:p w14:paraId="13C6671C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n</w:t>
      </w:r>
      <w:r>
        <w:rPr>
          <w:color w:val="000000"/>
        </w:rPr>
        <w:t>ení povinen licenci využít.</w:t>
      </w:r>
    </w:p>
    <w:p w14:paraId="3D6E5C7D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bere na vědomí, že není výrobcem a nositelem práv ani nositelem oprávnění k výkonu práva užít Záznam. </w:t>
      </w:r>
    </w:p>
    <w:p w14:paraId="4DDEED8B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obdrží pro své interní účely Záznam v digitální podobě. </w:t>
      </w:r>
    </w:p>
    <w:p w14:paraId="7C4BC7EE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Divadlo se zavazuje, že neposkytne práva k přímému přenosu či pořízení zvukově obrazového či obrazového záznamu představení, které je předmětem Záznamu, třetí osobě, s výjimkou záběrů pořízen</w:t>
      </w:r>
      <w:r>
        <w:rPr>
          <w:color w:val="000000"/>
        </w:rPr>
        <w:t>ých pro zpravodajské a interní účely.</w:t>
      </w:r>
    </w:p>
    <w:p w14:paraId="0241FEE2" w14:textId="77777777" w:rsidR="006B1962" w:rsidRDefault="008D2A29">
      <w:pPr>
        <w:keepNext/>
        <w:keepLines/>
        <w:numPr>
          <w:ilvl w:val="0"/>
          <w:numId w:val="4"/>
        </w:numPr>
        <w:spacing w:before="240" w:after="120" w:line="240" w:lineRule="auto"/>
        <w:jc w:val="both"/>
        <w:rPr>
          <w:b/>
          <w:color w:val="000000"/>
        </w:rPr>
      </w:pPr>
      <w:bookmarkStart w:id="2" w:name="_heading=h.1fob9te"/>
      <w:bookmarkEnd w:id="2"/>
      <w:r>
        <w:rPr>
          <w:b/>
          <w:color w:val="000000"/>
        </w:rPr>
        <w:t>ODMĚNA</w:t>
      </w:r>
    </w:p>
    <w:p w14:paraId="38DBDCAC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se zavazuje hradit Divadlu podílovou odměnu za poskytnutí Licence ve formě čtvrtletních plateb.</w:t>
      </w:r>
    </w:p>
    <w:p w14:paraId="65AD91A5" w14:textId="56B714E7" w:rsidR="006B1962" w:rsidRPr="00EF1921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</w:pPr>
      <w:bookmarkStart w:id="3" w:name="_heading=h.3znysh7"/>
      <w:bookmarkEnd w:id="3"/>
      <w:r>
        <w:t xml:space="preserve">Strany se dohodly, že podílová odměna Divadla za poskytnutí licence činí </w:t>
      </w:r>
      <w:r w:rsidR="00EF1921">
        <w:t>XX</w:t>
      </w:r>
      <w:r>
        <w:t xml:space="preserve"> % (slovy: </w:t>
      </w:r>
      <w:proofErr w:type="spellStart"/>
      <w:r w:rsidR="00EF1921">
        <w:t>xx</w:t>
      </w:r>
      <w:proofErr w:type="spellEnd"/>
      <w:r w:rsidR="008C6EAF">
        <w:t xml:space="preserve"> procent</w:t>
      </w:r>
      <w:r>
        <w:t>) z podílu ur</w:t>
      </w:r>
      <w:r>
        <w:t xml:space="preserve">čeného k vyplácení odměn, který činí celkem </w:t>
      </w:r>
      <w:r w:rsidR="00EF1921">
        <w:t>XX</w:t>
      </w:r>
      <w:r>
        <w:t xml:space="preserve"> % (slovy: </w:t>
      </w:r>
      <w:proofErr w:type="spellStart"/>
      <w:r w:rsidR="00EF1921">
        <w:t>xx</w:t>
      </w:r>
      <w:proofErr w:type="spellEnd"/>
      <w:r>
        <w:t xml:space="preserve"> procent) z ceny služby společnosti </w:t>
      </w:r>
      <w:proofErr w:type="spellStart"/>
      <w:r>
        <w:t>Dramox</w:t>
      </w:r>
      <w:proofErr w:type="spellEnd"/>
      <w:r>
        <w:t xml:space="preserve"> zaplacené každým uživatelem, a která se vypočítá podle </w:t>
      </w:r>
      <w:r>
        <w:rPr>
          <w:color w:val="000000"/>
        </w:rPr>
        <w:t>následujícího vzorce:</w:t>
      </w:r>
    </w:p>
    <w:p w14:paraId="48A9C26D" w14:textId="5A9B586F" w:rsidR="00EF1921" w:rsidRDefault="00EF1921" w:rsidP="00EF1921">
      <w:pPr>
        <w:keepNext/>
        <w:keepLines/>
        <w:spacing w:before="240" w:after="120" w:line="240" w:lineRule="auto"/>
        <w:ind w:left="567"/>
        <w:jc w:val="both"/>
      </w:pPr>
      <w:r>
        <w:t>XXX</w:t>
      </w:r>
    </w:p>
    <w:p w14:paraId="1F35B240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t>Za zhlédnutí je považováno kontinuální sledování Záznamu delší než 10 minut. Pokud je Záznam kratší nebo roven délce 20 minut, pak pro započítání zhlédnutí je třeba kontinuálních 70% sledování Záznamu z délky představení.</w:t>
      </w:r>
    </w:p>
    <w:p w14:paraId="6A040788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</w:pPr>
      <w:proofErr w:type="spellStart"/>
      <w:r>
        <w:lastRenderedPageBreak/>
        <w:t>Dramox</w:t>
      </w:r>
      <w:proofErr w:type="spellEnd"/>
      <w:r>
        <w:t xml:space="preserve"> je povinen vždy </w:t>
      </w:r>
      <w:r>
        <w:t xml:space="preserve">nejpozději do 15 dnů po skončení příslušného kalendářního čtvrtletí informovat Divadlo o celkovém počtu zhlédnutí Záznamu a provést vyúčtování licenční odměny. V případě, že vyúčtovaná licenční odměna nebude ze strany Divadla rozporována ve lhůtě do 7 dnů </w:t>
      </w:r>
      <w:r>
        <w:t xml:space="preserve">od jejího doručení, považuje se za schválenou. Schválená licenční odměna se na straně </w:t>
      </w:r>
      <w:proofErr w:type="spellStart"/>
      <w:r>
        <w:t>Dramoxu</w:t>
      </w:r>
      <w:proofErr w:type="spellEnd"/>
      <w:r>
        <w:t xml:space="preserve"> stává podkladem pro zúčtování nákladů.</w:t>
      </w:r>
    </w:p>
    <w:p w14:paraId="37A1D4C8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</w:pPr>
      <w:r>
        <w:t>Schválená licenční odměna dle bodu 5.4. je splatná bezhotovostním převodem na bankovní účet Divadla: v případě Divadla plát</w:t>
      </w:r>
      <w:r>
        <w:t>ce DPH se splatností 14 dnů ode dne doručení daňového dokladu vystaveného Divadlem; v případě Divadla, které není plátcem DPH, se splatností 14 dnů ode dne, kdy se vyúčtování licenční odměny považuje dle bodu 5.4. za schválené.</w:t>
      </w:r>
    </w:p>
    <w:p w14:paraId="566CD778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V případě, že se jedna ze sm</w:t>
      </w:r>
      <w:r>
        <w:rPr>
          <w:color w:val="000000"/>
        </w:rPr>
        <w:t>luvních stran stane plátcem DPH, je povinna to oznámit druhé smluvní straně nejpozději do konce kalendářního měsíce, ve kterém se stala plátcem DPH.</w:t>
      </w:r>
    </w:p>
    <w:p w14:paraId="2892F621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Odměna se v případě divadla, který je plátcem DPH zvyšuje o příslušnou sazbu daně z přidané hodnoty.</w:t>
      </w:r>
    </w:p>
    <w:p w14:paraId="28F91A2B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V příp</w:t>
      </w:r>
      <w:r>
        <w:rPr>
          <w:color w:val="000000"/>
        </w:rPr>
        <w:t xml:space="preserve">adě prodlení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 úhradou licenční odměny je Divadlo oprávněno požadovat zaplacení úroku z prodlení v zákonné výši za každý započatý den prodlení.</w:t>
      </w:r>
    </w:p>
    <w:p w14:paraId="776DB6B7" w14:textId="77777777" w:rsidR="006B1962" w:rsidRDefault="008D2A29">
      <w:pPr>
        <w:keepNext/>
        <w:keepLines/>
        <w:widowControl w:val="0"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V případě, že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vznikne v rámci plnění této Smlouvy povinnost hradit odměnu zahraničním kolektivní</w:t>
      </w:r>
      <w:r>
        <w:rPr>
          <w:color w:val="000000"/>
        </w:rPr>
        <w:t>m správcům, sníží se odměna dle čl. 5.</w:t>
      </w:r>
      <w:r>
        <w:t>1</w:t>
      </w:r>
      <w:r>
        <w:rPr>
          <w:color w:val="000000"/>
        </w:rPr>
        <w:t xml:space="preserve">. o částku zaplacenou zahraničním kolektivním správcům. S ohledem na skutečnost, že výše poplatků zahraničním kolektivním správcům se může v jednotlivých případech a státech lišit,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uvede skutečnou výši zaplacen</w:t>
      </w:r>
      <w:r>
        <w:rPr>
          <w:color w:val="000000"/>
        </w:rPr>
        <w:t>ých poplatků zaplacených zahraničním kolektivním správcům ve vyúčtování dle čl. 5.4.</w:t>
      </w:r>
    </w:p>
    <w:p w14:paraId="4707752E" w14:textId="77777777" w:rsidR="006B1962" w:rsidRDefault="008D2A29">
      <w:pPr>
        <w:keepNext/>
        <w:keepLines/>
        <w:numPr>
          <w:ilvl w:val="0"/>
          <w:numId w:val="4"/>
        </w:numP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PROPAGACE</w:t>
      </w:r>
    </w:p>
    <w:p w14:paraId="0427325E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se zavazuje k poskytnutí součinnosti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v rámci PR aktivit a </w:t>
      </w:r>
      <w:proofErr w:type="spellStart"/>
      <w:r>
        <w:rPr>
          <w:color w:val="000000"/>
        </w:rPr>
        <w:t>promotion</w:t>
      </w:r>
      <w:proofErr w:type="spellEnd"/>
      <w:r>
        <w:rPr>
          <w:color w:val="000000"/>
        </w:rPr>
        <w:t xml:space="preserve"> k Záznamu, zejména sdílením příspěvků s upoutávkou na Záznam, ve </w:t>
      </w:r>
      <w:r>
        <w:rPr>
          <w:color w:val="000000"/>
        </w:rPr>
        <w:t>spolupráci s 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a v rozsahu a znění dodaném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na oficiálních profilech Divadla na sociálních sítích.</w:t>
      </w:r>
    </w:p>
    <w:p w14:paraId="6EC3ECA7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je oprávněno vykonávat PR a </w:t>
      </w:r>
      <w:proofErr w:type="spellStart"/>
      <w:r>
        <w:rPr>
          <w:color w:val="000000"/>
        </w:rPr>
        <w:t>promotion</w:t>
      </w:r>
      <w:proofErr w:type="spellEnd"/>
      <w:r>
        <w:rPr>
          <w:color w:val="000000"/>
        </w:rPr>
        <w:t xml:space="preserve"> k Záznamu ve formě a po dohodě s 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. </w:t>
      </w:r>
    </w:p>
    <w:p w14:paraId="6D5ABED2" w14:textId="77777777" w:rsidR="006B1962" w:rsidRDefault="008D2A29">
      <w:pPr>
        <w:keepNext/>
        <w:keepLines/>
        <w:numPr>
          <w:ilvl w:val="0"/>
          <w:numId w:val="4"/>
        </w:numP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KOMUNIKACE SMLUVNÍCH STRAN</w:t>
      </w:r>
    </w:p>
    <w:p w14:paraId="4D577DBE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Veškerá komunikace o před</w:t>
      </w:r>
      <w:r>
        <w:rPr>
          <w:color w:val="000000"/>
        </w:rPr>
        <w:t>mětu této Smlouvy musí probíhat písemně. Za písemnou formu se pro účely této smlouvy považuje i forma elektronická. V naléhavých případech a v případech, kdy nemá komunikace Smluvních stran vliv na plnění této Smlouvy, mohou strany komunikovat telefonicky.</w:t>
      </w:r>
      <w:r>
        <w:rPr>
          <w:color w:val="000000"/>
        </w:rPr>
        <w:t xml:space="preserve"> </w:t>
      </w:r>
    </w:p>
    <w:p w14:paraId="307FBAD1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se budou neprodleně informovat o všech skutečnostech významných pro plnění této Smlouvy. </w:t>
      </w:r>
    </w:p>
    <w:p w14:paraId="2F2EA0C5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Veškeré písemnosti dle této Smlouvy se doručují na adresu Smluvních stran uvedenou v záhlaví této Smlouvy, běžnou korespondenci je možné zasílat rovn</w:t>
      </w:r>
      <w:r>
        <w:rPr>
          <w:color w:val="000000"/>
        </w:rPr>
        <w:t>ěž prostřednictvím elektronické pošty (e-mailem) mezi osobami definovanými níže.</w:t>
      </w:r>
    </w:p>
    <w:p w14:paraId="2ADA6BED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Strany se zavazují komunikovat prostřednictvím odpovědných osob:</w:t>
      </w:r>
    </w:p>
    <w:p w14:paraId="186B2C15" w14:textId="3CACB588" w:rsidR="006B1962" w:rsidRDefault="008D2A29">
      <w:pPr>
        <w:keepNext/>
        <w:keepLines/>
        <w:numPr>
          <w:ilvl w:val="0"/>
          <w:numId w:val="5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Za Divadlo: </w:t>
      </w:r>
      <w:r w:rsidR="00EF1921">
        <w:rPr>
          <w:color w:val="000000"/>
        </w:rPr>
        <w:t>XXX</w:t>
      </w:r>
      <w:r>
        <w:rPr>
          <w:color w:val="000000"/>
        </w:rPr>
        <w:t xml:space="preserve">, e-mail: </w:t>
      </w:r>
      <w:r w:rsidR="00EF1921">
        <w:rPr>
          <w:color w:val="000000"/>
        </w:rPr>
        <w:t>xxx</w:t>
      </w:r>
      <w:r>
        <w:rPr>
          <w:color w:val="000000"/>
        </w:rPr>
        <w:t>@</w:t>
      </w:r>
      <w:r w:rsidR="00EF1921">
        <w:rPr>
          <w:color w:val="000000"/>
        </w:rPr>
        <w:t>xxx</w:t>
      </w:r>
      <w:r>
        <w:rPr>
          <w:color w:val="000000"/>
        </w:rPr>
        <w:t xml:space="preserve">.cz, tel: </w:t>
      </w:r>
      <w:r w:rsidR="00EF1921">
        <w:rPr>
          <w:color w:val="000000"/>
        </w:rPr>
        <w:t>XXX</w:t>
      </w:r>
    </w:p>
    <w:p w14:paraId="6286D1F5" w14:textId="612B6A90" w:rsidR="006B1962" w:rsidRDefault="008D2A29">
      <w:pPr>
        <w:keepNext/>
        <w:keepLines/>
        <w:numPr>
          <w:ilvl w:val="0"/>
          <w:numId w:val="5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Za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>:</w:t>
      </w:r>
      <w:r>
        <w:t xml:space="preserve"> </w:t>
      </w:r>
      <w:r w:rsidR="00EF1921">
        <w:t>XXX</w:t>
      </w:r>
      <w:r>
        <w:rPr>
          <w:color w:val="000000"/>
        </w:rPr>
        <w:t>, e-m</w:t>
      </w:r>
      <w:r>
        <w:rPr>
          <w:color w:val="000000"/>
        </w:rPr>
        <w:t xml:space="preserve">ail: </w:t>
      </w:r>
      <w:r w:rsidR="00EF1921">
        <w:rPr>
          <w:color w:val="000000"/>
        </w:rPr>
        <w:t>xxx</w:t>
      </w:r>
      <w:r>
        <w:rPr>
          <w:color w:val="000000"/>
        </w:rPr>
        <w:t>@</w:t>
      </w:r>
      <w:r w:rsidR="00EF1921">
        <w:rPr>
          <w:color w:val="000000"/>
        </w:rPr>
        <w:t>xxx</w:t>
      </w:r>
      <w:r>
        <w:rPr>
          <w:color w:val="000000"/>
        </w:rPr>
        <w:t xml:space="preserve">.cz, tel: </w:t>
      </w:r>
      <w:r w:rsidR="00EF1921">
        <w:rPr>
          <w:color w:val="000000"/>
        </w:rPr>
        <w:t>XXX</w:t>
      </w:r>
    </w:p>
    <w:p w14:paraId="693183E9" w14:textId="77777777" w:rsidR="006B1962" w:rsidRDefault="008D2A29">
      <w:pPr>
        <w:keepNext/>
        <w:keepLines/>
        <w:numPr>
          <w:ilvl w:val="0"/>
          <w:numId w:val="4"/>
        </w:numP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DŮVĚRNOST A MLČENLIVOST </w:t>
      </w:r>
    </w:p>
    <w:p w14:paraId="2B9E6EAB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Smluvní strany se zavazují, že o této Smlouvě a všech důvěrných a utajovaných informacích a skutečnostech týkajících se druhého z nich, o kterých se dozví v souvislosti s touto Smlouvou,</w:t>
      </w:r>
      <w:r>
        <w:rPr>
          <w:color w:val="000000"/>
        </w:rPr>
        <w:t xml:space="preserve"> budou zachovávat absolutní mlčenlivost, s výjimkou informací, které bude nezbytné poskytnout třetím osobám za účelem řádného splnění této Smlouvy, plnění zákonných povinností či uplatnění práv z této Smlouvy. </w:t>
      </w:r>
    </w:p>
    <w:p w14:paraId="7808549C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Za důvěrné a utajované informace ve smyslu to</w:t>
      </w:r>
      <w:r>
        <w:rPr>
          <w:color w:val="000000"/>
        </w:rPr>
        <w:t xml:space="preserve">hoto článku se považují veškeré informace, jejichž zveřejnění by mohlo druhé Smluvní straně způsobit škodu nebo poškodit její pověst, a to bez ohledu na to, zda tvoří součást obchodního tajemství. </w:t>
      </w:r>
    </w:p>
    <w:p w14:paraId="72A2D13D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Povinnost mlčenlivosti ve shora uvedeném rozsahu se nevzta</w:t>
      </w:r>
      <w:r>
        <w:rPr>
          <w:color w:val="000000"/>
        </w:rPr>
        <w:t>huje na informace, které se týkají Smluvní strany, která je sama o sobě zveřejní, na informace, které se stanou obecně známými, aniž by v takovou známost vešly v důsledku porušení závazku mlčenlivosti výše sjednaného, a na informace obecně známé.</w:t>
      </w:r>
    </w:p>
    <w:p w14:paraId="6B421901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Bez ohled</w:t>
      </w:r>
      <w:r>
        <w:rPr>
          <w:color w:val="000000"/>
        </w:rPr>
        <w:t>u na výše uvedené, Smluvní strany souhlasí s tím, aby tato smlouva byla zveřejněna v rámci evidence smluv přístupné dle zákona 106/1999 Sb., o svobodném přístupu k informacím, ve znění pozdějších předpisů, a dle zákona č. 340/2015 Sb., o registru smluv, ve</w:t>
      </w:r>
      <w:r>
        <w:rPr>
          <w:color w:val="000000"/>
        </w:rPr>
        <w:t xml:space="preserve"> znění pozdějších předpisů, a to v rozsahu nezbytném ke splnění zákonné povinnosti, zejména údaje o Smluvních stranách, předmětu Smlouvy a datu jejího uzavření. Zveřejnění informací ke splnění zákonné povinnosti není považováno za porušení mlčenlivosti. Je</w:t>
      </w:r>
      <w:r>
        <w:rPr>
          <w:color w:val="000000"/>
        </w:rPr>
        <w:t>stliže tato Smlouva bude podléhat povinnosti uveřejnění podle zákona o registru smluv, Smluvní strany se dohodly, že osobní údaje a vzorec pro výpočet odměny dle článku 5 budou znečitelněny v souladu se zákonem o registru smluv jako obchodní tajemství, jeh</w:t>
      </w:r>
      <w:r>
        <w:rPr>
          <w:color w:val="000000"/>
        </w:rPr>
        <w:t>ož utajení Smluvní strany odpovídajícím způsobem zajišťují.</w:t>
      </w:r>
    </w:p>
    <w:p w14:paraId="61C62157" w14:textId="77777777" w:rsidR="006B1962" w:rsidRDefault="008D2A29">
      <w:pPr>
        <w:keepNext/>
        <w:keepLines/>
        <w:numPr>
          <w:ilvl w:val="0"/>
          <w:numId w:val="4"/>
        </w:numP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VYŠŠÍ MOC</w:t>
      </w:r>
    </w:p>
    <w:p w14:paraId="08F9E8B1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Pokud kterákoli ze Smluvních stran nebude schopna dodržovat nebo plnit jakoukoli povinnost podle této Smlouvy a tato neschopnost bude výhradně způsobena tzv. vyšší mocí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 </w:t>
      </w:r>
      <w:r>
        <w:rPr>
          <w:color w:val="000000"/>
        </w:rPr>
        <w:t>2913 odst. 2 zákona č. 89/2012 Sb., občanský zákoník, je povinna takovou skutečnost druhé Smluvní straně neprodleně oznámit. Smluvní strany se zavazují bez ohledu na jejich práva a povinnosti vyplývající z platných právních předpisů nebo z této Smlouvy hle</w:t>
      </w:r>
      <w:r>
        <w:rPr>
          <w:color w:val="000000"/>
        </w:rPr>
        <w:t>dat řešení vzniklé situace v dobré víře a v případě potřeby uzavřít dodatek/dodatky k této Smlouvě, vše s cílem zajistit řádné plnění této Smlouvy.</w:t>
      </w:r>
    </w:p>
    <w:p w14:paraId="766078DB" w14:textId="77777777" w:rsidR="006B1962" w:rsidRDefault="008D2A29">
      <w:pPr>
        <w:keepNext/>
        <w:keepLines/>
        <w:numPr>
          <w:ilvl w:val="0"/>
          <w:numId w:val="4"/>
        </w:numP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6E09705A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Tato smlouva nabývá platnosti a účinnosti dnem jejího podpisu oběma Smluvními stranami.</w:t>
      </w:r>
      <w:r>
        <w:rPr>
          <w:color w:val="000000"/>
        </w:rPr>
        <w:t xml:space="preserve"> </w:t>
      </w:r>
    </w:p>
    <w:p w14:paraId="7B282434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</w:t>
      </w:r>
      <w:r>
        <w:rPr>
          <w:color w:val="000000"/>
        </w:rPr>
        <w:t>zavazují nahradit neplatné ustanovení ustanovením platným, jehož věcný a ekonomický význam bude co nejvíce odpovídat významu a účelu nahrazovaného ustanovení.</w:t>
      </w:r>
    </w:p>
    <w:p w14:paraId="4E01D44D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Tato smlouva představuje úplnou dohodu Smluvních stran o předmětu této Smlouvy a nahrazuje vešker</w:t>
      </w:r>
      <w:r>
        <w:rPr>
          <w:color w:val="000000"/>
        </w:rPr>
        <w:t xml:space="preserve">á případná předchozí ujednání Smluvních stran ohledně předmětu této Smlouvy. </w:t>
      </w:r>
    </w:p>
    <w:p w14:paraId="373A8017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Nedílnou součástí této Smlouvy jsou následující přílohy:</w:t>
      </w:r>
    </w:p>
    <w:p w14:paraId="5A50BE55" w14:textId="77777777" w:rsidR="006B1962" w:rsidRDefault="008D2A29">
      <w:pPr>
        <w:keepNext/>
        <w:keepLines/>
        <w:numPr>
          <w:ilvl w:val="0"/>
          <w:numId w:val="5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Příloha č. 1 – Popis představení</w:t>
      </w:r>
    </w:p>
    <w:p w14:paraId="6ACD38AA" w14:textId="31C8B6B5" w:rsidR="006B1962" w:rsidRPr="00EF1921" w:rsidRDefault="008D2A29" w:rsidP="00EF1921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Tato smlouva se vyhotovuje ve dvou stejnopisech s platností originálu a každá </w:t>
      </w:r>
      <w:r>
        <w:rPr>
          <w:color w:val="000000"/>
        </w:rPr>
        <w:t>Smluvní strana obdrží po jednom vyhotovení.</w:t>
      </w:r>
    </w:p>
    <w:p w14:paraId="5E03AF6B" w14:textId="77777777" w:rsidR="006B1962" w:rsidRDefault="008D2A29">
      <w:pPr>
        <w:keepNext/>
        <w:keepLines/>
        <w:numPr>
          <w:ilvl w:val="1"/>
          <w:numId w:val="4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Smluvní strany prohlašují, že si smlouvu přečetly, s jejím zněním souhlasí a na důkaz toho připojují níže své podpisy.</w:t>
      </w:r>
    </w:p>
    <w:p w14:paraId="4E6D77CF" w14:textId="77777777" w:rsidR="006B1962" w:rsidRDefault="006B1962">
      <w:pPr>
        <w:keepNext/>
        <w:keepLines/>
        <w:spacing w:before="240" w:after="120" w:line="240" w:lineRule="auto"/>
        <w:ind w:left="567"/>
        <w:jc w:val="both"/>
        <w:rPr>
          <w:color w:val="000000"/>
        </w:rPr>
      </w:pPr>
    </w:p>
    <w:tbl>
      <w:tblPr>
        <w:tblW w:w="9060" w:type="dxa"/>
        <w:tblLook w:val="0400" w:firstRow="0" w:lastRow="0" w:firstColumn="0" w:lastColumn="0" w:noHBand="0" w:noVBand="1"/>
      </w:tblPr>
      <w:tblGrid>
        <w:gridCol w:w="4531"/>
        <w:gridCol w:w="4529"/>
      </w:tblGrid>
      <w:tr w:rsidR="006B1962" w14:paraId="69FA6B57" w14:textId="77777777">
        <w:tc>
          <w:tcPr>
            <w:tcW w:w="4530" w:type="dxa"/>
            <w:shd w:val="clear" w:color="auto" w:fill="auto"/>
          </w:tcPr>
          <w:p w14:paraId="589A152B" w14:textId="77777777" w:rsidR="006B1962" w:rsidRDefault="008D2A29">
            <w:pPr>
              <w:keepNext/>
              <w:keepLines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 Brně dne </w:t>
            </w:r>
            <w:r>
              <w:rPr>
                <w:color w:val="000000"/>
                <w:highlight w:val="yellow"/>
              </w:rPr>
              <w:t>__/__</w:t>
            </w:r>
            <w:r>
              <w:rPr>
                <w:color w:val="000000"/>
              </w:rPr>
              <w:t xml:space="preserve"> 202</w:t>
            </w:r>
            <w:r>
              <w:t>1</w:t>
            </w:r>
          </w:p>
          <w:p w14:paraId="2A2AEBB6" w14:textId="77777777" w:rsidR="006B1962" w:rsidRDefault="008D2A29">
            <w:pPr>
              <w:keepNext/>
              <w:keepLines/>
              <w:spacing w:after="120"/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Za </w:t>
            </w:r>
            <w:r>
              <w:rPr>
                <w:b/>
                <w:bCs/>
              </w:rPr>
              <w:t xml:space="preserve">Centrum experimentálního divadla, </w:t>
            </w:r>
            <w:proofErr w:type="spellStart"/>
            <w:r>
              <w:rPr>
                <w:b/>
                <w:bCs/>
              </w:rPr>
              <w:t>p.o</w:t>
            </w:r>
            <w:proofErr w:type="spellEnd"/>
            <w:r>
              <w:rPr>
                <w:b/>
                <w:bCs/>
              </w:rPr>
              <w:t>.</w:t>
            </w:r>
          </w:p>
          <w:p w14:paraId="4BA17DD5" w14:textId="77777777" w:rsidR="006B1962" w:rsidRDefault="008D2A29">
            <w:pPr>
              <w:keepNext/>
              <w:keepLines/>
              <w:spacing w:after="120"/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Divadlo Husa na </w:t>
            </w:r>
            <w:r>
              <w:rPr>
                <w:b/>
                <w:bCs/>
              </w:rPr>
              <w:t>provázku</w:t>
            </w:r>
          </w:p>
        </w:tc>
        <w:tc>
          <w:tcPr>
            <w:tcW w:w="4529" w:type="dxa"/>
            <w:shd w:val="clear" w:color="auto" w:fill="auto"/>
          </w:tcPr>
          <w:p w14:paraId="0D65309E" w14:textId="77777777" w:rsidR="006B1962" w:rsidRDefault="008D2A29">
            <w:pPr>
              <w:keepNext/>
              <w:keepLines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 Praze dne </w:t>
            </w:r>
            <w:r>
              <w:rPr>
                <w:color w:val="000000"/>
                <w:highlight w:val="yellow"/>
              </w:rPr>
              <w:t xml:space="preserve">___/___ </w:t>
            </w:r>
            <w:r>
              <w:rPr>
                <w:color w:val="000000"/>
              </w:rPr>
              <w:t>202</w:t>
            </w:r>
            <w:r>
              <w:t>1</w:t>
            </w:r>
          </w:p>
          <w:p w14:paraId="7E06E7E0" w14:textId="77777777" w:rsidR="006B1962" w:rsidRDefault="008D2A29">
            <w:pPr>
              <w:keepNext/>
              <w:keepLines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Za </w:t>
            </w:r>
            <w:proofErr w:type="spellStart"/>
            <w:r>
              <w:rPr>
                <w:b/>
                <w:color w:val="000000"/>
              </w:rPr>
              <w:t>Dramox</w:t>
            </w:r>
            <w:proofErr w:type="spellEnd"/>
            <w:r>
              <w:rPr>
                <w:b/>
                <w:color w:val="000000"/>
              </w:rPr>
              <w:t xml:space="preserve"> s.r.o.</w:t>
            </w:r>
          </w:p>
        </w:tc>
      </w:tr>
      <w:tr w:rsidR="006B1962" w14:paraId="483AB49A" w14:textId="77777777">
        <w:tc>
          <w:tcPr>
            <w:tcW w:w="4530" w:type="dxa"/>
            <w:shd w:val="clear" w:color="auto" w:fill="auto"/>
          </w:tcPr>
          <w:p w14:paraId="46F4E942" w14:textId="77777777" w:rsidR="006B1962" w:rsidRDefault="006B1962">
            <w:pPr>
              <w:keepNext/>
              <w:keepLines/>
              <w:spacing w:after="120"/>
              <w:jc w:val="both"/>
              <w:rPr>
                <w:color w:val="000000"/>
              </w:rPr>
            </w:pPr>
          </w:p>
          <w:p w14:paraId="3CA55E18" w14:textId="77777777" w:rsidR="006B1962" w:rsidRDefault="006B1962">
            <w:pPr>
              <w:keepNext/>
              <w:keepLines/>
              <w:spacing w:after="120"/>
              <w:jc w:val="both"/>
              <w:rPr>
                <w:color w:val="000000"/>
              </w:rPr>
            </w:pPr>
          </w:p>
          <w:p w14:paraId="2F17A5BF" w14:textId="77777777" w:rsidR="006B1962" w:rsidRDefault="008D2A29">
            <w:pPr>
              <w:keepNext/>
              <w:keepLines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14:paraId="393E60DC" w14:textId="77777777" w:rsidR="006B1962" w:rsidRDefault="008D2A29">
            <w:pPr>
              <w:keepNext/>
              <w:keepLines/>
              <w:spacing w:after="12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Miroslav </w:t>
            </w:r>
            <w:proofErr w:type="spellStart"/>
            <w:r>
              <w:rPr>
                <w:b/>
                <w:bCs/>
                <w:color w:val="000000"/>
              </w:rPr>
              <w:t>Oščatka</w:t>
            </w:r>
            <w:proofErr w:type="spellEnd"/>
            <w:r>
              <w:rPr>
                <w:color w:val="000000"/>
              </w:rPr>
              <w:t xml:space="preserve">, ředitel CED, </w:t>
            </w:r>
            <w:proofErr w:type="spellStart"/>
            <w:r>
              <w:rPr>
                <w:color w:val="000000"/>
              </w:rPr>
              <w:t>p.o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916B4E9" w14:textId="77777777" w:rsidR="006B1962" w:rsidRDefault="006B1962">
            <w:pPr>
              <w:keepNext/>
              <w:keepLines/>
              <w:spacing w:after="120"/>
              <w:jc w:val="both"/>
              <w:rPr>
                <w:color w:val="000000"/>
              </w:rPr>
            </w:pPr>
          </w:p>
          <w:p w14:paraId="67271214" w14:textId="77777777" w:rsidR="006B1962" w:rsidRDefault="006B1962">
            <w:pPr>
              <w:keepNext/>
              <w:keepLines/>
              <w:spacing w:after="120"/>
              <w:jc w:val="both"/>
              <w:rPr>
                <w:color w:val="000000"/>
              </w:rPr>
            </w:pPr>
          </w:p>
          <w:p w14:paraId="60ED7563" w14:textId="77777777" w:rsidR="006B1962" w:rsidRDefault="008D2A29">
            <w:pPr>
              <w:keepNext/>
              <w:keepLines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14:paraId="10BD34EE" w14:textId="072E31D5" w:rsidR="006B1962" w:rsidRDefault="00EF1921">
            <w:pPr>
              <w:keepNext/>
              <w:keepLines/>
              <w:spacing w:after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XXX</w:t>
            </w:r>
            <w:r w:rsidR="008D2A29">
              <w:rPr>
                <w:color w:val="000000"/>
              </w:rPr>
              <w:t>, jednatel</w:t>
            </w:r>
          </w:p>
          <w:p w14:paraId="45A43965" w14:textId="77777777" w:rsidR="006B1962" w:rsidRDefault="006B1962">
            <w:pPr>
              <w:keepNext/>
              <w:keepLines/>
              <w:spacing w:after="120"/>
              <w:jc w:val="both"/>
              <w:rPr>
                <w:color w:val="000000"/>
              </w:rPr>
            </w:pPr>
          </w:p>
        </w:tc>
      </w:tr>
    </w:tbl>
    <w:p w14:paraId="0F2F5AC7" w14:textId="77777777" w:rsidR="006B1962" w:rsidRDefault="006B1962">
      <w:pPr>
        <w:keepNext/>
        <w:keepLines/>
        <w:spacing w:before="240" w:after="120" w:line="240" w:lineRule="auto"/>
        <w:ind w:left="567" w:hanging="567"/>
        <w:jc w:val="center"/>
        <w:rPr>
          <w:b/>
          <w:color w:val="000000"/>
        </w:rPr>
      </w:pPr>
    </w:p>
    <w:p w14:paraId="26BA4E2D" w14:textId="77777777" w:rsidR="006B1962" w:rsidRDefault="008D2A29">
      <w:pPr>
        <w:rPr>
          <w:b/>
          <w:color w:val="000000"/>
        </w:rPr>
      </w:pPr>
      <w:r>
        <w:br w:type="page"/>
      </w:r>
    </w:p>
    <w:p w14:paraId="5455CB92" w14:textId="77777777" w:rsidR="006B1962" w:rsidRDefault="008D2A29">
      <w:pPr>
        <w:keepNext/>
        <w:keepLines/>
        <w:spacing w:before="240" w:after="120" w:line="240" w:lineRule="auto"/>
        <w:ind w:left="567" w:hanging="567"/>
        <w:jc w:val="center"/>
        <w:rPr>
          <w:b/>
          <w:color w:val="000000"/>
        </w:rPr>
      </w:pPr>
      <w:bookmarkStart w:id="4" w:name="__DdeLink__677_4255845985"/>
      <w:r>
        <w:rPr>
          <w:b/>
          <w:color w:val="000000"/>
        </w:rPr>
        <w:lastRenderedPageBreak/>
        <w:t>Příloha č. 1</w:t>
      </w:r>
      <w:bookmarkEnd w:id="4"/>
    </w:p>
    <w:p w14:paraId="7A6F74DB" w14:textId="77777777" w:rsidR="006B1962" w:rsidRDefault="008D2A29">
      <w:pPr>
        <w:keepNext/>
        <w:keepLines/>
        <w:spacing w:before="240" w:after="120" w:line="240" w:lineRule="auto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Popis představení</w:t>
      </w:r>
    </w:p>
    <w:p w14:paraId="20E2E714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Smluvní strany dohodly na vytvoření </w:t>
      </w:r>
      <w:r>
        <w:rPr>
          <w:color w:val="000000"/>
        </w:rPr>
        <w:t>audiovizuálního záznamu následujícího představení:</w:t>
      </w:r>
    </w:p>
    <w:p w14:paraId="3BC7A4EF" w14:textId="77777777" w:rsidR="006B1962" w:rsidRDefault="008D2A29">
      <w:pPr>
        <w:keepNext/>
        <w:keepLines/>
        <w:numPr>
          <w:ilvl w:val="6"/>
          <w:numId w:val="4"/>
        </w:numP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Název díla: </w:t>
      </w:r>
      <w:r>
        <w:rPr>
          <w:b/>
          <w:bCs/>
        </w:rPr>
        <w:t>Amerika</w:t>
      </w:r>
    </w:p>
    <w:p w14:paraId="750F4747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</w:pPr>
      <w:r>
        <w:rPr>
          <w:color w:val="000000"/>
        </w:rPr>
        <w:t xml:space="preserve">Autor: </w:t>
      </w:r>
      <w:r>
        <w:t>Franz Kafka</w:t>
      </w:r>
    </w:p>
    <w:p w14:paraId="662E628E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  <w:rPr>
          <w:color w:val="000000"/>
        </w:rPr>
      </w:pPr>
      <w:r>
        <w:t>Autor (úryvky): Egon Bondy</w:t>
      </w:r>
    </w:p>
    <w:p w14:paraId="1C87D3DB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Překlad: </w:t>
      </w:r>
      <w:r>
        <w:t>Josef Čermák</w:t>
      </w:r>
    </w:p>
    <w:p w14:paraId="21D72C1D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</w:pPr>
      <w:r>
        <w:rPr>
          <w:color w:val="000000"/>
        </w:rPr>
        <w:t xml:space="preserve">Režie: </w:t>
      </w:r>
      <w:r>
        <w:t>Michal Dočekal</w:t>
      </w:r>
    </w:p>
    <w:p w14:paraId="56C406D0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</w:pPr>
      <w:r>
        <w:t xml:space="preserve">Dramatizace: Michal Dočekal </w:t>
      </w:r>
    </w:p>
    <w:p w14:paraId="39462ED5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  <w:rPr>
          <w:color w:val="000000"/>
        </w:rPr>
      </w:pPr>
      <w:r>
        <w:t>Dramatizace: Iva Klestilová</w:t>
      </w:r>
    </w:p>
    <w:p w14:paraId="547F6FFA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Scénografie: Dragan </w:t>
      </w:r>
      <w:proofErr w:type="spellStart"/>
      <w:r>
        <w:rPr>
          <w:color w:val="000000"/>
        </w:rPr>
        <w:t>Stojčevski</w:t>
      </w:r>
      <w:proofErr w:type="spellEnd"/>
    </w:p>
    <w:p w14:paraId="37F7B86A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Kostýmy: </w:t>
      </w:r>
      <w:r>
        <w:t xml:space="preserve">Sylva </w:t>
      </w:r>
      <w:proofErr w:type="spellStart"/>
      <w:r>
        <w:t>Zimula</w:t>
      </w:r>
      <w:proofErr w:type="spellEnd"/>
      <w:r>
        <w:t xml:space="preserve"> Hanáková</w:t>
      </w:r>
    </w:p>
    <w:p w14:paraId="356A983E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Hudba: </w:t>
      </w:r>
      <w:r>
        <w:t xml:space="preserve">Ivan </w:t>
      </w:r>
      <w:proofErr w:type="spellStart"/>
      <w:r>
        <w:t>Acher</w:t>
      </w:r>
      <w:proofErr w:type="spellEnd"/>
      <w:r>
        <w:t xml:space="preserve"> </w:t>
      </w:r>
    </w:p>
    <w:p w14:paraId="555F6547" w14:textId="77777777" w:rsidR="006B1962" w:rsidRDefault="008D2A29">
      <w:pPr>
        <w:keepNext/>
        <w:keepLines/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Datum premiéry: </w:t>
      </w:r>
      <w:r>
        <w:t>21.9.2018</w:t>
      </w:r>
    </w:p>
    <w:p w14:paraId="47BD3E11" w14:textId="77777777" w:rsidR="006B1962" w:rsidRDefault="008D2A29">
      <w:pPr>
        <w:keepNext/>
        <w:keepLines/>
        <w:pBdr>
          <w:bottom w:val="single" w:sz="12" w:space="1" w:color="000000"/>
        </w:pBdr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Obsazení: Dominik </w:t>
      </w:r>
      <w:proofErr w:type="spellStart"/>
      <w:r>
        <w:rPr>
          <w:color w:val="000000"/>
        </w:rPr>
        <w:t>Teleky</w:t>
      </w:r>
      <w:proofErr w:type="spellEnd"/>
      <w:r>
        <w:rPr>
          <w:color w:val="000000"/>
        </w:rPr>
        <w:t xml:space="preserve">, Ivana </w:t>
      </w:r>
      <w:proofErr w:type="spellStart"/>
      <w:r>
        <w:rPr>
          <w:color w:val="000000"/>
        </w:rPr>
        <w:t>Hloužková</w:t>
      </w:r>
      <w:proofErr w:type="spellEnd"/>
      <w:r>
        <w:rPr>
          <w:color w:val="000000"/>
        </w:rPr>
        <w:t>, Vladimír Hauser, Dalibor Buš, Ondřej Kokorský, Jan Kolařík, Růžena Vlčková, Milan Holenda, Martin Donutil, Tomáš Milostný, Ada</w:t>
      </w:r>
      <w:r>
        <w:rPr>
          <w:color w:val="000000"/>
        </w:rPr>
        <w:t xml:space="preserve">m </w:t>
      </w:r>
      <w:proofErr w:type="spellStart"/>
      <w:r>
        <w:rPr>
          <w:color w:val="000000"/>
        </w:rPr>
        <w:t>Mašura</w:t>
      </w:r>
      <w:proofErr w:type="spellEnd"/>
      <w:r>
        <w:rPr>
          <w:color w:val="000000"/>
        </w:rPr>
        <w:t xml:space="preserve">, Denisa Cupáková, Daniel Gajdoš, Júlia </w:t>
      </w:r>
      <w:proofErr w:type="spellStart"/>
      <w:r>
        <w:rPr>
          <w:color w:val="000000"/>
        </w:rPr>
        <w:t>Ilčinová</w:t>
      </w:r>
      <w:proofErr w:type="spellEnd"/>
      <w:r>
        <w:rPr>
          <w:color w:val="000000"/>
        </w:rPr>
        <w:t xml:space="preserve">, Tibor Kotlár, Šimon Obdržálek, Zuzana Škopová, Sabina Šlachtová, Veronika Špačková, Zdislava </w:t>
      </w:r>
      <w:proofErr w:type="spellStart"/>
      <w:r>
        <w:rPr>
          <w:color w:val="000000"/>
        </w:rPr>
        <w:t>Začalová</w:t>
      </w:r>
      <w:proofErr w:type="spellEnd"/>
      <w:r>
        <w:rPr>
          <w:color w:val="000000"/>
        </w:rPr>
        <w:t>, Jakub Zelinka</w:t>
      </w:r>
    </w:p>
    <w:p w14:paraId="4202F3E2" w14:textId="6BED1779" w:rsidR="006B1962" w:rsidRDefault="00ED405C">
      <w:pPr>
        <w:keepNext/>
        <w:keepLines/>
        <w:widowControl w:val="0"/>
        <w:pBdr>
          <w:bottom w:val="single" w:sz="12" w:space="1" w:color="000000"/>
        </w:pBdr>
        <w:spacing w:before="240" w:after="120" w:line="240" w:lineRule="auto"/>
        <w:ind w:left="567" w:hanging="567"/>
        <w:jc w:val="both"/>
      </w:pPr>
      <w:r>
        <w:t>Seznam použité hudby:</w:t>
      </w:r>
    </w:p>
    <w:p w14:paraId="0652F98D" w14:textId="77777777" w:rsidR="006B1962" w:rsidRDefault="006B1962">
      <w:pPr>
        <w:spacing w:line="240" w:lineRule="auto"/>
      </w:pPr>
    </w:p>
    <w:p w14:paraId="383C3E89" w14:textId="77777777" w:rsidR="006B1962" w:rsidRDefault="006B1962">
      <w:pPr>
        <w:spacing w:line="240" w:lineRule="auto"/>
      </w:pPr>
    </w:p>
    <w:p w14:paraId="7A37DCF7" w14:textId="77777777" w:rsidR="006B1962" w:rsidRDefault="006B1962">
      <w:pPr>
        <w:spacing w:line="240" w:lineRule="auto"/>
      </w:pPr>
    </w:p>
    <w:p w14:paraId="4C24EFB5" w14:textId="77777777" w:rsidR="006B1962" w:rsidRDefault="006B1962">
      <w:pPr>
        <w:spacing w:line="240" w:lineRule="auto"/>
      </w:pPr>
    </w:p>
    <w:p w14:paraId="400CD5E2" w14:textId="77777777" w:rsidR="006B1962" w:rsidRDefault="006B1962">
      <w:pPr>
        <w:spacing w:line="240" w:lineRule="auto"/>
      </w:pPr>
    </w:p>
    <w:p w14:paraId="477624DB" w14:textId="77777777" w:rsidR="006B1962" w:rsidRDefault="006B1962">
      <w:pPr>
        <w:spacing w:line="240" w:lineRule="auto"/>
      </w:pPr>
    </w:p>
    <w:p w14:paraId="1A70B2AA" w14:textId="77777777" w:rsidR="006B1962" w:rsidRDefault="006B1962">
      <w:pPr>
        <w:spacing w:line="240" w:lineRule="auto"/>
      </w:pPr>
    </w:p>
    <w:p w14:paraId="7082D3B6" w14:textId="77777777" w:rsidR="006B1962" w:rsidRDefault="006B1962">
      <w:pPr>
        <w:spacing w:line="240" w:lineRule="auto"/>
      </w:pPr>
    </w:p>
    <w:p w14:paraId="6600D08C" w14:textId="77777777" w:rsidR="006B1962" w:rsidRDefault="006B1962">
      <w:pPr>
        <w:spacing w:line="240" w:lineRule="auto"/>
      </w:pPr>
    </w:p>
    <w:p w14:paraId="484D6632" w14:textId="77777777" w:rsidR="006B1962" w:rsidRDefault="006B1962">
      <w:pPr>
        <w:spacing w:line="240" w:lineRule="auto"/>
      </w:pPr>
    </w:p>
    <w:p w14:paraId="5C56761C" w14:textId="77777777" w:rsidR="006B1962" w:rsidRDefault="006B1962">
      <w:pPr>
        <w:spacing w:line="240" w:lineRule="auto"/>
      </w:pPr>
    </w:p>
    <w:p w14:paraId="7BFE0A3A" w14:textId="77777777" w:rsidR="006B1962" w:rsidRDefault="008D2A29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  <w:color w:val="000000"/>
        </w:rPr>
        <w:t>Příloha č. 2</w:t>
      </w:r>
      <w:r>
        <w:rPr>
          <w:b/>
          <w:color w:val="000000"/>
        </w:rPr>
        <w:br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Harmonogram natáčení</w:t>
      </w:r>
    </w:p>
    <w:p w14:paraId="5BDB4F26" w14:textId="77777777" w:rsidR="006B1962" w:rsidRDefault="008D2A29">
      <w:pPr>
        <w:spacing w:after="0" w:line="240" w:lineRule="auto"/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AMERIKA v </w:t>
      </w:r>
      <w:proofErr w:type="gramStart"/>
      <w:r>
        <w:rPr>
          <w:b/>
          <w:color w:val="000000"/>
        </w:rPr>
        <w:t>termínu  13.6.2021</w:t>
      </w:r>
      <w:proofErr w:type="gramEnd"/>
    </w:p>
    <w:p w14:paraId="07785D38" w14:textId="77777777" w:rsidR="006B1962" w:rsidRDefault="006B1962">
      <w:pPr>
        <w:spacing w:after="0" w:line="240" w:lineRule="auto"/>
      </w:pPr>
    </w:p>
    <w:p w14:paraId="2F9CDCDA" w14:textId="77777777" w:rsidR="006B1962" w:rsidRDefault="006B1962">
      <w:pPr>
        <w:spacing w:after="0" w:line="240" w:lineRule="auto"/>
      </w:pPr>
    </w:p>
    <w:p w14:paraId="2FD150D1" w14:textId="77777777" w:rsidR="006B1962" w:rsidRDefault="006B1962">
      <w:pPr>
        <w:spacing w:after="0" w:line="240" w:lineRule="auto"/>
      </w:pPr>
    </w:p>
    <w:p w14:paraId="0C162F8E" w14:textId="77777777" w:rsidR="006B1962" w:rsidRDefault="008D2A29">
      <w:pPr>
        <w:spacing w:before="57" w:after="113" w:line="360" w:lineRule="auto"/>
        <w:ind w:left="57" w:right="57"/>
      </w:pPr>
      <w:r>
        <w:t xml:space="preserve">17:00 </w:t>
      </w:r>
      <w:r>
        <w:tab/>
        <w:t xml:space="preserve">příjezd </w:t>
      </w:r>
      <w:proofErr w:type="spellStart"/>
      <w:r>
        <w:t>Dramoxu</w:t>
      </w:r>
      <w:proofErr w:type="spellEnd"/>
      <w:r>
        <w:t xml:space="preserve"> do Divadla Husa na provázku</w:t>
      </w:r>
      <w:r>
        <w:br/>
        <w:t xml:space="preserve">17:15 - 18:15 instalace kamer </w:t>
      </w:r>
      <w:proofErr w:type="gramStart"/>
      <w:r>
        <w:t>( celkem</w:t>
      </w:r>
      <w:proofErr w:type="gramEnd"/>
      <w:r>
        <w:t xml:space="preserve"> 4 kamery)</w:t>
      </w:r>
      <w:r>
        <w:br/>
      </w:r>
      <w:r>
        <w:t>18:40 pouštění diváků do foyer a sálu</w:t>
      </w:r>
      <w:r>
        <w:rPr>
          <w:b/>
        </w:rPr>
        <w:br/>
      </w:r>
      <w:r>
        <w:t>19:00 natáčení inscenace Amerika</w:t>
      </w:r>
      <w:r>
        <w:br/>
        <w:t>21:15 - 22:00 deinstala</w:t>
      </w:r>
      <w:r>
        <w:t xml:space="preserve">ce kamer </w:t>
      </w:r>
    </w:p>
    <w:p w14:paraId="4A2B14F4" w14:textId="77777777" w:rsidR="006B1962" w:rsidRDefault="006B1962">
      <w:pPr>
        <w:spacing w:before="57" w:after="113" w:line="360" w:lineRule="auto"/>
        <w:ind w:left="57" w:right="57"/>
      </w:pPr>
    </w:p>
    <w:p w14:paraId="71CFC195" w14:textId="77777777" w:rsidR="006B1962" w:rsidRDefault="006B1962">
      <w:pPr>
        <w:spacing w:before="57" w:after="113" w:line="360" w:lineRule="auto"/>
        <w:ind w:left="57" w:right="57"/>
      </w:pPr>
    </w:p>
    <w:sectPr w:rsidR="006B1962"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D0FA" w14:textId="77777777" w:rsidR="008D2A29" w:rsidRDefault="008D2A29">
      <w:pPr>
        <w:spacing w:after="0" w:line="240" w:lineRule="auto"/>
      </w:pPr>
      <w:r>
        <w:separator/>
      </w:r>
    </w:p>
  </w:endnote>
  <w:endnote w:type="continuationSeparator" w:id="0">
    <w:p w14:paraId="0F4C326E" w14:textId="77777777" w:rsidR="008D2A29" w:rsidRDefault="008D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0881" w14:textId="77777777" w:rsidR="006B1962" w:rsidRDefault="008D2A29">
    <w:pPr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14:paraId="6B7333C6" w14:textId="77777777" w:rsidR="006B1962" w:rsidRDefault="006B1962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2F7D" w14:textId="77777777" w:rsidR="008D2A29" w:rsidRDefault="008D2A29">
      <w:pPr>
        <w:spacing w:after="0" w:line="240" w:lineRule="auto"/>
      </w:pPr>
      <w:r>
        <w:separator/>
      </w:r>
    </w:p>
  </w:footnote>
  <w:footnote w:type="continuationSeparator" w:id="0">
    <w:p w14:paraId="23A4BD99" w14:textId="77777777" w:rsidR="008D2A29" w:rsidRDefault="008D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6B5"/>
    <w:multiLevelType w:val="multilevel"/>
    <w:tmpl w:val="99BC312E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954" w:hanging="567"/>
      </w:pPr>
    </w:lvl>
    <w:lvl w:ilvl="4">
      <w:start w:val="1"/>
      <w:numFmt w:val="lowerLetter"/>
      <w:lvlText w:val="(%5)"/>
      <w:lvlJc w:val="left"/>
      <w:pPr>
        <w:ind w:left="567" w:hanging="567"/>
      </w:pPr>
    </w:lvl>
    <w:lvl w:ilvl="5">
      <w:start w:val="1"/>
      <w:numFmt w:val="lowerRoman"/>
      <w:lvlText w:val="(%6)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abstractNum w:abstractNumId="1" w15:restartNumberingAfterBreak="0">
    <w:nsid w:val="10960693"/>
    <w:multiLevelType w:val="multilevel"/>
    <w:tmpl w:val="C6CE758A"/>
    <w:lvl w:ilvl="0">
      <w:start w:val="2"/>
      <w:numFmt w:val="bullet"/>
      <w:lvlText w:val="-"/>
      <w:lvlJc w:val="left"/>
      <w:pPr>
        <w:ind w:left="927" w:hanging="360"/>
      </w:pPr>
      <w:rPr>
        <w:rFonts w:ascii="Poppins" w:hAnsi="Poppins" w:cs="Poppin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CCA5147"/>
    <w:multiLevelType w:val="multilevel"/>
    <w:tmpl w:val="B84AA6C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5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3" w15:restartNumberingAfterBreak="0">
    <w:nsid w:val="49E10F0F"/>
    <w:multiLevelType w:val="multilevel"/>
    <w:tmpl w:val="E3CEE1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793722E"/>
    <w:multiLevelType w:val="multilevel"/>
    <w:tmpl w:val="2E061032"/>
    <w:lvl w:ilvl="0">
      <w:start w:val="1"/>
      <w:numFmt w:val="upp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A6420C"/>
    <w:multiLevelType w:val="multilevel"/>
    <w:tmpl w:val="11E6064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62"/>
    <w:rsid w:val="006B1962"/>
    <w:rsid w:val="008C6EAF"/>
    <w:rsid w:val="008D2A29"/>
    <w:rsid w:val="00ED405C"/>
    <w:rsid w:val="00E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829B"/>
  <w15:docId w15:val="{709F5CE6-5C41-4433-A162-42041776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1CtrlShiftB1Char">
    <w:name w:val="Body 1 (CtrlShift + B1) Char"/>
    <w:basedOn w:val="Standardnpsmoodstavce"/>
    <w:link w:val="Body1CtrlShiftB1"/>
    <w:qFormat/>
    <w:rsid w:val="00611767"/>
    <w:rPr>
      <w:rFonts w:ascii="Futura T OT" w:hAnsi="Futura T OT"/>
      <w:sz w:val="20"/>
      <w:szCs w:val="20"/>
      <w:lang w:eastAsia="cs-CZ"/>
    </w:rPr>
  </w:style>
  <w:style w:type="character" w:customStyle="1" w:styleId="PartiesCtrlShiftPChar">
    <w:name w:val="Parties (CtrlShift + P) Char"/>
    <w:basedOn w:val="Standardnpsmoodstavce"/>
    <w:link w:val="PartiesCtrlShiftP"/>
    <w:qFormat/>
    <w:rsid w:val="00611767"/>
    <w:rPr>
      <w:rFonts w:ascii="Futura T OT" w:hAnsi="Futura T OT"/>
      <w:b/>
      <w:sz w:val="20"/>
      <w:szCs w:val="20"/>
      <w:lang w:eastAsia="cs-CZ"/>
    </w:rPr>
  </w:style>
  <w:style w:type="character" w:customStyle="1" w:styleId="PartiesBodyChar">
    <w:name w:val="Parties Body Char"/>
    <w:basedOn w:val="Standardnpsmoodstavce"/>
    <w:link w:val="PartiesBody"/>
    <w:qFormat/>
    <w:rsid w:val="00611767"/>
    <w:rPr>
      <w:rFonts w:ascii="Futura T OT" w:hAnsi="Futura T OT"/>
      <w:sz w:val="20"/>
      <w:szCs w:val="20"/>
      <w:lang w:eastAsia="cs-CZ"/>
    </w:rPr>
  </w:style>
  <w:style w:type="character" w:customStyle="1" w:styleId="Level1CtrlShiftL1Char">
    <w:name w:val="Level 1 (CtrlShift + L1) Char"/>
    <w:basedOn w:val="Standardnpsmoodstavce"/>
    <w:link w:val="Level1CtrlShiftL1"/>
    <w:qFormat/>
    <w:rsid w:val="00611767"/>
    <w:rPr>
      <w:rFonts w:ascii="Futura T OT" w:eastAsiaTheme="majorEastAsia" w:hAnsi="Futura T OT" w:cstheme="majorBidi"/>
      <w:b/>
      <w:bCs/>
      <w:sz w:val="20"/>
      <w:szCs w:val="28"/>
      <w:lang w:eastAsia="cs-CZ"/>
    </w:rPr>
  </w:style>
  <w:style w:type="character" w:customStyle="1" w:styleId="Level2CtrlShiftL2Char">
    <w:name w:val="Level 2 (CtrlShift + L2) Char"/>
    <w:basedOn w:val="Standardnpsmoodstavce"/>
    <w:link w:val="Level2CtrlShiftL2"/>
    <w:qFormat/>
    <w:rsid w:val="00611767"/>
    <w:rPr>
      <w:rFonts w:ascii="Futura T OT" w:eastAsiaTheme="majorEastAsia" w:hAnsi="Futura T OT" w:cstheme="majorBidi"/>
      <w:sz w:val="20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E200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E200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E200F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E200F"/>
    <w:rPr>
      <w:rFonts w:ascii="Segoe UI" w:hAnsi="Segoe UI" w:cs="Segoe UI"/>
      <w:sz w:val="18"/>
      <w:szCs w:val="18"/>
    </w:rPr>
  </w:style>
  <w:style w:type="character" w:customStyle="1" w:styleId="Level3CtrlShiftL3Char">
    <w:name w:val="Level 3 (CtrlShift + L3) Char"/>
    <w:basedOn w:val="Standardnpsmoodstavce"/>
    <w:link w:val="Level3CtrlShiftL3"/>
    <w:qFormat/>
    <w:rsid w:val="00244FBE"/>
    <w:rPr>
      <w:rFonts w:ascii="Futura T OT" w:eastAsiaTheme="majorEastAsia" w:hAnsi="Futura T OT" w:cstheme="majorBidi"/>
      <w:bCs/>
      <w:sz w:val="20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A5C65"/>
  </w:style>
  <w:style w:type="character" w:customStyle="1" w:styleId="ZpatChar">
    <w:name w:val="Zápatí Char"/>
    <w:basedOn w:val="Standardnpsmoodstavce"/>
    <w:link w:val="Zpat"/>
    <w:uiPriority w:val="99"/>
    <w:qFormat/>
    <w:rsid w:val="006A5C65"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eastAsia="Poppins" w:cs="Poppins"/>
    </w:rPr>
  </w:style>
  <w:style w:type="character" w:customStyle="1" w:styleId="ListLabel3">
    <w:name w:val="ListLabel 3"/>
    <w:qFormat/>
    <w:rPr>
      <w:rFonts w:eastAsia="Courier New" w:cs="Courier New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rFonts w:cs="Poppins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Noto Sans Symbols"/>
    </w:rPr>
  </w:style>
  <w:style w:type="character" w:customStyle="1" w:styleId="ListLabel15">
    <w:name w:val="ListLabel 15"/>
    <w:qFormat/>
    <w:rPr>
      <w:rFonts w:cs="Noto Sans Symbol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Noto Sans Symbol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CtrlShiftB1">
    <w:name w:val="Body 1 (CtrlShift + B1)"/>
    <w:basedOn w:val="Body0CtrlShiftB0"/>
    <w:link w:val="Body1CtrlShiftB1Char"/>
    <w:qFormat/>
    <w:rsid w:val="00611767"/>
    <w:pPr>
      <w:ind w:left="567"/>
    </w:pPr>
  </w:style>
  <w:style w:type="paragraph" w:customStyle="1" w:styleId="PartiesCtrlShiftP">
    <w:name w:val="Parties (CtrlShift + P)"/>
    <w:basedOn w:val="Normln"/>
    <w:link w:val="PartiesCtrlShiftPChar"/>
    <w:qFormat/>
    <w:rsid w:val="00611767"/>
    <w:pPr>
      <w:spacing w:after="120" w:line="120" w:lineRule="atLeast"/>
      <w:jc w:val="both"/>
    </w:pPr>
    <w:rPr>
      <w:rFonts w:ascii="Futura T OT" w:hAnsi="Futura T OT"/>
      <w:b/>
      <w:sz w:val="20"/>
      <w:szCs w:val="20"/>
    </w:rPr>
  </w:style>
  <w:style w:type="paragraph" w:customStyle="1" w:styleId="PartiesBody">
    <w:name w:val="Parties Body"/>
    <w:basedOn w:val="Normln"/>
    <w:link w:val="PartiesBodyChar"/>
    <w:qFormat/>
    <w:rsid w:val="00611767"/>
    <w:pPr>
      <w:spacing w:after="120" w:line="120" w:lineRule="atLeast"/>
      <w:ind w:left="567"/>
      <w:jc w:val="both"/>
    </w:pPr>
    <w:rPr>
      <w:rFonts w:ascii="Futura T OT" w:hAnsi="Futura T OT"/>
      <w:sz w:val="20"/>
      <w:szCs w:val="20"/>
    </w:rPr>
  </w:style>
  <w:style w:type="paragraph" w:customStyle="1" w:styleId="Level1CtrlShiftL1">
    <w:name w:val="Level 1 (CtrlShift + L1)"/>
    <w:basedOn w:val="Body0CtrlShiftB0"/>
    <w:link w:val="Level1CtrlShiftL1Char"/>
    <w:qFormat/>
    <w:rsid w:val="00611767"/>
    <w:pPr>
      <w:keepNext/>
      <w:keepLines/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qFormat/>
    <w:rsid w:val="00611767"/>
    <w:pPr>
      <w:outlineLvl w:val="1"/>
    </w:pPr>
    <w:rPr>
      <w:b w:val="0"/>
      <w:bCs w:val="0"/>
      <w:szCs w:val="26"/>
    </w:rPr>
  </w:style>
  <w:style w:type="paragraph" w:customStyle="1" w:styleId="Level3CtrlShiftL3">
    <w:name w:val="Level 3 (CtrlShift + L3)"/>
    <w:basedOn w:val="Level2CtrlShiftL2"/>
    <w:link w:val="Level3CtrlShiftL3Char"/>
    <w:qFormat/>
    <w:rsid w:val="00611767"/>
    <w:pPr>
      <w:outlineLvl w:val="2"/>
    </w:pPr>
    <w:rPr>
      <w:bCs/>
    </w:rPr>
  </w:style>
  <w:style w:type="paragraph" w:customStyle="1" w:styleId="Level4CtrlShiftL4">
    <w:name w:val="Level 4 (CtrlShift + L4)"/>
    <w:basedOn w:val="Level3CtrlShiftL3"/>
    <w:qFormat/>
    <w:rsid w:val="00611767"/>
    <w:pPr>
      <w:tabs>
        <w:tab w:val="left" w:pos="360"/>
      </w:tabs>
      <w:ind w:left="567"/>
      <w:outlineLvl w:val="3"/>
    </w:pPr>
    <w:rPr>
      <w:bCs w:val="0"/>
      <w:iCs/>
    </w:rPr>
  </w:style>
  <w:style w:type="paragraph" w:customStyle="1" w:styleId="Body0CtrlShiftB0">
    <w:name w:val="Body 0 (CtrlShift + B0)"/>
    <w:basedOn w:val="Normln"/>
    <w:qFormat/>
    <w:rsid w:val="00611767"/>
    <w:pPr>
      <w:spacing w:after="120" w:line="120" w:lineRule="atLeast"/>
      <w:jc w:val="both"/>
    </w:pPr>
    <w:rPr>
      <w:rFonts w:ascii="Futura T OT" w:hAnsi="Futura T OT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E200F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E200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E20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E20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paragraph" w:styleId="Podnadpis">
    <w:name w:val="Subtitle"/>
    <w:basedOn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qFormat/>
    <w:rsid w:val="003D18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numbering" w:customStyle="1" w:styleId="PartiesList">
    <w:name w:val="Parties List"/>
    <w:uiPriority w:val="99"/>
    <w:qFormat/>
    <w:rsid w:val="00611767"/>
  </w:style>
  <w:style w:type="numbering" w:customStyle="1" w:styleId="LevelList">
    <w:name w:val="Level List"/>
    <w:uiPriority w:val="99"/>
    <w:qFormat/>
    <w:rsid w:val="00611767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A5C65"/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6AKsFdwbBfeZKQNTbE0y4HwBKzg==">AMUW2mXeWlrgnrj/QWj9uVPlusXn2Ewu1XMj0KJuFs66/rGrsFSEjb199ZXLyFgpHkgiSv5sUAJXVyLQn8DG1pdItkqbpbG0gSkBMMgoxO8325/GhQjL/hm8VB8K5R8KyAkxOmx2LyJIq+gQx5R1fzo1v4FpxtBB7yq9br7expnKmotZLWmVkuQ=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2044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Pivoda</dc:creator>
  <dc:description/>
  <cp:lastModifiedBy>Ondřej Petr</cp:lastModifiedBy>
  <cp:revision>2</cp:revision>
  <cp:lastPrinted>2021-06-16T08:07:00Z</cp:lastPrinted>
  <dcterms:created xsi:type="dcterms:W3CDTF">2021-06-16T08:20:00Z</dcterms:created>
  <dcterms:modified xsi:type="dcterms:W3CDTF">2021-06-16T08:20:00Z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