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F9" w:rsidRDefault="00110F5E">
      <w:pPr>
        <w:pStyle w:val="Nzev"/>
        <w:spacing w:before="80"/>
        <w:ind w:left="3283" w:right="3148"/>
      </w:pPr>
      <w:r>
        <w:rPr>
          <w:color w:val="808080"/>
        </w:rPr>
        <w:t>Smlouva č. 1190400182 o poskytnutí podpory</w:t>
      </w:r>
    </w:p>
    <w:p w:rsidR="004022F9" w:rsidRDefault="00110F5E">
      <w:pPr>
        <w:pStyle w:val="Nzev"/>
      </w:pPr>
      <w:r>
        <w:rPr>
          <w:color w:val="808080"/>
        </w:rPr>
        <w:t>ze Státního fondu životního prostředí České republiky</w:t>
      </w:r>
    </w:p>
    <w:p w:rsidR="004022F9" w:rsidRDefault="004022F9">
      <w:pPr>
        <w:pStyle w:val="Zkladntext"/>
        <w:spacing w:before="11"/>
        <w:ind w:left="0"/>
        <w:jc w:val="left"/>
        <w:rPr>
          <w:sz w:val="59"/>
        </w:rPr>
      </w:pPr>
    </w:p>
    <w:p w:rsidR="004022F9" w:rsidRDefault="00110F5E">
      <w:pPr>
        <w:pStyle w:val="Zkladntext"/>
        <w:ind w:left="242"/>
        <w:jc w:val="left"/>
      </w:pPr>
      <w:r>
        <w:t>Smluvní strany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110F5E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4022F9" w:rsidRDefault="00110F5E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4022F9" w:rsidRDefault="00110F5E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4022F9" w:rsidRDefault="00110F5E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4022F9" w:rsidRDefault="00110F5E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4022F9" w:rsidRDefault="00110F5E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4022F9" w:rsidRDefault="00110F5E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4022F9" w:rsidRDefault="004022F9">
      <w:pPr>
        <w:pStyle w:val="Zkladntext"/>
        <w:spacing w:before="11"/>
        <w:ind w:left="0"/>
        <w:jc w:val="left"/>
        <w:rPr>
          <w:sz w:val="19"/>
        </w:rPr>
      </w:pPr>
    </w:p>
    <w:p w:rsidR="004022F9" w:rsidRDefault="00110F5E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4022F9" w:rsidRDefault="004022F9">
      <w:pPr>
        <w:pStyle w:val="Zkladntext"/>
        <w:ind w:left="0"/>
        <w:jc w:val="left"/>
      </w:pPr>
    </w:p>
    <w:p w:rsidR="004022F9" w:rsidRDefault="00110F5E">
      <w:pPr>
        <w:pStyle w:val="Nadpis1"/>
        <w:ind w:right="0"/>
        <w:jc w:val="left"/>
      </w:pPr>
      <w:r>
        <w:t>VODOVODY A KANALIZACE</w:t>
      </w:r>
    </w:p>
    <w:p w:rsidR="004022F9" w:rsidRDefault="00110F5E">
      <w:pPr>
        <w:pStyle w:val="Zkladntext"/>
        <w:spacing w:before="1"/>
        <w:ind w:left="242"/>
        <w:jc w:val="left"/>
      </w:pPr>
      <w:r>
        <w:t>dobrovolný svazek obcí</w:t>
      </w:r>
    </w:p>
    <w:p w:rsidR="004022F9" w:rsidRDefault="00110F5E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Kubišova 1172/11, 674 01 Třebíč – Horka - Domky</w:t>
      </w:r>
    </w:p>
    <w:p w:rsidR="004022F9" w:rsidRDefault="00110F5E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IČO:</w:t>
      </w:r>
      <w:r>
        <w:tab/>
        <w:t>60418885</w:t>
      </w:r>
    </w:p>
    <w:p w:rsidR="004022F9" w:rsidRDefault="00110F5E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zastoupený:</w:t>
      </w:r>
      <w:r>
        <w:tab/>
        <w:t>Ing. Karlem N e d v ě d i c k ý m,</w:t>
      </w:r>
      <w:r>
        <w:rPr>
          <w:spacing w:val="-6"/>
        </w:rPr>
        <w:t xml:space="preserve"> </w:t>
      </w:r>
      <w:r>
        <w:t>tajemníkem</w:t>
      </w:r>
    </w:p>
    <w:p w:rsidR="004022F9" w:rsidRDefault="00110F5E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1B3436" w:rsidRPr="001B3436">
        <w:rPr>
          <w:highlight w:val="yellow"/>
        </w:rPr>
        <w:t>xxxx</w:t>
      </w:r>
    </w:p>
    <w:p w:rsidR="001B3436" w:rsidRDefault="00110F5E">
      <w:pPr>
        <w:pStyle w:val="Zkladntext"/>
        <w:tabs>
          <w:tab w:val="left" w:pos="3122"/>
        </w:tabs>
        <w:spacing w:before="1"/>
        <w:ind w:left="242" w:right="5075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B3436" w:rsidRPr="001B3436">
        <w:rPr>
          <w:w w:val="95"/>
          <w:highlight w:val="yellow"/>
        </w:rPr>
        <w:t>xxxx</w:t>
      </w:r>
      <w:bookmarkStart w:id="0" w:name="_GoBack"/>
      <w:bookmarkEnd w:id="0"/>
    </w:p>
    <w:p w:rsidR="004022F9" w:rsidRDefault="00110F5E">
      <w:pPr>
        <w:pStyle w:val="Zkladntext"/>
        <w:tabs>
          <w:tab w:val="left" w:pos="3122"/>
        </w:tabs>
        <w:spacing w:before="1"/>
        <w:ind w:left="242" w:right="5075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spacing w:before="12"/>
        <w:ind w:left="0"/>
        <w:jc w:val="left"/>
        <w:rPr>
          <w:sz w:val="33"/>
        </w:rPr>
      </w:pPr>
    </w:p>
    <w:p w:rsidR="004022F9" w:rsidRDefault="00110F5E">
      <w:pPr>
        <w:pStyle w:val="Zkladntext"/>
        <w:spacing w:before="1"/>
        <w:ind w:left="242"/>
        <w:jc w:val="left"/>
      </w:pPr>
      <w:r>
        <w:t>se dohodly takto: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110F5E">
      <w:pPr>
        <w:pStyle w:val="Nadpis1"/>
        <w:spacing w:before="187"/>
        <w:ind w:left="3276"/>
      </w:pPr>
      <w:r>
        <w:t>I.</w:t>
      </w:r>
    </w:p>
    <w:p w:rsidR="004022F9" w:rsidRDefault="00110F5E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4022F9" w:rsidRDefault="004022F9">
      <w:pPr>
        <w:pStyle w:val="Zkladntext"/>
        <w:spacing w:before="12"/>
        <w:ind w:left="0"/>
        <w:jc w:val="left"/>
        <w:rPr>
          <w:b/>
          <w:sz w:val="19"/>
        </w:rPr>
      </w:pPr>
    </w:p>
    <w:p w:rsidR="004022F9" w:rsidRDefault="00110F5E">
      <w:pPr>
        <w:pStyle w:val="Odstavecseseznamem"/>
        <w:numPr>
          <w:ilvl w:val="0"/>
          <w:numId w:val="8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022F9" w:rsidRDefault="00110F5E">
      <w:pPr>
        <w:pStyle w:val="Zkladntext"/>
        <w:ind w:right="111"/>
      </w:pPr>
      <w:r>
        <w:t xml:space="preserve">„Smlouva“) se uzavírá na základě Rozhodnutí ministra životního prostředí č. 1190400182 o poskytnutí finančních prostředků ze Státního </w:t>
      </w:r>
      <w:r>
        <w:t>fondu životního prostředí ČR ze dne 20. 07.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4022F9" w:rsidRDefault="00110F5E">
      <w:pPr>
        <w:pStyle w:val="Zkladntext"/>
        <w:spacing w:line="265" w:lineRule="exact"/>
      </w:pPr>
      <w:r>
        <w:t>„Směrnice MŽP“), platné ke dni podání žádosti.</w:t>
      </w:r>
    </w:p>
    <w:p w:rsidR="004022F9" w:rsidRDefault="00110F5E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4/2019    k předkládání žádostí o poskytnutí podpory v rámci Národního programu Životní prostředí, vydanou podle čl</w:t>
      </w:r>
      <w:r>
        <w:rPr>
          <w:sz w:val="20"/>
        </w:rPr>
        <w:t>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4022F9" w:rsidRDefault="004022F9">
      <w:pPr>
        <w:jc w:val="both"/>
        <w:rPr>
          <w:sz w:val="20"/>
        </w:rPr>
        <w:sectPr w:rsidR="004022F9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4022F9" w:rsidRDefault="00110F5E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4022F9" w:rsidRDefault="00110F5E">
      <w:pPr>
        <w:pStyle w:val="Nadpis1"/>
        <w:spacing w:before="120"/>
        <w:ind w:left="3110" w:right="0"/>
        <w:jc w:val="left"/>
      </w:pPr>
      <w:r>
        <w:t>„Stařeč – kanalizace Červená Hospoda“</w:t>
      </w:r>
    </w:p>
    <w:p w:rsidR="004022F9" w:rsidRDefault="00110F5E">
      <w:pPr>
        <w:pStyle w:val="Zkladntext"/>
        <w:spacing w:before="121"/>
        <w:jc w:val="left"/>
      </w:pPr>
      <w:r>
        <w:t>(dále jen „projekt“ nebo „akce“) realizovaná v letech 2020 až 2022. Akce je investiční.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110F5E">
      <w:pPr>
        <w:pStyle w:val="Nadpis1"/>
        <w:spacing w:before="187" w:line="265" w:lineRule="exact"/>
        <w:ind w:left="3283" w:right="2799"/>
      </w:pPr>
      <w:r>
        <w:t>II.</w:t>
      </w:r>
    </w:p>
    <w:p w:rsidR="004022F9" w:rsidRDefault="00110F5E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4022F9" w:rsidRDefault="004022F9">
      <w:pPr>
        <w:pStyle w:val="Zkladntext"/>
        <w:spacing w:before="1"/>
        <w:ind w:left="0"/>
        <w:jc w:val="left"/>
        <w:rPr>
          <w:b/>
        </w:rPr>
      </w:pPr>
    </w:p>
    <w:p w:rsidR="004022F9" w:rsidRDefault="00110F5E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879,96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 šestnáct milionů dvě sta padesát osm tisíc osm set sedmdesát devět korun českých a devadesát šest haléřů).</w:t>
      </w:r>
    </w:p>
    <w:p w:rsidR="004022F9" w:rsidRDefault="00110F5E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25 504 125,44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4022F9" w:rsidRDefault="00110F5E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odpora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4022F9" w:rsidRDefault="00110F5E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 průběžně, v průběhu realizace akce) překročí základ pro stanovení podpory (popřípadě jeho část odpovídající postupu realizace akce), uhradí příjemce pod</w:t>
      </w:r>
      <w:r>
        <w:rPr>
          <w:sz w:val="20"/>
        </w:rPr>
        <w:t>pory částku tohoto překročení z vlastních zdrojů.</w:t>
      </w:r>
    </w:p>
    <w:p w:rsidR="004022F9" w:rsidRDefault="00110F5E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4022F9" w:rsidRDefault="00110F5E">
      <w:pPr>
        <w:pStyle w:val="Odstavecseseznamem"/>
        <w:numPr>
          <w:ilvl w:val="0"/>
          <w:numId w:val="7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4022F9" w:rsidRDefault="00110F5E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</w:t>
      </w:r>
      <w:r>
        <w:rPr>
          <w:sz w:val="20"/>
        </w:rPr>
        <w:t>i určování způsobilých výdajů akce a z nich odvozené výše podpory se bude vycházet ze znění čl. 9 Výzvy.</w:t>
      </w:r>
    </w:p>
    <w:p w:rsidR="004022F9" w:rsidRDefault="004022F9">
      <w:pPr>
        <w:pStyle w:val="Zkladntext"/>
        <w:spacing w:before="1"/>
        <w:ind w:left="0"/>
        <w:jc w:val="left"/>
      </w:pPr>
    </w:p>
    <w:p w:rsidR="004022F9" w:rsidRDefault="00110F5E">
      <w:pPr>
        <w:pStyle w:val="Nadpis1"/>
        <w:ind w:left="3275"/>
      </w:pPr>
      <w:r>
        <w:t>III.</w:t>
      </w:r>
    </w:p>
    <w:p w:rsidR="004022F9" w:rsidRDefault="00110F5E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022F9" w:rsidRDefault="004022F9">
      <w:pPr>
        <w:pStyle w:val="Zkladntext"/>
        <w:ind w:left="0"/>
        <w:jc w:val="left"/>
        <w:rPr>
          <w:b/>
        </w:rPr>
      </w:pP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</w:t>
      </w:r>
      <w:r>
        <w:rPr>
          <w:sz w:val="20"/>
        </w:rPr>
        <w:t>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</w:t>
      </w:r>
      <w:r>
        <w:rPr>
          <w:sz w:val="20"/>
        </w:rPr>
        <w:t>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4022F9" w:rsidRDefault="004022F9">
      <w:pPr>
        <w:pStyle w:val="Zkladntext"/>
        <w:spacing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0"/>
      </w:tblGrid>
      <w:tr w:rsidR="004022F9">
        <w:trPr>
          <w:trHeight w:val="385"/>
        </w:trPr>
        <w:tc>
          <w:tcPr>
            <w:tcW w:w="4779" w:type="dxa"/>
          </w:tcPr>
          <w:p w:rsidR="004022F9" w:rsidRDefault="00110F5E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0" w:type="dxa"/>
          </w:tcPr>
          <w:p w:rsidR="004022F9" w:rsidRDefault="00110F5E">
            <w:pPr>
              <w:pStyle w:val="TableParagraph"/>
              <w:spacing w:before="120" w:line="246" w:lineRule="exact"/>
              <w:ind w:left="1644" w:right="1642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4022F9">
        <w:trPr>
          <w:trHeight w:val="385"/>
        </w:trPr>
        <w:tc>
          <w:tcPr>
            <w:tcW w:w="4779" w:type="dxa"/>
          </w:tcPr>
          <w:p w:rsidR="004022F9" w:rsidRDefault="00110F5E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0" w:type="dxa"/>
          </w:tcPr>
          <w:p w:rsidR="004022F9" w:rsidRDefault="00110F5E">
            <w:pPr>
              <w:pStyle w:val="TableParagraph"/>
              <w:spacing w:before="120" w:line="246" w:lineRule="exact"/>
              <w:ind w:left="1645" w:right="1642"/>
              <w:jc w:val="center"/>
              <w:rPr>
                <w:sz w:val="20"/>
              </w:rPr>
            </w:pPr>
            <w:r>
              <w:rPr>
                <w:sz w:val="20"/>
              </w:rPr>
              <w:t>12 175 994,89</w:t>
            </w:r>
          </w:p>
        </w:tc>
      </w:tr>
      <w:tr w:rsidR="004022F9">
        <w:trPr>
          <w:trHeight w:val="386"/>
        </w:trPr>
        <w:tc>
          <w:tcPr>
            <w:tcW w:w="4779" w:type="dxa"/>
          </w:tcPr>
          <w:p w:rsidR="004022F9" w:rsidRDefault="00110F5E">
            <w:pPr>
              <w:pStyle w:val="TableParagraph"/>
              <w:spacing w:before="120" w:line="246" w:lineRule="exact"/>
              <w:ind w:left="217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0" w:type="dxa"/>
          </w:tcPr>
          <w:p w:rsidR="004022F9" w:rsidRDefault="00110F5E">
            <w:pPr>
              <w:pStyle w:val="TableParagraph"/>
              <w:spacing w:before="120" w:line="246" w:lineRule="exact"/>
              <w:ind w:left="1645" w:right="1640"/>
              <w:jc w:val="center"/>
              <w:rPr>
                <w:sz w:val="20"/>
              </w:rPr>
            </w:pPr>
            <w:r>
              <w:rPr>
                <w:sz w:val="20"/>
              </w:rPr>
              <w:t>4 082 885,07</w:t>
            </w:r>
          </w:p>
        </w:tc>
      </w:tr>
    </w:tbl>
    <w:p w:rsidR="004022F9" w:rsidRDefault="004022F9">
      <w:pPr>
        <w:pStyle w:val="Zkladntext"/>
        <w:spacing w:before="11"/>
        <w:ind w:left="0"/>
        <w:jc w:val="left"/>
        <w:rPr>
          <w:sz w:val="19"/>
        </w:rPr>
      </w:pP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13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4"/>
          <w:sz w:val="20"/>
        </w:rPr>
        <w:t xml:space="preserve"> </w:t>
      </w:r>
      <w:r>
        <w:rPr>
          <w:sz w:val="20"/>
        </w:rPr>
        <w:t>(bod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0)</w:t>
      </w:r>
      <w:r>
        <w:rPr>
          <w:spacing w:val="1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3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2"/>
          <w:sz w:val="20"/>
        </w:rPr>
        <w:t xml:space="preserve"> </w:t>
      </w:r>
      <w:r>
        <w:rPr>
          <w:sz w:val="20"/>
        </w:rPr>
        <w:t>oprávněnost</w:t>
      </w:r>
    </w:p>
    <w:p w:rsidR="004022F9" w:rsidRDefault="004022F9">
      <w:pPr>
        <w:jc w:val="both"/>
        <w:rPr>
          <w:sz w:val="20"/>
        </w:rPr>
        <w:sectPr w:rsidR="004022F9">
          <w:pgSz w:w="12240" w:h="15840"/>
          <w:pgMar w:top="1060" w:right="1020" w:bottom="1160" w:left="1460" w:header="0" w:footer="882" w:gutter="0"/>
          <w:cols w:space="708"/>
        </w:sectPr>
      </w:pPr>
    </w:p>
    <w:p w:rsidR="004022F9" w:rsidRDefault="00110F5E">
      <w:pPr>
        <w:pStyle w:val="Zkladntext"/>
        <w:spacing w:before="73"/>
      </w:pPr>
      <w:r>
        <w:lastRenderedPageBreak/>
        <w:t>vynaložených finančních</w:t>
      </w:r>
      <w:r>
        <w:rPr>
          <w:spacing w:val="-12"/>
        </w:rPr>
        <w:t xml:space="preserve"> </w:t>
      </w:r>
      <w:r>
        <w:t>prostředků.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</w:t>
      </w:r>
      <w:r>
        <w:rPr>
          <w:sz w:val="20"/>
        </w:rPr>
        <w:t>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4"/>
          <w:sz w:val="20"/>
        </w:rPr>
        <w:t xml:space="preserve"> </w:t>
      </w:r>
      <w:r>
        <w:rPr>
          <w:sz w:val="20"/>
        </w:rPr>
        <w:t>akce.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</w:t>
      </w:r>
      <w:r>
        <w:rPr>
          <w:sz w:val="20"/>
        </w:rPr>
        <w:t>nčně platebního kalendáře v AIS SFŽP a na základě</w:t>
      </w:r>
      <w:r>
        <w:rPr>
          <w:spacing w:val="42"/>
          <w:sz w:val="20"/>
        </w:rPr>
        <w:t xml:space="preserve"> </w:t>
      </w:r>
      <w:r>
        <w:rPr>
          <w:sz w:val="20"/>
        </w:rPr>
        <w:t>žádostí</w:t>
      </w:r>
    </w:p>
    <w:p w:rsidR="004022F9" w:rsidRDefault="00110F5E">
      <w:pPr>
        <w:pStyle w:val="Zkladntext"/>
        <w:spacing w:line="265" w:lineRule="exact"/>
      </w:pPr>
      <w:r>
        <w:t>o uvolnění finančních prostředků doručených Fondu příjemcem podpory prostřednictvím AIS SFŽP.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4022F9" w:rsidRDefault="00110F5E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</w:t>
      </w:r>
      <w:r>
        <w:rPr>
          <w:sz w:val="20"/>
        </w:rPr>
        <w:t>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</w:t>
      </w:r>
      <w:r>
        <w:rPr>
          <w:sz w:val="20"/>
        </w:rPr>
        <w:t>edpisy z hlediska věcné, formální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4022F9" w:rsidRDefault="00110F5E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kopie bankovních výpisů dokladující uhrazení faktur zhotoviteli</w:t>
      </w:r>
      <w:r>
        <w:rPr>
          <w:sz w:val="20"/>
        </w:rPr>
        <w:t>, opatřené originálním, popřípadě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</w:t>
      </w:r>
      <w:r>
        <w:rPr>
          <w:sz w:val="20"/>
        </w:rPr>
        <w:t>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 xml:space="preserve">V případě, že příjemce podpory obdrží od zhotovitele storno nebo dobropis faktury, je povinen tyto doklady včetně zdůvodnění a kopie bankovního výpisu s </w:t>
      </w:r>
      <w:r>
        <w:rPr>
          <w:sz w:val="20"/>
        </w:rPr>
        <w:t>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4022F9" w:rsidRDefault="00110F5E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z w:val="20"/>
        </w:rPr>
        <w:t xml:space="preserve"> započtení vzájemných plnění stejného druhu (pohledávek a závazků) vzniklých na základě smluvního vztahu mezi příjemcem faktury a fakturujícím zhotovitelem, podepsanou příjemcem podpory i zhotovitelem. Tato oboustranná vzájemná dohoda musí být uzavřena v s</w:t>
      </w:r>
      <w:r>
        <w:rPr>
          <w:sz w:val="20"/>
        </w:rPr>
        <w:t>ouladu s občanským zákoníkem. V dohodě musí být uvedeny smluvní strany, identifikace projektu a faktur/y (v případě odlišného</w:t>
      </w:r>
      <w:r>
        <w:rPr>
          <w:spacing w:val="47"/>
          <w:sz w:val="20"/>
        </w:rPr>
        <w:t xml:space="preserve"> </w:t>
      </w:r>
      <w:r>
        <w:rPr>
          <w:sz w:val="20"/>
        </w:rPr>
        <w:t>variabilního</w:t>
      </w:r>
      <w:r>
        <w:rPr>
          <w:spacing w:val="48"/>
          <w:sz w:val="20"/>
        </w:rPr>
        <w:t xml:space="preserve"> </w:t>
      </w:r>
      <w:r>
        <w:rPr>
          <w:sz w:val="20"/>
        </w:rPr>
        <w:t>symbolu</w:t>
      </w:r>
      <w:r>
        <w:rPr>
          <w:spacing w:val="46"/>
          <w:sz w:val="20"/>
        </w:rPr>
        <w:t xml:space="preserve"> </w:t>
      </w:r>
      <w:r>
        <w:rPr>
          <w:sz w:val="20"/>
        </w:rPr>
        <w:t>oproti</w:t>
      </w:r>
      <w:r>
        <w:rPr>
          <w:spacing w:val="47"/>
          <w:sz w:val="20"/>
        </w:rPr>
        <w:t xml:space="preserve"> </w:t>
      </w:r>
      <w:r>
        <w:rPr>
          <w:sz w:val="20"/>
        </w:rPr>
        <w:t>číslu</w:t>
      </w:r>
      <w:r>
        <w:rPr>
          <w:spacing w:val="47"/>
          <w:sz w:val="20"/>
        </w:rPr>
        <w:t xml:space="preserve"> </w:t>
      </w:r>
      <w:r>
        <w:rPr>
          <w:sz w:val="20"/>
        </w:rPr>
        <w:t>faktury</w:t>
      </w:r>
      <w:r>
        <w:rPr>
          <w:spacing w:val="47"/>
          <w:sz w:val="20"/>
        </w:rPr>
        <w:t xml:space="preserve"> </w:t>
      </w:r>
      <w:r>
        <w:rPr>
          <w:sz w:val="20"/>
        </w:rPr>
        <w:t>je</w:t>
      </w:r>
      <w:r>
        <w:rPr>
          <w:spacing w:val="45"/>
          <w:sz w:val="20"/>
        </w:rPr>
        <w:t xml:space="preserve"> </w:t>
      </w:r>
      <w:r>
        <w:rPr>
          <w:sz w:val="20"/>
        </w:rPr>
        <w:t>vhodné</w:t>
      </w:r>
      <w:r>
        <w:rPr>
          <w:spacing w:val="47"/>
          <w:sz w:val="20"/>
        </w:rPr>
        <w:t xml:space="preserve"> </w:t>
      </w:r>
      <w:r>
        <w:rPr>
          <w:sz w:val="20"/>
        </w:rPr>
        <w:t>uvést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6"/>
          <w:sz w:val="20"/>
        </w:rPr>
        <w:t xml:space="preserve"> </w:t>
      </w:r>
      <w:r>
        <w:rPr>
          <w:sz w:val="20"/>
        </w:rPr>
        <w:t>variabilní</w:t>
      </w:r>
      <w:r>
        <w:rPr>
          <w:spacing w:val="47"/>
          <w:sz w:val="20"/>
        </w:rPr>
        <w:t xml:space="preserve"> </w:t>
      </w:r>
      <w:r>
        <w:rPr>
          <w:sz w:val="20"/>
        </w:rPr>
        <w:t>symbol),</w:t>
      </w:r>
      <w:r>
        <w:rPr>
          <w:spacing w:val="47"/>
          <w:sz w:val="20"/>
        </w:rPr>
        <w:t xml:space="preserve"> </w:t>
      </w:r>
      <w:r>
        <w:rPr>
          <w:sz w:val="20"/>
        </w:rPr>
        <w:t>vzájemně</w:t>
      </w:r>
    </w:p>
    <w:p w:rsidR="004022F9" w:rsidRDefault="004022F9">
      <w:pPr>
        <w:jc w:val="both"/>
        <w:rPr>
          <w:sz w:val="20"/>
        </w:rPr>
        <w:sectPr w:rsidR="004022F9">
          <w:pgSz w:w="12240" w:h="15840"/>
          <w:pgMar w:top="1060" w:right="1020" w:bottom="1080" w:left="1460" w:header="0" w:footer="882" w:gutter="0"/>
          <w:cols w:space="708"/>
        </w:sectPr>
      </w:pPr>
    </w:p>
    <w:p w:rsidR="004022F9" w:rsidRDefault="00110F5E">
      <w:pPr>
        <w:pStyle w:val="Zkladntext"/>
        <w:spacing w:before="73"/>
        <w:jc w:val="left"/>
      </w:pPr>
      <w:r>
        <w:lastRenderedPageBreak/>
        <w:t>započtené částky a měny, datum podpisu smluvních stran a podpisy obou smluvních stran.</w:t>
      </w:r>
    </w:p>
    <w:p w:rsidR="004022F9" w:rsidRDefault="004022F9">
      <w:pPr>
        <w:pStyle w:val="Zkladntext"/>
        <w:spacing w:before="1"/>
        <w:ind w:left="0"/>
        <w:jc w:val="left"/>
      </w:pPr>
    </w:p>
    <w:p w:rsidR="004022F9" w:rsidRDefault="00110F5E">
      <w:pPr>
        <w:pStyle w:val="Nadpis1"/>
        <w:ind w:left="3279"/>
      </w:pPr>
      <w:r>
        <w:t>IV.</w:t>
      </w:r>
    </w:p>
    <w:p w:rsidR="004022F9" w:rsidRDefault="00110F5E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4022F9" w:rsidRDefault="004022F9">
      <w:pPr>
        <w:pStyle w:val="Zkladntext"/>
        <w:spacing w:before="1"/>
        <w:ind w:left="0"/>
        <w:jc w:val="left"/>
        <w:rPr>
          <w:b/>
        </w:rPr>
      </w:pPr>
    </w:p>
    <w:p w:rsidR="004022F9" w:rsidRDefault="00110F5E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768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splní účel akce „Stařeč – kanalizace Červená Hospoda“ tím, že akce bude prov</w:t>
      </w:r>
      <w:r>
        <w:rPr>
          <w:sz w:val="20"/>
        </w:rPr>
        <w:t>edena v souladu se žádostí o podporu a jejími přílohami a touto Smlouvou,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v délce 2,96</w:t>
      </w:r>
      <w:r>
        <w:rPr>
          <w:spacing w:val="-1"/>
          <w:sz w:val="20"/>
        </w:rPr>
        <w:t xml:space="preserve"> </w:t>
      </w:r>
      <w:r>
        <w:rPr>
          <w:sz w:val="20"/>
        </w:rPr>
        <w:t>km,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66"/>
        </w:tabs>
        <w:spacing w:before="120"/>
        <w:ind w:left="810" w:right="113" w:hanging="286"/>
        <w:jc w:val="both"/>
        <w:rPr>
          <w:rFonts w:ascii="Arial" w:hAnsi="Arial"/>
          <w:sz w:val="23"/>
        </w:rPr>
      </w:pPr>
      <w:r>
        <w:tab/>
      </w:r>
      <w:r>
        <w:rPr>
          <w:sz w:val="20"/>
        </w:rPr>
        <w:t>k termínu pro závěrečné vyhodnocení akce (ZVA) podle písmene q) bude odstraňováno znečištění</w:t>
      </w:r>
      <w:r>
        <w:rPr>
          <w:position w:val="2"/>
          <w:sz w:val="20"/>
        </w:rPr>
        <w:t xml:space="preserve"> odpovídající 150 EO, na ČOV Třebíč bude odstraňováno navíc 6,41 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3"/>
          <w:sz w:val="20"/>
        </w:rPr>
        <w:t xml:space="preserve"> </w:t>
      </w:r>
      <w:r>
        <w:rPr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3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54"/>
          <w:sz w:val="20"/>
        </w:rPr>
        <w:t xml:space="preserve"> </w:t>
      </w:r>
      <w:r>
        <w:rPr>
          <w:sz w:val="20"/>
        </w:rPr>
        <w:t>předpisů,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/>
        <w:jc w:val="both"/>
        <w:rPr>
          <w:sz w:val="20"/>
        </w:rPr>
      </w:pPr>
      <w:r>
        <w:rPr>
          <w:sz w:val="20"/>
        </w:rPr>
        <w:t xml:space="preserve">nejpozději měsíc po </w:t>
      </w:r>
      <w:r>
        <w:rPr>
          <w:sz w:val="20"/>
        </w:rPr>
        <w:t>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</w:t>
      </w:r>
      <w:r>
        <w:rPr>
          <w:sz w:val="20"/>
        </w:rPr>
        <w:t>odle této Smlouvy, jakož i budovy (stavby) a pozemky, ve kterých (na kterých) mají být umístěny (s výjimkou pozemků, kterými je pouze vedena liniová stavba). Příjemce podpory je povinen zabezpečit, že předmět podpory nebude převeden bez souhlasu Fondu na j</w:t>
      </w:r>
      <w:r>
        <w:rPr>
          <w:sz w:val="20"/>
        </w:rPr>
        <w:t xml:space="preserve">inou osobu nejméně po dobu 10 let od ukončení akce. V případě, že Fond převod předmětu podpory odsouhlasí, příjemce podpory zabezpečí, že účel, pro který je poskytnuta podpora podle této Smlouvy, bude řádně plněn po stanovenou dobu. Po tutéž dobu příjemce </w:t>
      </w:r>
      <w:r>
        <w:rPr>
          <w:sz w:val="20"/>
        </w:rPr>
        <w:t>podpory zabezpečí řádný provoz předmětu</w:t>
      </w:r>
      <w:r>
        <w:rPr>
          <w:spacing w:val="-18"/>
          <w:sz w:val="20"/>
        </w:rPr>
        <w:t xml:space="preserve"> </w:t>
      </w:r>
      <w:r>
        <w:rPr>
          <w:sz w:val="20"/>
        </w:rPr>
        <w:t>podpory,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prospěch jiné osoby (vyjma takových věcných břemen, u kterých výkon práv z nich odvozený neohrozí real</w:t>
      </w:r>
      <w:r>
        <w:rPr>
          <w:sz w:val="20"/>
        </w:rPr>
        <w:t>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 xml:space="preserve">bude dodržovat pravidla publicity dle </w:t>
      </w:r>
      <w:r>
        <w:rPr>
          <w:sz w:val="20"/>
        </w:rPr>
        <w:t>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Fondu</w:t>
      </w:r>
      <w:r>
        <w:rPr>
          <w:spacing w:val="6"/>
          <w:sz w:val="20"/>
        </w:rPr>
        <w:t xml:space="preserve"> </w:t>
      </w:r>
      <w:r>
        <w:rPr>
          <w:sz w:val="20"/>
        </w:rPr>
        <w:t>dokládat</w:t>
      </w:r>
      <w:r>
        <w:rPr>
          <w:spacing w:val="5"/>
          <w:sz w:val="20"/>
        </w:rPr>
        <w:t xml:space="preserve"> </w:t>
      </w:r>
      <w:r>
        <w:rPr>
          <w:sz w:val="20"/>
        </w:rPr>
        <w:t>úhrady</w:t>
      </w:r>
      <w:r>
        <w:rPr>
          <w:spacing w:val="6"/>
          <w:sz w:val="20"/>
        </w:rPr>
        <w:t xml:space="preserve"> </w:t>
      </w:r>
      <w:r>
        <w:rPr>
          <w:sz w:val="20"/>
        </w:rPr>
        <w:t>faktur,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tak,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</w:p>
    <w:p w:rsidR="004022F9" w:rsidRDefault="004022F9">
      <w:pPr>
        <w:jc w:val="both"/>
        <w:rPr>
          <w:sz w:val="20"/>
        </w:rPr>
        <w:sectPr w:rsidR="004022F9">
          <w:pgSz w:w="12240" w:h="15840"/>
          <w:pgMar w:top="1060" w:right="1020" w:bottom="1120" w:left="1460" w:header="0" w:footer="882" w:gutter="0"/>
          <w:cols w:space="708"/>
        </w:sectPr>
      </w:pPr>
    </w:p>
    <w:p w:rsidR="004022F9" w:rsidRDefault="00110F5E">
      <w:pPr>
        <w:pStyle w:val="Zkladntext"/>
        <w:spacing w:before="73"/>
        <w:ind w:left="808" w:right="112"/>
      </w:pPr>
      <w:r>
        <w:lastRenderedPageBreak/>
        <w:t>o uvolnění finančních prostředků zahrne neuhrazené faktury, je povinen nejpozději do 10</w:t>
      </w:r>
      <w:r>
        <w:rPr>
          <w:spacing w:val="-39"/>
        </w:rPr>
        <w:t xml:space="preserve"> </w:t>
      </w:r>
      <w:r>
        <w:t>pracovních dnů od data poskytnutí (splatn</w:t>
      </w:r>
      <w:r>
        <w:t>osti) podpory uskutečnit kompletní úhradu doložené fakturace (tj. jak z prostředků podpory, tak podíl vlastních zdrojů). Tuto úhradu následně neprodleně doloží</w:t>
      </w:r>
      <w:r>
        <w:rPr>
          <w:spacing w:val="-24"/>
        </w:rPr>
        <w:t xml:space="preserve"> </w:t>
      </w:r>
      <w:r>
        <w:t>Fondu,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4022F9" w:rsidRDefault="00110F5E">
      <w:pPr>
        <w:pStyle w:val="Odstavecseseznamem"/>
        <w:numPr>
          <w:ilvl w:val="2"/>
          <w:numId w:val="5"/>
        </w:numPr>
        <w:tabs>
          <w:tab w:val="left" w:pos="1094"/>
        </w:tabs>
        <w:ind w:right="112" w:hanging="286"/>
        <w:rPr>
          <w:sz w:val="20"/>
        </w:rPr>
      </w:pPr>
      <w:r>
        <w:rPr>
          <w:sz w:val="20"/>
        </w:rPr>
        <w:t>předpokládaný termín ukončení stavebních a montážních prací</w:t>
      </w:r>
      <w:r>
        <w:rPr>
          <w:sz w:val="20"/>
        </w:rPr>
        <w:t xml:space="preserve"> do konce 4/2022, přitom pokud tento termín příjemce podpory nedodrží, bez zbytečného odkladu oznámí Fondu nový termín ukončení stavebních a montážních prací; dodatek k této Smlouvě se v tom případě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4022F9" w:rsidRDefault="00110F5E">
      <w:pPr>
        <w:pStyle w:val="Odstavecseseznamem"/>
        <w:numPr>
          <w:ilvl w:val="2"/>
          <w:numId w:val="5"/>
        </w:numPr>
        <w:tabs>
          <w:tab w:val="left" w:pos="1094"/>
        </w:tabs>
        <w:spacing w:before="118"/>
        <w:ind w:right="109" w:hanging="286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7/2022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183/2006  Sb.,  o  územním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stavební povolení). Bude-li vydán jak kolauda</w:t>
      </w:r>
      <w:r>
        <w:rPr>
          <w:sz w:val="20"/>
        </w:rPr>
        <w:t>ční souhlas, tak oznámení o užívání, považuje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1/2023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4022F9" w:rsidRDefault="004022F9">
      <w:pPr>
        <w:pStyle w:val="Zkladntext"/>
        <w:spacing w:before="1"/>
        <w:ind w:left="0"/>
        <w:jc w:val="left"/>
      </w:pPr>
    </w:p>
    <w:p w:rsidR="004022F9" w:rsidRDefault="00110F5E">
      <w:pPr>
        <w:pStyle w:val="Zkladntext"/>
        <w:ind w:left="808" w:right="113"/>
      </w:pPr>
      <w:r>
        <w:t>K ZVA může Fond vydat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 splnit.   Fond  není  povinen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4022F9" w:rsidRDefault="00110F5E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24"/>
          <w:sz w:val="20"/>
        </w:rPr>
        <w:t xml:space="preserve"> </w:t>
      </w:r>
      <w:r>
        <w:rPr>
          <w:sz w:val="20"/>
        </w:rPr>
        <w:t>platba,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</w:t>
      </w:r>
      <w:r>
        <w:rPr>
          <w:sz w:val="20"/>
        </w:rPr>
        <w:t>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4"/>
          <w:sz w:val="20"/>
        </w:rPr>
        <w:t xml:space="preserve"> </w:t>
      </w:r>
      <w:r>
        <w:rPr>
          <w:sz w:val="20"/>
        </w:rPr>
        <w:t>vznikl,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</w:t>
      </w:r>
      <w:r>
        <w:rPr>
          <w:sz w:val="20"/>
        </w:rPr>
        <w:t>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</w:t>
      </w:r>
      <w:r>
        <w:rPr>
          <w:sz w:val="20"/>
        </w:rPr>
        <w:t>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 xml:space="preserve">bez zbytečného odkladu a  před uplynutím smluvního termínu požádat Fond o změnu Smlouvy       v případě takových změn </w:t>
      </w:r>
      <w:r>
        <w:rPr>
          <w:sz w:val="20"/>
        </w:rPr>
        <w:t>skutečností či podmínek 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</w:p>
    <w:p w:rsidR="004022F9" w:rsidRDefault="004022F9">
      <w:pPr>
        <w:jc w:val="both"/>
        <w:rPr>
          <w:sz w:val="20"/>
        </w:rPr>
        <w:sectPr w:rsidR="004022F9">
          <w:pgSz w:w="12240" w:h="15840"/>
          <w:pgMar w:top="1060" w:right="1020" w:bottom="1080" w:left="1460" w:header="0" w:footer="882" w:gutter="0"/>
          <w:cols w:space="708"/>
        </w:sectPr>
      </w:pPr>
    </w:p>
    <w:p w:rsidR="004022F9" w:rsidRDefault="00110F5E">
      <w:pPr>
        <w:pStyle w:val="Zkladntext"/>
        <w:spacing w:before="73"/>
        <w:ind w:left="808"/>
      </w:pPr>
      <w:r>
        <w:lastRenderedPageBreak/>
        <w:t>povinností příjemce podpory podle této Smlouvy,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podpory přitom bere</w:t>
      </w:r>
      <w:r>
        <w:rPr>
          <w:sz w:val="20"/>
        </w:rPr>
        <w:t xml:space="preserve">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dodržovat pravi</w:t>
      </w:r>
      <w:r>
        <w:rPr>
          <w:sz w:val="20"/>
        </w:rPr>
        <w:t>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</w:t>
      </w:r>
      <w:r>
        <w:rPr>
          <w:sz w:val="20"/>
        </w:rPr>
        <w:t>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4022F9" w:rsidRDefault="00110F5E">
      <w:pPr>
        <w:pStyle w:val="Zkladntext"/>
        <w:spacing w:before="2"/>
        <w:ind w:left="808"/>
      </w:pPr>
      <w:r>
        <w:t>– odkaz na Zadávání veřejných zakázek pro OPŽP 2014 - 2020, a to i v průběhu realizace akce,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4022F9" w:rsidRDefault="00110F5E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uch</w:t>
      </w:r>
      <w:r>
        <w:rPr>
          <w:sz w:val="20"/>
        </w:rPr>
        <w:t>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republiky,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110F5E">
      <w:pPr>
        <w:pStyle w:val="Nadpis1"/>
        <w:spacing w:before="185"/>
        <w:ind w:left="3274"/>
      </w:pPr>
      <w:r>
        <w:t>V.</w:t>
      </w:r>
    </w:p>
    <w:p w:rsidR="004022F9" w:rsidRDefault="00110F5E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4022F9" w:rsidRDefault="004022F9">
      <w:pPr>
        <w:pStyle w:val="Zkladntext"/>
        <w:spacing w:before="1"/>
        <w:ind w:left="0"/>
        <w:jc w:val="left"/>
        <w:rPr>
          <w:b/>
        </w:rPr>
      </w:pP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toto  porušení  postiženo  odvodem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3"/>
          <w:sz w:val="20"/>
        </w:rPr>
        <w:t xml:space="preserve"> </w:t>
      </w:r>
      <w:r>
        <w:rPr>
          <w:sz w:val="20"/>
        </w:rPr>
        <w:t>lhůtu</w:t>
      </w:r>
    </w:p>
    <w:p w:rsidR="004022F9" w:rsidRDefault="00110F5E">
      <w:pPr>
        <w:pStyle w:val="Zkladntext"/>
        <w:jc w:val="left"/>
      </w:pPr>
      <w:r>
        <w:t xml:space="preserve">5 pracovních dnů nebude postiženo a nebude tak považováno za </w:t>
      </w:r>
      <w:r>
        <w:t>porušení podmínek poskytnutí podpory.</w:t>
      </w:r>
    </w:p>
    <w:p w:rsidR="004022F9" w:rsidRDefault="004022F9">
      <w:pPr>
        <w:sectPr w:rsidR="004022F9">
          <w:pgSz w:w="12240" w:h="15840"/>
          <w:pgMar w:top="1060" w:right="1020" w:bottom="1160" w:left="1460" w:header="0" w:footer="882" w:gutter="0"/>
          <w:cols w:space="708"/>
        </w:sectPr>
      </w:pP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8"/>
        <w:jc w:val="both"/>
        <w:rPr>
          <w:sz w:val="20"/>
        </w:rPr>
      </w:pPr>
      <w:r>
        <w:rPr>
          <w:sz w:val="20"/>
        </w:rPr>
        <w:lastRenderedPageBreak/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</w:t>
      </w:r>
      <w:r>
        <w:rPr>
          <w:sz w:val="20"/>
        </w:rPr>
        <w:t>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</w:t>
      </w:r>
      <w:r>
        <w:rPr>
          <w:sz w:val="20"/>
        </w:rPr>
        <w:t>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</w:t>
      </w:r>
      <w:r>
        <w:rPr>
          <w:sz w:val="20"/>
        </w:rPr>
        <w:t>m  ve výši 0,1  –  25  % z poskytnuté  podpory  v případě,  kdy  nejsou  zásadním  způsobem  dodrženy   podmínky  Metodiky 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4022F9" w:rsidRDefault="00110F5E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110F5E">
      <w:pPr>
        <w:pStyle w:val="Nadpis1"/>
        <w:spacing w:before="185"/>
        <w:ind w:left="3277"/>
      </w:pPr>
      <w:r>
        <w:t>VI.</w:t>
      </w:r>
    </w:p>
    <w:p w:rsidR="004022F9" w:rsidRDefault="00110F5E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022F9" w:rsidRDefault="004022F9">
      <w:pPr>
        <w:pStyle w:val="Zkladntext"/>
        <w:spacing w:before="1"/>
        <w:ind w:left="0"/>
        <w:jc w:val="left"/>
        <w:rPr>
          <w:b/>
        </w:rPr>
      </w:pP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</w:t>
      </w:r>
      <w:r>
        <w:rPr>
          <w:spacing w:val="-31"/>
          <w:sz w:val="20"/>
        </w:rPr>
        <w:t xml:space="preserve"> </w:t>
      </w:r>
      <w:r>
        <w:rPr>
          <w:sz w:val="20"/>
        </w:rPr>
        <w:t>týkat.</w:t>
      </w: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 Změnu Smlouvy může Fond podmínit krácením nebo nepřiznáním nároku na zbývající část podpory podle   článku   III,   a   to   zejména   tehdy,   kdy   bude   docíleno   nižších    přínosů   (nebo   dojde    k j</w:t>
      </w:r>
      <w:r>
        <w:rPr>
          <w:sz w:val="20"/>
        </w:rPr>
        <w:t>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1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5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</w:t>
      </w:r>
      <w:r>
        <w:rPr>
          <w:sz w:val="20"/>
        </w:rPr>
        <w:t>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</w:t>
      </w:r>
      <w:r>
        <w:rPr>
          <w:sz w:val="20"/>
        </w:rPr>
        <w:t>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4022F9" w:rsidRDefault="004022F9">
      <w:pPr>
        <w:jc w:val="both"/>
        <w:rPr>
          <w:sz w:val="20"/>
        </w:rPr>
        <w:sectPr w:rsidR="004022F9">
          <w:pgSz w:w="12240" w:h="15840"/>
          <w:pgMar w:top="1060" w:right="1020" w:bottom="1160" w:left="1460" w:header="0" w:footer="882" w:gutter="0"/>
          <w:cols w:space="708"/>
        </w:sectPr>
      </w:pPr>
    </w:p>
    <w:p w:rsidR="004022F9" w:rsidRDefault="00110F5E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110F5E">
      <w:pPr>
        <w:pStyle w:val="Zkladntext"/>
        <w:spacing w:before="186"/>
        <w:ind w:left="242"/>
        <w:jc w:val="left"/>
      </w:pPr>
      <w:r>
        <w:t>V:</w:t>
      </w:r>
    </w:p>
    <w:p w:rsidR="004022F9" w:rsidRDefault="004022F9">
      <w:pPr>
        <w:pStyle w:val="Zkladntext"/>
        <w:spacing w:before="1"/>
        <w:ind w:left="0"/>
        <w:jc w:val="left"/>
      </w:pPr>
    </w:p>
    <w:p w:rsidR="004022F9" w:rsidRDefault="00110F5E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22"/>
        </w:rPr>
      </w:pPr>
    </w:p>
    <w:p w:rsidR="004022F9" w:rsidRDefault="00110F5E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4022F9" w:rsidRDefault="00110F5E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spacing w:before="2"/>
        <w:ind w:left="0"/>
        <w:jc w:val="left"/>
        <w:rPr>
          <w:sz w:val="24"/>
        </w:rPr>
      </w:pPr>
    </w:p>
    <w:p w:rsidR="004022F9" w:rsidRDefault="00110F5E">
      <w:pPr>
        <w:pStyle w:val="Zkladntext"/>
        <w:spacing w:line="264" w:lineRule="auto"/>
        <w:ind w:left="242"/>
        <w:jc w:val="left"/>
      </w:pPr>
      <w:r>
        <w:t>Příloha č. 1 – Specifické podmínky provozování pro vlastnický model provozování v souvislosti se Svazem VKMO s. r. o.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33"/>
        </w:rPr>
      </w:pPr>
    </w:p>
    <w:p w:rsidR="004022F9" w:rsidRDefault="00110F5E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4022F9" w:rsidRDefault="004022F9">
      <w:pPr>
        <w:sectPr w:rsidR="004022F9">
          <w:pgSz w:w="12240" w:h="15840"/>
          <w:pgMar w:top="1060" w:right="1020" w:bottom="1160" w:left="1460" w:header="0" w:footer="882" w:gutter="0"/>
          <w:cols w:space="708"/>
        </w:sectPr>
      </w:pPr>
    </w:p>
    <w:p w:rsidR="004022F9" w:rsidRDefault="00110F5E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spacing w:before="2"/>
        <w:ind w:left="0"/>
        <w:jc w:val="left"/>
        <w:rPr>
          <w:sz w:val="24"/>
        </w:rPr>
      </w:pPr>
    </w:p>
    <w:p w:rsidR="004022F9" w:rsidRDefault="00110F5E">
      <w:pPr>
        <w:pStyle w:val="Nadpis1"/>
        <w:ind w:right="0"/>
        <w:jc w:val="left"/>
      </w:pPr>
      <w:r>
        <w:t>Specifické podmínky provozování pro vlastnický model provozování v souvislosti se Svazem VKMO</w:t>
      </w:r>
    </w:p>
    <w:p w:rsidR="004022F9" w:rsidRDefault="00110F5E">
      <w:pPr>
        <w:spacing w:before="27"/>
        <w:ind w:left="242"/>
        <w:rPr>
          <w:b/>
          <w:sz w:val="20"/>
        </w:rPr>
      </w:pPr>
      <w:r>
        <w:rPr>
          <w:b/>
          <w:sz w:val="20"/>
        </w:rPr>
        <w:t>s. r. o.</w:t>
      </w:r>
    </w:p>
    <w:p w:rsidR="004022F9" w:rsidRDefault="004022F9">
      <w:pPr>
        <w:pStyle w:val="Zkladntext"/>
        <w:spacing w:before="1"/>
        <w:ind w:left="0"/>
        <w:jc w:val="left"/>
        <w:rPr>
          <w:b/>
          <w:sz w:val="29"/>
        </w:rPr>
      </w:pPr>
    </w:p>
    <w:p w:rsidR="004022F9" w:rsidRDefault="00110F5E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12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  v rámci vlastnického modelu, zejména bude platit, že subjekt zodpovědný</w:t>
      </w:r>
      <w:r>
        <w:rPr>
          <w:sz w:val="20"/>
        </w:rPr>
        <w:t xml:space="preserve"> za provozování je 100% vlastněn veřejným vlastníkem, kterým je Svaz VKMO s. r. o. a infrastrukturu provozuje na základě smlouvy nebo jiného místně platného pověření a přímo drží povolení k provozování. (k modelům provozování infrastruktury a podmínkám sta</w:t>
      </w:r>
      <w:r>
        <w:rPr>
          <w:sz w:val="20"/>
        </w:rPr>
        <w:t>noveným pro vlastnický model viz dokument „Metodika pro žadatele rozvádějící podmínky přílohy č. 6 Programového dokumentu OPŽP 2014 – 2020“ dále</w:t>
      </w:r>
      <w:r>
        <w:rPr>
          <w:spacing w:val="-27"/>
          <w:sz w:val="20"/>
        </w:rPr>
        <w:t xml:space="preserve"> </w:t>
      </w:r>
      <w:r>
        <w:rPr>
          <w:sz w:val="20"/>
        </w:rPr>
        <w:t>jen</w:t>
      </w:r>
    </w:p>
    <w:p w:rsidR="004022F9" w:rsidRDefault="00110F5E">
      <w:pPr>
        <w:pStyle w:val="Zkladntext"/>
        <w:spacing w:before="2" w:line="264" w:lineRule="auto"/>
        <w:ind w:left="669" w:right="109"/>
      </w:pPr>
      <w:r>
        <w:t>„Metodika“, která je součástí PrŽaP). Pro účely stanovení podmínek týkajících se provozování vodohospodářsk</w:t>
      </w:r>
      <w:r>
        <w:t>é</w:t>
      </w:r>
      <w:r>
        <w:rPr>
          <w:spacing w:val="-18"/>
        </w:rPr>
        <w:t xml:space="preserve"> </w:t>
      </w:r>
      <w:r>
        <w:t>infrastruktury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vodohospodářskou</w:t>
      </w:r>
      <w:r>
        <w:rPr>
          <w:spacing w:val="-16"/>
        </w:rPr>
        <w:t xml:space="preserve"> </w:t>
      </w:r>
      <w:r>
        <w:t>infrastrukturou</w:t>
      </w:r>
      <w:r>
        <w:rPr>
          <w:spacing w:val="-16"/>
        </w:rPr>
        <w:t xml:space="preserve"> </w:t>
      </w:r>
      <w:r>
        <w:t>rozumí</w:t>
      </w:r>
      <w:r>
        <w:rPr>
          <w:spacing w:val="-16"/>
        </w:rPr>
        <w:t xml:space="preserve"> </w:t>
      </w:r>
      <w:r>
        <w:t>celá</w:t>
      </w:r>
      <w:r>
        <w:rPr>
          <w:spacing w:val="-15"/>
        </w:rPr>
        <w:t xml:space="preserve"> </w:t>
      </w:r>
      <w:r>
        <w:t>složka</w:t>
      </w:r>
      <w:r>
        <w:rPr>
          <w:spacing w:val="-17"/>
        </w:rPr>
        <w:t xml:space="preserve"> </w:t>
      </w:r>
      <w:r>
        <w:t>infrastruktury pořízené (rekonstruované) s podporou poskytnutou podle této Smlouvy a Rozhodnutí (podpořená infrastruktura) a veškerá další infrastruktura provozovaná v této složce na území relevantní obce (podrobněji viz Metodika) společně s podpořenou inf</w:t>
      </w:r>
      <w:r>
        <w:t>rastrukturou v rámci podpořeného vlastnického modelu</w:t>
      </w:r>
      <w:r>
        <w:rPr>
          <w:spacing w:val="-1"/>
        </w:rPr>
        <w:t xml:space="preserve"> </w:t>
      </w:r>
      <w:r>
        <w:t>provozování.</w:t>
      </w:r>
    </w:p>
    <w:p w:rsidR="004022F9" w:rsidRDefault="00110F5E">
      <w:pPr>
        <w:pStyle w:val="Odstavecseseznamem"/>
        <w:numPr>
          <w:ilvl w:val="0"/>
          <w:numId w:val="2"/>
        </w:numPr>
        <w:tabs>
          <w:tab w:val="left" w:pos="962"/>
        </w:tabs>
        <w:spacing w:before="119"/>
        <w:ind w:right="335"/>
        <w:jc w:val="both"/>
        <w:rPr>
          <w:sz w:val="20"/>
        </w:rPr>
      </w:pPr>
      <w:r>
        <w:tab/>
      </w:r>
      <w:r>
        <w:rPr>
          <w:sz w:val="20"/>
        </w:rPr>
        <w:t xml:space="preserve">Nejméně po dobu 10 let od prvního dne následujícího kalendářního roku po nabytí právní moci posledního kolaudačního souhlasu k projektu bude zabezpečena finanční udržitelnost projektu a to </w:t>
      </w:r>
      <w:r>
        <w:rPr>
          <w:sz w:val="20"/>
        </w:rPr>
        <w:t>za podmínek stanovených Fondem. Změna výše prostředků na obnovu vodovodů a/nebo</w:t>
      </w:r>
      <w:r>
        <w:rPr>
          <w:spacing w:val="-34"/>
          <w:sz w:val="20"/>
        </w:rPr>
        <w:t xml:space="preserve"> </w:t>
      </w:r>
      <w:r>
        <w:rPr>
          <w:sz w:val="20"/>
        </w:rPr>
        <w:t>kanalizací je přípustné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4022F9" w:rsidRDefault="00110F5E">
      <w:pPr>
        <w:pStyle w:val="Odstavecseseznamem"/>
        <w:numPr>
          <w:ilvl w:val="1"/>
          <w:numId w:val="2"/>
        </w:numPr>
        <w:tabs>
          <w:tab w:val="left" w:pos="885"/>
        </w:tabs>
        <w:spacing w:before="119"/>
        <w:ind w:right="263" w:hanging="14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</w:t>
      </w:r>
      <w:r>
        <w:rPr>
          <w:spacing w:val="-36"/>
          <w:sz w:val="20"/>
        </w:rPr>
        <w:t xml:space="preserve"> </w:t>
      </w:r>
      <w:r>
        <w:rPr>
          <w:sz w:val="20"/>
        </w:rPr>
        <w:t>vodné a/nebo stočné,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4022F9" w:rsidRDefault="00110F5E">
      <w:pPr>
        <w:pStyle w:val="Odstavecseseznamem"/>
        <w:numPr>
          <w:ilvl w:val="1"/>
          <w:numId w:val="2"/>
        </w:numPr>
        <w:tabs>
          <w:tab w:val="left" w:pos="902"/>
        </w:tabs>
        <w:ind w:left="901" w:hanging="233"/>
        <w:jc w:val="both"/>
        <w:rPr>
          <w:sz w:val="20"/>
        </w:rPr>
      </w:pPr>
      <w:r>
        <w:rPr>
          <w:sz w:val="20"/>
        </w:rPr>
        <w:t>snížení na úroveň,</w:t>
      </w:r>
      <w:r>
        <w:rPr>
          <w:sz w:val="20"/>
        </w:rPr>
        <w:t xml:space="preserve"> které prokazatelně vytváří zdroje pro správu, obnovu a případné</w:t>
      </w:r>
      <w:r>
        <w:rPr>
          <w:spacing w:val="-22"/>
          <w:sz w:val="20"/>
        </w:rPr>
        <w:t xml:space="preserve"> </w:t>
      </w:r>
      <w:r>
        <w:rPr>
          <w:sz w:val="20"/>
        </w:rPr>
        <w:t>rozšíření</w:t>
      </w:r>
    </w:p>
    <w:p w:rsidR="004022F9" w:rsidRDefault="00110F5E">
      <w:pPr>
        <w:pStyle w:val="Zkladntext"/>
        <w:spacing w:before="1"/>
        <w:ind w:left="808" w:right="284"/>
      </w:pPr>
      <w:r>
        <w:t>vodovodů a kanalizací minimálně ve výši „plných odpisů“. V obou případech je nezbytné, aby</w:t>
      </w:r>
      <w:r>
        <w:rPr>
          <w:spacing w:val="-37"/>
        </w:rPr>
        <w:t xml:space="preserve"> </w:t>
      </w:r>
      <w:r>
        <w:t>Fond navrženou odchylku</w:t>
      </w:r>
      <w:r>
        <w:rPr>
          <w:spacing w:val="-1"/>
        </w:rPr>
        <w:t xml:space="preserve"> </w:t>
      </w:r>
      <w:r>
        <w:t>odsouhlasil.</w:t>
      </w:r>
    </w:p>
    <w:p w:rsidR="004022F9" w:rsidRDefault="00110F5E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20"/>
        <w:ind w:right="1016"/>
        <w:rPr>
          <w:sz w:val="20"/>
        </w:rPr>
      </w:pPr>
      <w:r>
        <w:rPr>
          <w:sz w:val="20"/>
        </w:rPr>
        <w:t>Čistý příjem (případně nájemné) z provozování vodohospodářské infrastruktury bude</w:t>
      </w:r>
      <w:r>
        <w:rPr>
          <w:spacing w:val="-37"/>
          <w:sz w:val="20"/>
        </w:rPr>
        <w:t xml:space="preserve"> </w:t>
      </w:r>
      <w:r>
        <w:rPr>
          <w:sz w:val="20"/>
        </w:rPr>
        <w:t>použit v souladu s principy péče řádného</w:t>
      </w:r>
      <w:r>
        <w:rPr>
          <w:spacing w:val="-1"/>
          <w:sz w:val="20"/>
        </w:rPr>
        <w:t xml:space="preserve"> </w:t>
      </w:r>
      <w:r>
        <w:rPr>
          <w:sz w:val="20"/>
        </w:rPr>
        <w:t>hospodáře.</w:t>
      </w:r>
    </w:p>
    <w:p w:rsidR="004022F9" w:rsidRDefault="00110F5E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19"/>
        <w:ind w:right="483"/>
        <w:rPr>
          <w:sz w:val="20"/>
        </w:rPr>
      </w:pPr>
      <w:r>
        <w:rPr>
          <w:sz w:val="20"/>
        </w:rPr>
        <w:t>Příjemce podpory je povinen zajistit, že relevantní požadavky kladené na provozní smlouvy</w:t>
      </w:r>
      <w:r>
        <w:rPr>
          <w:spacing w:val="-33"/>
          <w:sz w:val="20"/>
        </w:rPr>
        <w:t xml:space="preserve"> </w:t>
      </w:r>
      <w:r>
        <w:rPr>
          <w:sz w:val="20"/>
        </w:rPr>
        <w:t>budou aplikovány na „související</w:t>
      </w:r>
      <w:r>
        <w:rPr>
          <w:sz w:val="20"/>
        </w:rPr>
        <w:t xml:space="preserve"> provozní smlouvy“ ve smyslu Metodiky s tím, že v případě</w:t>
      </w:r>
      <w:r>
        <w:rPr>
          <w:spacing w:val="-22"/>
          <w:sz w:val="20"/>
        </w:rPr>
        <w:t xml:space="preserve"> </w:t>
      </w:r>
      <w:r>
        <w:rPr>
          <w:sz w:val="20"/>
        </w:rPr>
        <w:t>ukončení</w:t>
      </w:r>
    </w:p>
    <w:p w:rsidR="004022F9" w:rsidRDefault="00110F5E">
      <w:pPr>
        <w:pStyle w:val="Zkladntext"/>
        <w:ind w:left="669" w:right="95"/>
        <w:jc w:val="left"/>
      </w:pPr>
      <w:r>
        <w:t>platnosti související provozní smlouvy je vlastník infrastruktury, která je předmětem související provozní smlouvy, oprávněn změnit provozní model.</w:t>
      </w:r>
    </w:p>
    <w:p w:rsidR="004022F9" w:rsidRDefault="00110F5E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24" w:line="237" w:lineRule="auto"/>
        <w:ind w:right="325"/>
        <w:rPr>
          <w:sz w:val="20"/>
        </w:rPr>
      </w:pPr>
      <w:r>
        <w:rPr>
          <w:sz w:val="20"/>
        </w:rPr>
        <w:t>Příjemce podpory zajistí, že nejpozději d</w:t>
      </w:r>
      <w:r>
        <w:rPr>
          <w:sz w:val="20"/>
        </w:rPr>
        <w:t>o 31.12. kalendářního roku, ve kterém dojde k nabytí</w:t>
      </w:r>
      <w:r>
        <w:rPr>
          <w:spacing w:val="-35"/>
          <w:sz w:val="20"/>
        </w:rPr>
        <w:t xml:space="preserve"> </w:t>
      </w:r>
      <w:r>
        <w:rPr>
          <w:sz w:val="20"/>
        </w:rPr>
        <w:t>právní moci posledního kolaudačního souhlasu k projektu, bude doložen převod</w:t>
      </w:r>
      <w:r>
        <w:rPr>
          <w:spacing w:val="-14"/>
          <w:sz w:val="20"/>
        </w:rPr>
        <w:t xml:space="preserve"> </w:t>
      </w:r>
      <w:r>
        <w:rPr>
          <w:sz w:val="20"/>
        </w:rPr>
        <w:t>vlastnictví</w:t>
      </w:r>
    </w:p>
    <w:p w:rsidR="004022F9" w:rsidRDefault="00110F5E">
      <w:pPr>
        <w:pStyle w:val="Zkladntext"/>
        <w:spacing w:before="1"/>
        <w:ind w:left="669"/>
        <w:jc w:val="left"/>
      </w:pPr>
      <w:r>
        <w:t>vodohospodářské infrastruktury v podpořené složce na katastrálním území relevantní obce z městysu Stařeč na příjem</w:t>
      </w:r>
      <w:r>
        <w:t>ce podpory.</w:t>
      </w:r>
    </w:p>
    <w:p w:rsidR="004022F9" w:rsidRDefault="004022F9">
      <w:pPr>
        <w:sectPr w:rsidR="004022F9">
          <w:pgSz w:w="12240" w:h="15840"/>
          <w:pgMar w:top="1060" w:right="1020" w:bottom="1160" w:left="1460" w:header="0" w:footer="882" w:gutter="0"/>
          <w:cols w:space="708"/>
        </w:sectPr>
      </w:pPr>
    </w:p>
    <w:p w:rsidR="004022F9" w:rsidRDefault="00110F5E">
      <w:pPr>
        <w:pStyle w:val="Zkladntext"/>
        <w:spacing w:before="73"/>
        <w:ind w:left="242"/>
        <w:jc w:val="left"/>
      </w:pPr>
      <w:r>
        <w:lastRenderedPageBreak/>
        <w:t>Příloha č. 2 - Smlouva o poskytnutí podpory ze Státního fondu životního prostředí České republiky</w:t>
      </w: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4022F9">
      <w:pPr>
        <w:pStyle w:val="Zkladntext"/>
        <w:ind w:left="0"/>
        <w:jc w:val="left"/>
        <w:rPr>
          <w:sz w:val="26"/>
        </w:rPr>
      </w:pPr>
    </w:p>
    <w:p w:rsidR="004022F9" w:rsidRDefault="00110F5E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4022F9" w:rsidRDefault="004022F9">
      <w:pPr>
        <w:pStyle w:val="Zkladntext"/>
        <w:spacing w:before="1"/>
        <w:ind w:left="0"/>
        <w:jc w:val="left"/>
        <w:rPr>
          <w:b/>
          <w:sz w:val="27"/>
        </w:rPr>
      </w:pPr>
    </w:p>
    <w:p w:rsidR="004022F9" w:rsidRDefault="00110F5E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 Sb., o zadávání veřejných zakázek, ve znění účinném  v době zahájení z</w:t>
      </w:r>
      <w:r>
        <w:rPr>
          <w:sz w:val="20"/>
        </w:rPr>
        <w:t xml:space="preserve">adávacího řízení, případně zákona č. 137/2006 Sb., o veřejných zakázkách, ve znění účinném v době zahájení zadávacího řízení (dále souhrnně jen „zákon“) a/nebo nedodržení postupu stanoveného v Pokynech pro zadávání veřejných zakázek v OPŽP 2014 – 2020, ve </w:t>
      </w:r>
      <w:r>
        <w:rPr>
          <w:sz w:val="20"/>
        </w:rPr>
        <w:t>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4022F9" w:rsidRDefault="00110F5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4022F9" w:rsidRDefault="00110F5E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</w:t>
      </w:r>
      <w:r>
        <w:rPr>
          <w:sz w:val="20"/>
        </w:rPr>
        <w:t>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4022F9" w:rsidRDefault="00110F5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</w:t>
      </w:r>
      <w:r>
        <w:rPr>
          <w:sz w:val="20"/>
        </w:rPr>
        <w:t xml:space="preserve">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4022F9" w:rsidRDefault="00110F5E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</w:t>
      </w:r>
      <w:r>
        <w:rPr>
          <w:sz w:val="20"/>
        </w:rPr>
        <w:t>ovena s ohledem na nejzávažnější porušení.</w:t>
      </w:r>
    </w:p>
    <w:p w:rsidR="004022F9" w:rsidRDefault="00110F5E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</w:t>
      </w:r>
      <w:r>
        <w:rPr>
          <w:sz w:val="20"/>
        </w:rPr>
        <w:t>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4022F9" w:rsidRDefault="00110F5E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řiměřenosti.</w:t>
      </w:r>
    </w:p>
    <w:p w:rsidR="004022F9" w:rsidRDefault="004022F9">
      <w:pPr>
        <w:spacing w:line="264" w:lineRule="auto"/>
        <w:jc w:val="both"/>
        <w:rPr>
          <w:sz w:val="20"/>
        </w:rPr>
        <w:sectPr w:rsidR="004022F9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022F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022F9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022F9" w:rsidRDefault="00110F5E">
            <w:pPr>
              <w:pStyle w:val="TableParagraph"/>
              <w:spacing w:before="27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4022F9" w:rsidRDefault="00110F5E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022F9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4022F9" w:rsidRDefault="00110F5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4022F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4022F9" w:rsidRDefault="00110F5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4022F9" w:rsidRDefault="00110F5E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022F9" w:rsidRDefault="00110F5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022F9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</w:t>
            </w:r>
          </w:p>
          <w:p w:rsidR="004022F9" w:rsidRDefault="00110F5E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4022F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4022F9" w:rsidRDefault="00110F5E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4022F9" w:rsidRDefault="00110F5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4022F9" w:rsidRDefault="00110F5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4022F9" w:rsidRDefault="00110F5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4022F9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4022F9" w:rsidRDefault="00110F5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4022F9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6"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4022F9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4022F9" w:rsidRDefault="00110F5E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4022F9" w:rsidRDefault="00110F5E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4022F9" w:rsidRDefault="00110F5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4022F9" w:rsidRDefault="00110F5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4022F9">
        <w:trPr>
          <w:trHeight w:val="137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4022F9" w:rsidRDefault="00110F5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4022F9" w:rsidRDefault="00110F5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4022F9">
        <w:trPr>
          <w:trHeight w:val="1383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022F9" w:rsidRDefault="00110F5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4022F9" w:rsidRDefault="00110F5E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4022F9" w:rsidRDefault="004022F9">
      <w:pPr>
        <w:spacing w:line="261" w:lineRule="auto"/>
        <w:rPr>
          <w:sz w:val="20"/>
        </w:rPr>
        <w:sectPr w:rsidR="004022F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022F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022F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4022F9" w:rsidRDefault="00110F5E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4022F9" w:rsidRDefault="00110F5E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4022F9" w:rsidRDefault="00110F5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022F9" w:rsidRDefault="00110F5E">
            <w:pPr>
              <w:pStyle w:val="TableParagraph"/>
              <w:spacing w:before="26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4022F9" w:rsidRDefault="00110F5E">
            <w:pPr>
              <w:pStyle w:val="TableParagraph"/>
              <w:spacing w:before="1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4022F9" w:rsidRDefault="00110F5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022F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4022F9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4022F9" w:rsidRDefault="00110F5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4022F9" w:rsidRDefault="00110F5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4022F9" w:rsidRDefault="00110F5E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4022F9" w:rsidRDefault="00110F5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022F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022F9" w:rsidRDefault="00110F5E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4022F9" w:rsidRDefault="00110F5E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022F9" w:rsidRDefault="00110F5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4022F9" w:rsidRDefault="00110F5E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4022F9" w:rsidRDefault="00110F5E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4022F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4022F9" w:rsidRDefault="00110F5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4022F9" w:rsidRDefault="00110F5E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4022F9" w:rsidRDefault="00110F5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4022F9" w:rsidRDefault="00110F5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4022F9">
        <w:trPr>
          <w:trHeight w:val="679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4022F9" w:rsidRDefault="00110F5E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4022F9" w:rsidRDefault="00110F5E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022F9" w:rsidRDefault="00110F5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022F9" w:rsidRDefault="004022F9">
      <w:pPr>
        <w:spacing w:line="264" w:lineRule="auto"/>
        <w:rPr>
          <w:sz w:val="20"/>
        </w:rPr>
        <w:sectPr w:rsidR="004022F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022F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022F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4022F9" w:rsidRDefault="00110F5E">
            <w:pPr>
              <w:pStyle w:val="TableParagraph"/>
              <w:spacing w:before="0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4022F9" w:rsidRDefault="00110F5E">
            <w:pPr>
              <w:pStyle w:val="TableParagraph"/>
              <w:spacing w:before="0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022F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4022F9" w:rsidRDefault="00110F5E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22F9" w:rsidRDefault="00110F5E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4022F9" w:rsidRDefault="00110F5E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4022F9" w:rsidRDefault="00110F5E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022F9" w:rsidRDefault="00110F5E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022F9" w:rsidRDefault="00110F5E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022F9" w:rsidRDefault="00110F5E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022F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4022F9" w:rsidRDefault="00110F5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022F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4022F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4022F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022F9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4022F9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022F9" w:rsidRDefault="00110F5E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4022F9" w:rsidRDefault="00110F5E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4022F9" w:rsidRDefault="00110F5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022F9" w:rsidRDefault="00110F5E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022F9" w:rsidRDefault="00110F5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022F9" w:rsidRDefault="00110F5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4022F9" w:rsidRDefault="004022F9">
      <w:pPr>
        <w:spacing w:line="264" w:lineRule="auto"/>
        <w:rPr>
          <w:sz w:val="20"/>
        </w:rPr>
        <w:sectPr w:rsidR="004022F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022F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022F9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022F9" w:rsidRDefault="00110F5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4022F9" w:rsidRDefault="00110F5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4022F9" w:rsidRDefault="00110F5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4022F9" w:rsidRDefault="00110F5E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022F9" w:rsidRDefault="00110F5E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4022F9" w:rsidRDefault="00110F5E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022F9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6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6"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6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4022F9" w:rsidRDefault="00110F5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4022F9" w:rsidRDefault="00110F5E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4022F9" w:rsidRDefault="00110F5E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4022F9" w:rsidRDefault="00110F5E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4022F9" w:rsidRDefault="00110F5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4022F9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4022F9" w:rsidRDefault="00110F5E">
            <w:pPr>
              <w:pStyle w:val="TableParagraph"/>
              <w:spacing w:before="2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4022F9" w:rsidRDefault="00110F5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022F9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4022F9" w:rsidRDefault="00110F5E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022F9" w:rsidRDefault="00110F5E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4022F9" w:rsidRDefault="00110F5E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4022F9" w:rsidRDefault="004022F9">
      <w:pPr>
        <w:rPr>
          <w:sz w:val="20"/>
        </w:rPr>
        <w:sectPr w:rsidR="004022F9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022F9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022F9" w:rsidRDefault="00110F5E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4022F9">
        <w:trPr>
          <w:trHeight w:val="110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before="10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4022F9" w:rsidRDefault="00110F5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4022F9">
        <w:trPr>
          <w:trHeight w:val="2273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4022F9" w:rsidRDefault="00110F5E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4022F9" w:rsidRDefault="00110F5E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4022F9" w:rsidRDefault="00110F5E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4022F9" w:rsidRDefault="00110F5E">
            <w:pPr>
              <w:pStyle w:val="TableParagraph"/>
              <w:spacing w:before="144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4022F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4022F9" w:rsidRDefault="00110F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4022F9" w:rsidRDefault="00110F5E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022F9" w:rsidRDefault="00110F5E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4022F9" w:rsidRDefault="00110F5E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4022F9" w:rsidRDefault="00110F5E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4022F9">
        <w:trPr>
          <w:trHeight w:val="256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4022F9" w:rsidRDefault="00110F5E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4022F9" w:rsidRDefault="00110F5E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4022F9" w:rsidRDefault="00110F5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022F9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22F9" w:rsidRDefault="00110F5E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4022F9" w:rsidRDefault="00110F5E">
            <w:pPr>
              <w:pStyle w:val="TableParagraph"/>
              <w:spacing w:before="1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 s čl.</w:t>
            </w:r>
          </w:p>
          <w:p w:rsidR="004022F9" w:rsidRDefault="00110F5E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4022F9" w:rsidRDefault="00110F5E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2F9" w:rsidRDefault="00110F5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022F9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22F9" w:rsidRDefault="004022F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022F9" w:rsidRDefault="00110F5E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10F5E" w:rsidRDefault="00110F5E"/>
    <w:sectPr w:rsidR="00110F5E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5E" w:rsidRDefault="00110F5E">
      <w:r>
        <w:separator/>
      </w:r>
    </w:p>
  </w:endnote>
  <w:endnote w:type="continuationSeparator" w:id="0">
    <w:p w:rsidR="00110F5E" w:rsidRDefault="0011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9" w:rsidRDefault="00110F5E">
    <w:pPr>
      <w:pStyle w:val="Zkladntext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4022F9" w:rsidRDefault="00110F5E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B3436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5E" w:rsidRDefault="00110F5E">
      <w:r>
        <w:separator/>
      </w:r>
    </w:p>
  </w:footnote>
  <w:footnote w:type="continuationSeparator" w:id="0">
    <w:p w:rsidR="00110F5E" w:rsidRDefault="0011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659"/>
    <w:multiLevelType w:val="hybridMultilevel"/>
    <w:tmpl w:val="EF7E7234"/>
    <w:lvl w:ilvl="0" w:tplc="902AFE5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E1A3B8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0C6642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4A20A3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2B6093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760C65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634FD8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A606B3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73A0E8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1923AF3"/>
    <w:multiLevelType w:val="hybridMultilevel"/>
    <w:tmpl w:val="80CC6FAC"/>
    <w:lvl w:ilvl="0" w:tplc="AE5A47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3F0D41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7424E1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294E5B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FF8F16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380BB7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9CE188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25CE58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18C676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9480F5B"/>
    <w:multiLevelType w:val="hybridMultilevel"/>
    <w:tmpl w:val="897497E8"/>
    <w:lvl w:ilvl="0" w:tplc="32F2F17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6AE58F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F3201E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92CCEB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2CED44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466B48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DD24AA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D2C9B3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4694246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B173B07"/>
    <w:multiLevelType w:val="hybridMultilevel"/>
    <w:tmpl w:val="73C01EC6"/>
    <w:lvl w:ilvl="0" w:tplc="D9B21056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46A4D3E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/>
        <w:spacing w:val="-1"/>
        <w:w w:val="99"/>
        <w:lang w:val="cs-CZ" w:eastAsia="cs-CZ" w:bidi="cs-CZ"/>
      </w:rPr>
    </w:lvl>
    <w:lvl w:ilvl="2" w:tplc="BCFCB7F4">
      <w:numFmt w:val="bullet"/>
      <w:lvlText w:val="-"/>
      <w:lvlJc w:val="left"/>
      <w:pPr>
        <w:ind w:left="1094" w:hanging="284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59005C4">
      <w:numFmt w:val="bullet"/>
      <w:lvlText w:val="•"/>
      <w:lvlJc w:val="left"/>
      <w:pPr>
        <w:ind w:left="2182" w:hanging="284"/>
      </w:pPr>
      <w:rPr>
        <w:rFonts w:hint="default"/>
        <w:lang w:val="cs-CZ" w:eastAsia="cs-CZ" w:bidi="cs-CZ"/>
      </w:rPr>
    </w:lvl>
    <w:lvl w:ilvl="4" w:tplc="9E4C45F4">
      <w:numFmt w:val="bullet"/>
      <w:lvlText w:val="•"/>
      <w:lvlJc w:val="left"/>
      <w:pPr>
        <w:ind w:left="3265" w:hanging="284"/>
      </w:pPr>
      <w:rPr>
        <w:rFonts w:hint="default"/>
        <w:lang w:val="cs-CZ" w:eastAsia="cs-CZ" w:bidi="cs-CZ"/>
      </w:rPr>
    </w:lvl>
    <w:lvl w:ilvl="5" w:tplc="F09C5444">
      <w:numFmt w:val="bullet"/>
      <w:lvlText w:val="•"/>
      <w:lvlJc w:val="left"/>
      <w:pPr>
        <w:ind w:left="4347" w:hanging="284"/>
      </w:pPr>
      <w:rPr>
        <w:rFonts w:hint="default"/>
        <w:lang w:val="cs-CZ" w:eastAsia="cs-CZ" w:bidi="cs-CZ"/>
      </w:rPr>
    </w:lvl>
    <w:lvl w:ilvl="6" w:tplc="0E3C620E">
      <w:numFmt w:val="bullet"/>
      <w:lvlText w:val="•"/>
      <w:lvlJc w:val="left"/>
      <w:pPr>
        <w:ind w:left="5430" w:hanging="284"/>
      </w:pPr>
      <w:rPr>
        <w:rFonts w:hint="default"/>
        <w:lang w:val="cs-CZ" w:eastAsia="cs-CZ" w:bidi="cs-CZ"/>
      </w:rPr>
    </w:lvl>
    <w:lvl w:ilvl="7" w:tplc="43C2E65E">
      <w:numFmt w:val="bullet"/>
      <w:lvlText w:val="•"/>
      <w:lvlJc w:val="left"/>
      <w:pPr>
        <w:ind w:left="6512" w:hanging="284"/>
      </w:pPr>
      <w:rPr>
        <w:rFonts w:hint="default"/>
        <w:lang w:val="cs-CZ" w:eastAsia="cs-CZ" w:bidi="cs-CZ"/>
      </w:rPr>
    </w:lvl>
    <w:lvl w:ilvl="8" w:tplc="64D83EFE">
      <w:numFmt w:val="bullet"/>
      <w:lvlText w:val="•"/>
      <w:lvlJc w:val="left"/>
      <w:pPr>
        <w:ind w:left="7595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4ED2557"/>
    <w:multiLevelType w:val="hybridMultilevel"/>
    <w:tmpl w:val="67FA7C5E"/>
    <w:lvl w:ilvl="0" w:tplc="7E9463B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95C26E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C58D95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3F41A1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62052D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FD2E7F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62CEDB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D60C28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89C0EE2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2B83FD8"/>
    <w:multiLevelType w:val="hybridMultilevel"/>
    <w:tmpl w:val="F3E8C0BA"/>
    <w:lvl w:ilvl="0" w:tplc="3F08A3D0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015CA332">
      <w:start w:val="1"/>
      <w:numFmt w:val="lowerLetter"/>
      <w:lvlText w:val="%2)"/>
      <w:lvlJc w:val="left"/>
      <w:pPr>
        <w:ind w:left="808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481260EC">
      <w:numFmt w:val="bullet"/>
      <w:lvlText w:val="•"/>
      <w:lvlJc w:val="left"/>
      <w:pPr>
        <w:ind w:left="1795" w:hanging="216"/>
      </w:pPr>
      <w:rPr>
        <w:rFonts w:hint="default"/>
        <w:lang w:val="cs-CZ" w:eastAsia="cs-CZ" w:bidi="cs-CZ"/>
      </w:rPr>
    </w:lvl>
    <w:lvl w:ilvl="3" w:tplc="AD9E2E6E">
      <w:numFmt w:val="bullet"/>
      <w:lvlText w:val="•"/>
      <w:lvlJc w:val="left"/>
      <w:pPr>
        <w:ind w:left="2791" w:hanging="216"/>
      </w:pPr>
      <w:rPr>
        <w:rFonts w:hint="default"/>
        <w:lang w:val="cs-CZ" w:eastAsia="cs-CZ" w:bidi="cs-CZ"/>
      </w:rPr>
    </w:lvl>
    <w:lvl w:ilvl="4" w:tplc="9ECC9CD2">
      <w:numFmt w:val="bullet"/>
      <w:lvlText w:val="•"/>
      <w:lvlJc w:val="left"/>
      <w:pPr>
        <w:ind w:left="3786" w:hanging="216"/>
      </w:pPr>
      <w:rPr>
        <w:rFonts w:hint="default"/>
        <w:lang w:val="cs-CZ" w:eastAsia="cs-CZ" w:bidi="cs-CZ"/>
      </w:rPr>
    </w:lvl>
    <w:lvl w:ilvl="5" w:tplc="8E48D3EA">
      <w:numFmt w:val="bullet"/>
      <w:lvlText w:val="•"/>
      <w:lvlJc w:val="left"/>
      <w:pPr>
        <w:ind w:left="4782" w:hanging="216"/>
      </w:pPr>
      <w:rPr>
        <w:rFonts w:hint="default"/>
        <w:lang w:val="cs-CZ" w:eastAsia="cs-CZ" w:bidi="cs-CZ"/>
      </w:rPr>
    </w:lvl>
    <w:lvl w:ilvl="6" w:tplc="776CD77A">
      <w:numFmt w:val="bullet"/>
      <w:lvlText w:val="•"/>
      <w:lvlJc w:val="left"/>
      <w:pPr>
        <w:ind w:left="5777" w:hanging="216"/>
      </w:pPr>
      <w:rPr>
        <w:rFonts w:hint="default"/>
        <w:lang w:val="cs-CZ" w:eastAsia="cs-CZ" w:bidi="cs-CZ"/>
      </w:rPr>
    </w:lvl>
    <w:lvl w:ilvl="7" w:tplc="184A1318">
      <w:numFmt w:val="bullet"/>
      <w:lvlText w:val="•"/>
      <w:lvlJc w:val="left"/>
      <w:pPr>
        <w:ind w:left="6773" w:hanging="216"/>
      </w:pPr>
      <w:rPr>
        <w:rFonts w:hint="default"/>
        <w:lang w:val="cs-CZ" w:eastAsia="cs-CZ" w:bidi="cs-CZ"/>
      </w:rPr>
    </w:lvl>
    <w:lvl w:ilvl="8" w:tplc="013CCBE0">
      <w:numFmt w:val="bullet"/>
      <w:lvlText w:val="•"/>
      <w:lvlJc w:val="left"/>
      <w:pPr>
        <w:ind w:left="7768" w:hanging="216"/>
      </w:pPr>
      <w:rPr>
        <w:rFonts w:hint="default"/>
        <w:lang w:val="cs-CZ" w:eastAsia="cs-CZ" w:bidi="cs-CZ"/>
      </w:rPr>
    </w:lvl>
  </w:abstractNum>
  <w:abstractNum w:abstractNumId="6" w15:restartNumberingAfterBreak="0">
    <w:nsid w:val="755C2C5F"/>
    <w:multiLevelType w:val="hybridMultilevel"/>
    <w:tmpl w:val="C3B6B570"/>
    <w:lvl w:ilvl="0" w:tplc="0B78496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F13C120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83A39D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246FF3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F54D95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48C0BB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35EFD4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14203B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24C569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9D405BE"/>
    <w:multiLevelType w:val="hybridMultilevel"/>
    <w:tmpl w:val="DCD0D8F0"/>
    <w:lvl w:ilvl="0" w:tplc="3172402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0E0D1F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6C706414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E6D292B6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F4AE7BB0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A9B4EF5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9B70A748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18D62F84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65D406D2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22F9"/>
    <w:rsid w:val="00110F5E"/>
    <w:rsid w:val="001B3436"/>
    <w:rsid w:val="004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ED98F5"/>
  <w15:docId w15:val="{7AABBFFC-65AC-4D63-98A1-032D262C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5314</Words>
  <Characters>31358</Characters>
  <Application>Microsoft Office Word</Application>
  <DocSecurity>0</DocSecurity>
  <Lines>261</Lines>
  <Paragraphs>73</Paragraphs>
  <ScaleCrop>false</ScaleCrop>
  <Company>SFZP</Company>
  <LinksUpToDate>false</LinksUpToDate>
  <CharactersWithSpaces>36599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2021-06-15T09:23:00Z</dcterms:created>
  <dcterms:modified xsi:type="dcterms:W3CDTF">2021-06-15T09:24:00Z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