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14BF2" w14:textId="77777777" w:rsidR="0001681D" w:rsidRPr="001F11F0" w:rsidRDefault="0001681D" w:rsidP="00881D33">
      <w:pPr>
        <w:pStyle w:val="Zkladntext"/>
        <w:spacing w:line="276" w:lineRule="auto"/>
        <w:jc w:val="center"/>
        <w:rPr>
          <w:rFonts w:ascii="Times New Roman" w:hAnsi="Times New Roman"/>
          <w:szCs w:val="24"/>
          <w:u w:val="single"/>
        </w:rPr>
      </w:pPr>
      <w:r w:rsidRPr="001F11F0">
        <w:rPr>
          <w:rFonts w:ascii="Times New Roman" w:hAnsi="Times New Roman"/>
          <w:b/>
          <w:szCs w:val="24"/>
          <w:u w:val="single"/>
        </w:rPr>
        <w:t>SMLOUVA O POSKYTOVÁNÍ PRÁVNÍCH SLUŽEB</w:t>
      </w:r>
    </w:p>
    <w:p w14:paraId="78FB6538" w14:textId="77777777" w:rsidR="0001681D" w:rsidRPr="00881D33" w:rsidRDefault="0001681D" w:rsidP="00881D33">
      <w:pPr>
        <w:pStyle w:val="Zkladntext"/>
        <w:spacing w:line="276" w:lineRule="auto"/>
        <w:jc w:val="center"/>
        <w:rPr>
          <w:rFonts w:ascii="Times New Roman" w:hAnsi="Times New Roman"/>
          <w:szCs w:val="24"/>
        </w:rPr>
      </w:pPr>
      <w:r w:rsidRPr="00881D33">
        <w:rPr>
          <w:rFonts w:ascii="Times New Roman" w:hAnsi="Times New Roman"/>
          <w:szCs w:val="24"/>
        </w:rPr>
        <w:t>uzavřená podle zákona č. 85/1996 Sb., o advokacii, ve znění pozdějších předpisů</w:t>
      </w:r>
    </w:p>
    <w:p w14:paraId="0CBE9B22" w14:textId="16249153" w:rsidR="00D06160" w:rsidRDefault="00D06160" w:rsidP="00881D33">
      <w:pPr>
        <w:pStyle w:val="Zkladntext"/>
        <w:spacing w:line="276" w:lineRule="auto"/>
        <w:jc w:val="center"/>
        <w:rPr>
          <w:rFonts w:ascii="Times New Roman" w:hAnsi="Times New Roman"/>
          <w:szCs w:val="24"/>
        </w:rPr>
      </w:pPr>
    </w:p>
    <w:p w14:paraId="13E7CCCF" w14:textId="77777777" w:rsidR="00F062B2" w:rsidRPr="001F11F0" w:rsidRDefault="00F062B2" w:rsidP="00881D33">
      <w:pPr>
        <w:pStyle w:val="Zkladntext"/>
        <w:spacing w:line="276" w:lineRule="auto"/>
        <w:jc w:val="center"/>
        <w:rPr>
          <w:rFonts w:ascii="Times New Roman" w:hAnsi="Times New Roman"/>
          <w:szCs w:val="24"/>
        </w:rPr>
      </w:pPr>
    </w:p>
    <w:p w14:paraId="07521A28" w14:textId="4809E98D" w:rsidR="0001681D" w:rsidRPr="001F11F0" w:rsidRDefault="00E74B10" w:rsidP="00881D33">
      <w:pPr>
        <w:pStyle w:val="Zkladntext"/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Moravskoslezské energetické centrum, příspěvková organizace</w:t>
      </w:r>
    </w:p>
    <w:p w14:paraId="73C229D9" w14:textId="548BB8F9" w:rsidR="0001681D" w:rsidRPr="001F11F0" w:rsidRDefault="009C545D" w:rsidP="00881D33">
      <w:pPr>
        <w:spacing w:line="276" w:lineRule="auto"/>
        <w:jc w:val="both"/>
      </w:pPr>
      <w:r w:rsidRPr="001F11F0">
        <w:t xml:space="preserve">se sídlem </w:t>
      </w:r>
      <w:r w:rsidR="00E74B10">
        <w:t>28. října 3388/111, 702 00 Ostrava-Moravská Ostrava</w:t>
      </w:r>
    </w:p>
    <w:p w14:paraId="7ACC684F" w14:textId="59359998" w:rsidR="009C545D" w:rsidRDefault="009C545D" w:rsidP="00881D33">
      <w:pPr>
        <w:spacing w:line="276" w:lineRule="auto"/>
        <w:jc w:val="both"/>
      </w:pPr>
      <w:r w:rsidRPr="001F11F0">
        <w:t>IČ</w:t>
      </w:r>
      <w:r w:rsidR="009B22FD">
        <w:t>O</w:t>
      </w:r>
      <w:r w:rsidRPr="001F11F0">
        <w:t xml:space="preserve">: </w:t>
      </w:r>
      <w:r w:rsidR="00E74B10">
        <w:t>03103820</w:t>
      </w:r>
    </w:p>
    <w:p w14:paraId="785252AD" w14:textId="60C9EC4D" w:rsidR="00E74B10" w:rsidRPr="001F11F0" w:rsidRDefault="00E74B10" w:rsidP="00881D33">
      <w:pPr>
        <w:spacing w:line="276" w:lineRule="auto"/>
        <w:jc w:val="both"/>
      </w:pPr>
      <w:r>
        <w:t xml:space="preserve">DIČ: nejsme plátci </w:t>
      </w:r>
    </w:p>
    <w:p w14:paraId="0ECA8FEB" w14:textId="432AFC6C" w:rsidR="009C545D" w:rsidRPr="001F11F0" w:rsidRDefault="00BD026C" w:rsidP="00881D33">
      <w:pPr>
        <w:spacing w:line="276" w:lineRule="auto"/>
        <w:jc w:val="both"/>
      </w:pPr>
      <w:r>
        <w:t>z</w:t>
      </w:r>
      <w:r w:rsidR="009B22FD">
        <w:t>astoupen</w:t>
      </w:r>
      <w:r>
        <w:t xml:space="preserve">ý </w:t>
      </w:r>
      <w:r w:rsidR="00E74B10">
        <w:t>ředitelem organizace Ing. Rostislavem Rožnovským</w:t>
      </w:r>
    </w:p>
    <w:p w14:paraId="0BFFEF89" w14:textId="77777777" w:rsidR="0001681D" w:rsidRPr="001F11F0" w:rsidRDefault="0001681D" w:rsidP="00881D33">
      <w:pPr>
        <w:pStyle w:val="Zkladntext"/>
        <w:spacing w:line="276" w:lineRule="auto"/>
        <w:jc w:val="both"/>
        <w:rPr>
          <w:rFonts w:ascii="Times New Roman" w:hAnsi="Times New Roman"/>
          <w:szCs w:val="24"/>
        </w:rPr>
      </w:pPr>
      <w:r w:rsidRPr="001F11F0">
        <w:rPr>
          <w:rFonts w:ascii="Times New Roman" w:hAnsi="Times New Roman"/>
          <w:szCs w:val="24"/>
        </w:rPr>
        <w:t xml:space="preserve">(dále jen </w:t>
      </w:r>
      <w:r w:rsidR="00687D12" w:rsidRPr="001F11F0">
        <w:rPr>
          <w:rFonts w:ascii="Times New Roman" w:hAnsi="Times New Roman"/>
          <w:szCs w:val="24"/>
        </w:rPr>
        <w:t>„</w:t>
      </w:r>
      <w:r w:rsidRPr="001F11F0">
        <w:rPr>
          <w:rFonts w:ascii="Times New Roman" w:hAnsi="Times New Roman"/>
          <w:b/>
          <w:szCs w:val="24"/>
        </w:rPr>
        <w:t>klient</w:t>
      </w:r>
      <w:r w:rsidR="00687D12" w:rsidRPr="001F11F0">
        <w:rPr>
          <w:rFonts w:ascii="Times New Roman" w:hAnsi="Times New Roman"/>
          <w:szCs w:val="24"/>
        </w:rPr>
        <w:t>“</w:t>
      </w:r>
      <w:r w:rsidRPr="001F11F0">
        <w:rPr>
          <w:rFonts w:ascii="Times New Roman" w:hAnsi="Times New Roman"/>
          <w:szCs w:val="24"/>
        </w:rPr>
        <w:t>) na straně jedné</w:t>
      </w:r>
      <w:r w:rsidR="00575A8B" w:rsidRPr="001F11F0">
        <w:rPr>
          <w:rFonts w:ascii="Times New Roman" w:hAnsi="Times New Roman"/>
          <w:szCs w:val="24"/>
        </w:rPr>
        <w:t xml:space="preserve"> a</w:t>
      </w:r>
    </w:p>
    <w:p w14:paraId="13538F74" w14:textId="3EA8E8C2" w:rsidR="00D06160" w:rsidRDefault="00D06160" w:rsidP="00881D33">
      <w:pPr>
        <w:pStyle w:val="Zkladntext"/>
        <w:spacing w:line="276" w:lineRule="auto"/>
        <w:jc w:val="both"/>
        <w:rPr>
          <w:rFonts w:ascii="Times New Roman" w:hAnsi="Times New Roman"/>
          <w:szCs w:val="24"/>
        </w:rPr>
      </w:pPr>
    </w:p>
    <w:p w14:paraId="70F61FDC" w14:textId="77777777" w:rsidR="00F062B2" w:rsidRPr="001F11F0" w:rsidRDefault="00F062B2" w:rsidP="00881D33">
      <w:pPr>
        <w:pStyle w:val="Zkladntext"/>
        <w:spacing w:line="276" w:lineRule="auto"/>
        <w:jc w:val="both"/>
        <w:rPr>
          <w:rFonts w:ascii="Times New Roman" w:hAnsi="Times New Roman"/>
          <w:szCs w:val="24"/>
        </w:rPr>
      </w:pPr>
    </w:p>
    <w:p w14:paraId="07B308C5" w14:textId="3F741FB4" w:rsidR="0001681D" w:rsidRPr="001F11F0" w:rsidRDefault="00E74B10" w:rsidP="00881D33">
      <w:pPr>
        <w:pStyle w:val="Zkladntext"/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Frank </w:t>
      </w:r>
      <w:proofErr w:type="spellStart"/>
      <w:r>
        <w:rPr>
          <w:rFonts w:ascii="Times New Roman" w:hAnsi="Times New Roman"/>
          <w:b/>
          <w:szCs w:val="24"/>
        </w:rPr>
        <w:t>Bold</w:t>
      </w:r>
      <w:proofErr w:type="spellEnd"/>
      <w:r>
        <w:rPr>
          <w:rFonts w:ascii="Times New Roman" w:hAnsi="Times New Roman"/>
          <w:b/>
          <w:szCs w:val="24"/>
        </w:rPr>
        <w:t xml:space="preserve"> Advokáti, s.r.o.</w:t>
      </w:r>
    </w:p>
    <w:p w14:paraId="7A6426CF" w14:textId="3102D3FF" w:rsidR="000A2CBD" w:rsidRPr="001F11F0" w:rsidRDefault="0001681D" w:rsidP="00881D33">
      <w:pPr>
        <w:pStyle w:val="Zkladntext"/>
        <w:spacing w:line="276" w:lineRule="auto"/>
        <w:jc w:val="both"/>
        <w:rPr>
          <w:rFonts w:ascii="Times New Roman" w:hAnsi="Times New Roman"/>
          <w:szCs w:val="24"/>
        </w:rPr>
      </w:pPr>
      <w:r w:rsidRPr="001F11F0">
        <w:rPr>
          <w:rFonts w:ascii="Times New Roman" w:hAnsi="Times New Roman"/>
          <w:szCs w:val="24"/>
        </w:rPr>
        <w:t xml:space="preserve">se sídlem </w:t>
      </w:r>
      <w:r w:rsidR="00E74B10">
        <w:rPr>
          <w:rFonts w:ascii="Times New Roman" w:hAnsi="Times New Roman"/>
          <w:szCs w:val="24"/>
        </w:rPr>
        <w:t>Údolní 567/33, 602 00 Brno</w:t>
      </w:r>
    </w:p>
    <w:p w14:paraId="6F31CAB5" w14:textId="05D0D21A" w:rsidR="000A2CBD" w:rsidRPr="001F11F0" w:rsidRDefault="000A2CBD" w:rsidP="00881D33">
      <w:pPr>
        <w:spacing w:line="276" w:lineRule="auto"/>
        <w:jc w:val="both"/>
      </w:pPr>
      <w:r w:rsidRPr="001F11F0">
        <w:t xml:space="preserve">společnost zapsaná v obchodním rejstříku vedeném </w:t>
      </w:r>
      <w:r w:rsidR="00E74B10">
        <w:t>v Brně, oddíl C, vložka 63531</w:t>
      </w:r>
    </w:p>
    <w:p w14:paraId="643A772A" w14:textId="6CCEFCBC" w:rsidR="0001681D" w:rsidRDefault="0001681D" w:rsidP="00881D33">
      <w:pPr>
        <w:pStyle w:val="Zkladntext"/>
        <w:spacing w:line="276" w:lineRule="auto"/>
        <w:jc w:val="both"/>
        <w:rPr>
          <w:rFonts w:ascii="Times New Roman" w:hAnsi="Times New Roman"/>
          <w:szCs w:val="24"/>
        </w:rPr>
      </w:pPr>
      <w:r w:rsidRPr="001F11F0">
        <w:rPr>
          <w:rFonts w:ascii="Times New Roman" w:hAnsi="Times New Roman"/>
          <w:szCs w:val="24"/>
        </w:rPr>
        <w:t>IČ</w:t>
      </w:r>
      <w:r w:rsidR="009B22FD">
        <w:rPr>
          <w:rFonts w:ascii="Times New Roman" w:hAnsi="Times New Roman"/>
          <w:szCs w:val="24"/>
        </w:rPr>
        <w:t>O</w:t>
      </w:r>
      <w:r w:rsidRPr="001F11F0">
        <w:rPr>
          <w:rFonts w:ascii="Times New Roman" w:hAnsi="Times New Roman"/>
          <w:szCs w:val="24"/>
        </w:rPr>
        <w:t xml:space="preserve">: </w:t>
      </w:r>
      <w:r w:rsidR="00E74B10">
        <w:rPr>
          <w:rFonts w:ascii="Times New Roman" w:hAnsi="Times New Roman"/>
          <w:szCs w:val="24"/>
        </w:rPr>
        <w:t>28359640</w:t>
      </w:r>
    </w:p>
    <w:p w14:paraId="5BC2A624" w14:textId="379B3B10" w:rsidR="00E74B10" w:rsidRPr="001F11F0" w:rsidRDefault="00E74B10" w:rsidP="00881D33">
      <w:pPr>
        <w:pStyle w:val="Zkladntext"/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DIČ: CZ28359640</w:t>
      </w:r>
    </w:p>
    <w:p w14:paraId="31FA7860" w14:textId="0AD2E9D3" w:rsidR="0001681D" w:rsidRPr="001F11F0" w:rsidRDefault="009B22FD" w:rsidP="00881D33">
      <w:pPr>
        <w:pStyle w:val="Zkladntext"/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zastoupená</w:t>
      </w:r>
      <w:r w:rsidR="0001681D" w:rsidRPr="001F11F0">
        <w:rPr>
          <w:rFonts w:ascii="Times New Roman" w:hAnsi="Times New Roman"/>
          <w:szCs w:val="24"/>
        </w:rPr>
        <w:t xml:space="preserve"> </w:t>
      </w:r>
      <w:r w:rsidR="00E74B10">
        <w:rPr>
          <w:rFonts w:ascii="Times New Roman" w:hAnsi="Times New Roman"/>
          <w:szCs w:val="24"/>
        </w:rPr>
        <w:t>jednatelem společnosti Mgr. P</w:t>
      </w:r>
      <w:r w:rsidR="00912AF7">
        <w:rPr>
          <w:rFonts w:ascii="Times New Roman" w:hAnsi="Times New Roman"/>
          <w:szCs w:val="24"/>
        </w:rPr>
        <w:t xml:space="preserve">avlem Černým </w:t>
      </w:r>
    </w:p>
    <w:p w14:paraId="70E8C6DA" w14:textId="30CF1371" w:rsidR="0001681D" w:rsidRPr="001F11F0" w:rsidRDefault="0001681D" w:rsidP="00881D33">
      <w:pPr>
        <w:pStyle w:val="Zkladntext"/>
        <w:spacing w:line="276" w:lineRule="auto"/>
        <w:jc w:val="both"/>
        <w:rPr>
          <w:rFonts w:ascii="Times New Roman" w:hAnsi="Times New Roman"/>
          <w:szCs w:val="24"/>
        </w:rPr>
      </w:pPr>
      <w:r w:rsidRPr="001F11F0">
        <w:rPr>
          <w:rFonts w:ascii="Times New Roman" w:hAnsi="Times New Roman"/>
          <w:szCs w:val="24"/>
        </w:rPr>
        <w:t xml:space="preserve">(dále jen </w:t>
      </w:r>
      <w:r w:rsidR="00687D12" w:rsidRPr="001F11F0">
        <w:rPr>
          <w:rFonts w:ascii="Times New Roman" w:hAnsi="Times New Roman"/>
          <w:szCs w:val="24"/>
        </w:rPr>
        <w:t>„</w:t>
      </w:r>
      <w:r w:rsidRPr="001F11F0">
        <w:rPr>
          <w:rFonts w:ascii="Times New Roman" w:hAnsi="Times New Roman"/>
          <w:b/>
          <w:szCs w:val="24"/>
        </w:rPr>
        <w:t>advokát</w:t>
      </w:r>
      <w:r w:rsidR="00132A42">
        <w:rPr>
          <w:rFonts w:ascii="Times New Roman" w:hAnsi="Times New Roman"/>
          <w:b/>
          <w:szCs w:val="24"/>
        </w:rPr>
        <w:t>ní kancelář</w:t>
      </w:r>
      <w:r w:rsidR="00687D12" w:rsidRPr="001F11F0">
        <w:rPr>
          <w:rFonts w:ascii="Times New Roman" w:hAnsi="Times New Roman"/>
          <w:szCs w:val="24"/>
        </w:rPr>
        <w:t>“</w:t>
      </w:r>
      <w:r w:rsidRPr="001F11F0">
        <w:rPr>
          <w:rFonts w:ascii="Times New Roman" w:hAnsi="Times New Roman"/>
          <w:szCs w:val="24"/>
        </w:rPr>
        <w:t>)</w:t>
      </w:r>
      <w:r w:rsidR="000A2CBD" w:rsidRPr="001F11F0">
        <w:rPr>
          <w:rFonts w:ascii="Times New Roman" w:hAnsi="Times New Roman"/>
          <w:szCs w:val="24"/>
        </w:rPr>
        <w:t xml:space="preserve"> na straně druhé</w:t>
      </w:r>
      <w:r w:rsidRPr="001F11F0">
        <w:rPr>
          <w:rFonts w:ascii="Times New Roman" w:hAnsi="Times New Roman"/>
          <w:szCs w:val="24"/>
        </w:rPr>
        <w:t>,</w:t>
      </w:r>
    </w:p>
    <w:p w14:paraId="785525DB" w14:textId="77777777" w:rsidR="00D06160" w:rsidRPr="001F11F0" w:rsidRDefault="00D06160" w:rsidP="00881D33">
      <w:pPr>
        <w:pStyle w:val="Zkladntext"/>
        <w:spacing w:line="276" w:lineRule="auto"/>
        <w:jc w:val="both"/>
        <w:rPr>
          <w:rFonts w:ascii="Times New Roman" w:hAnsi="Times New Roman"/>
          <w:szCs w:val="24"/>
        </w:rPr>
      </w:pPr>
    </w:p>
    <w:p w14:paraId="759A4588" w14:textId="7C77134D" w:rsidR="0001681D" w:rsidRPr="001F11F0" w:rsidRDefault="0001681D" w:rsidP="00881D33">
      <w:pPr>
        <w:pStyle w:val="Zkladntext"/>
        <w:spacing w:line="276" w:lineRule="auto"/>
        <w:jc w:val="both"/>
        <w:rPr>
          <w:rFonts w:ascii="Times New Roman" w:hAnsi="Times New Roman"/>
          <w:szCs w:val="24"/>
        </w:rPr>
      </w:pPr>
      <w:r w:rsidRPr="001F11F0">
        <w:rPr>
          <w:rFonts w:ascii="Times New Roman" w:hAnsi="Times New Roman"/>
          <w:szCs w:val="24"/>
        </w:rPr>
        <w:t>(klient a advokát</w:t>
      </w:r>
      <w:r w:rsidR="00132A42">
        <w:rPr>
          <w:rFonts w:ascii="Times New Roman" w:hAnsi="Times New Roman"/>
          <w:szCs w:val="24"/>
        </w:rPr>
        <w:t>ní kancelář</w:t>
      </w:r>
      <w:r w:rsidRPr="001F11F0">
        <w:rPr>
          <w:rFonts w:ascii="Times New Roman" w:hAnsi="Times New Roman"/>
          <w:szCs w:val="24"/>
        </w:rPr>
        <w:t xml:space="preserve"> </w:t>
      </w:r>
      <w:r w:rsidR="009B22FD">
        <w:rPr>
          <w:rFonts w:ascii="Times New Roman" w:hAnsi="Times New Roman"/>
          <w:szCs w:val="24"/>
        </w:rPr>
        <w:t xml:space="preserve">dále </w:t>
      </w:r>
      <w:r w:rsidRPr="001F11F0">
        <w:rPr>
          <w:rFonts w:ascii="Times New Roman" w:hAnsi="Times New Roman"/>
          <w:szCs w:val="24"/>
        </w:rPr>
        <w:t xml:space="preserve">společně </w:t>
      </w:r>
      <w:r w:rsidR="009B22FD">
        <w:rPr>
          <w:rFonts w:ascii="Times New Roman" w:hAnsi="Times New Roman"/>
          <w:szCs w:val="24"/>
        </w:rPr>
        <w:t xml:space="preserve">jen </w:t>
      </w:r>
      <w:r w:rsidRPr="001F11F0">
        <w:rPr>
          <w:rFonts w:ascii="Times New Roman" w:hAnsi="Times New Roman"/>
          <w:szCs w:val="24"/>
        </w:rPr>
        <w:t>jako „</w:t>
      </w:r>
      <w:r w:rsidRPr="001F11F0">
        <w:rPr>
          <w:rFonts w:ascii="Times New Roman" w:hAnsi="Times New Roman"/>
          <w:b/>
          <w:szCs w:val="24"/>
        </w:rPr>
        <w:t>smluvní strany</w:t>
      </w:r>
      <w:r w:rsidRPr="001F11F0">
        <w:rPr>
          <w:rFonts w:ascii="Times New Roman" w:hAnsi="Times New Roman"/>
          <w:szCs w:val="24"/>
        </w:rPr>
        <w:t xml:space="preserve">“), </w:t>
      </w:r>
    </w:p>
    <w:p w14:paraId="3A6A5FBA" w14:textId="77777777" w:rsidR="00D06160" w:rsidRPr="001F11F0" w:rsidRDefault="00D06160" w:rsidP="00881D33">
      <w:pPr>
        <w:pStyle w:val="Zkladntext"/>
        <w:spacing w:line="276" w:lineRule="auto"/>
        <w:jc w:val="center"/>
        <w:rPr>
          <w:rFonts w:ascii="Times New Roman" w:hAnsi="Times New Roman"/>
          <w:szCs w:val="24"/>
        </w:rPr>
      </w:pPr>
    </w:p>
    <w:p w14:paraId="1DE73D03" w14:textId="77777777" w:rsidR="0001681D" w:rsidRPr="001F11F0" w:rsidRDefault="0001681D" w:rsidP="00881D33">
      <w:pPr>
        <w:pStyle w:val="Zkladntext"/>
        <w:spacing w:line="276" w:lineRule="auto"/>
        <w:rPr>
          <w:rFonts w:ascii="Times New Roman" w:hAnsi="Times New Roman"/>
          <w:szCs w:val="24"/>
        </w:rPr>
      </w:pPr>
      <w:r w:rsidRPr="001F11F0">
        <w:rPr>
          <w:rFonts w:ascii="Times New Roman" w:hAnsi="Times New Roman"/>
          <w:szCs w:val="24"/>
        </w:rPr>
        <w:t>níže uvedeného dne, měsíce a roku uzavřel</w:t>
      </w:r>
      <w:r w:rsidR="00F44BB1" w:rsidRPr="001F11F0">
        <w:rPr>
          <w:rFonts w:ascii="Times New Roman" w:hAnsi="Times New Roman"/>
          <w:szCs w:val="24"/>
        </w:rPr>
        <w:t>i</w:t>
      </w:r>
      <w:r w:rsidRPr="001F11F0">
        <w:rPr>
          <w:rFonts w:ascii="Times New Roman" w:hAnsi="Times New Roman"/>
          <w:szCs w:val="24"/>
        </w:rPr>
        <w:t xml:space="preserve"> tuto</w:t>
      </w:r>
    </w:p>
    <w:p w14:paraId="4B1C58C8" w14:textId="77777777" w:rsidR="00D06160" w:rsidRPr="001F11F0" w:rsidRDefault="00D06160" w:rsidP="00881D33">
      <w:pPr>
        <w:pStyle w:val="Zkladntext"/>
        <w:spacing w:line="276" w:lineRule="auto"/>
        <w:rPr>
          <w:rFonts w:ascii="Times New Roman" w:hAnsi="Times New Roman"/>
          <w:szCs w:val="24"/>
        </w:rPr>
      </w:pPr>
    </w:p>
    <w:p w14:paraId="1986CF71" w14:textId="77777777" w:rsidR="00D06160" w:rsidRPr="001F11F0" w:rsidRDefault="00D06160" w:rsidP="00881D33">
      <w:pPr>
        <w:pStyle w:val="Zkladntext"/>
        <w:spacing w:line="276" w:lineRule="auto"/>
        <w:rPr>
          <w:rFonts w:ascii="Times New Roman" w:hAnsi="Times New Roman"/>
          <w:szCs w:val="24"/>
        </w:rPr>
      </w:pPr>
    </w:p>
    <w:p w14:paraId="63D0F345" w14:textId="77777777" w:rsidR="0001681D" w:rsidRPr="001F11F0" w:rsidRDefault="0001681D" w:rsidP="00881D33">
      <w:pPr>
        <w:pStyle w:val="Zkladntext"/>
        <w:spacing w:line="276" w:lineRule="auto"/>
        <w:jc w:val="center"/>
        <w:rPr>
          <w:rFonts w:ascii="Times New Roman" w:hAnsi="Times New Roman"/>
          <w:b/>
          <w:szCs w:val="24"/>
        </w:rPr>
      </w:pPr>
      <w:r w:rsidRPr="001F11F0">
        <w:rPr>
          <w:rFonts w:ascii="Times New Roman" w:hAnsi="Times New Roman"/>
          <w:b/>
          <w:szCs w:val="24"/>
        </w:rPr>
        <w:t>s m l o u v u :</w:t>
      </w:r>
    </w:p>
    <w:p w14:paraId="62119A5F" w14:textId="77777777" w:rsidR="00575A8B" w:rsidRPr="001F11F0" w:rsidRDefault="00575A8B" w:rsidP="00881D33">
      <w:pPr>
        <w:pStyle w:val="Zkladntext"/>
        <w:spacing w:line="276" w:lineRule="auto"/>
        <w:jc w:val="center"/>
        <w:rPr>
          <w:rFonts w:ascii="Times New Roman" w:hAnsi="Times New Roman"/>
          <w:szCs w:val="24"/>
        </w:rPr>
      </w:pPr>
    </w:p>
    <w:p w14:paraId="585C1576" w14:textId="77777777" w:rsidR="00D06160" w:rsidRPr="001F11F0" w:rsidRDefault="00D06160" w:rsidP="00881D33">
      <w:pPr>
        <w:pStyle w:val="Zkladntext"/>
        <w:spacing w:line="276" w:lineRule="auto"/>
        <w:jc w:val="center"/>
        <w:rPr>
          <w:rFonts w:ascii="Times New Roman" w:hAnsi="Times New Roman"/>
          <w:szCs w:val="24"/>
        </w:rPr>
      </w:pPr>
    </w:p>
    <w:p w14:paraId="5FB03FBC" w14:textId="3BF2998F" w:rsidR="00212D6D" w:rsidRDefault="0001681D" w:rsidP="00881D33">
      <w:pPr>
        <w:pStyle w:val="Odstavecseseznamem"/>
        <w:numPr>
          <w:ilvl w:val="0"/>
          <w:numId w:val="13"/>
        </w:numPr>
        <w:spacing w:line="276" w:lineRule="auto"/>
        <w:ind w:left="426" w:hanging="426"/>
        <w:jc w:val="both"/>
      </w:pPr>
      <w:r w:rsidRPr="00091921">
        <w:t>Advokát</w:t>
      </w:r>
      <w:r w:rsidR="00132A42">
        <w:t>ní kancelář</w:t>
      </w:r>
      <w:r w:rsidRPr="00091921">
        <w:t xml:space="preserve"> se zavazuje poskytovat klientovi právní služby a konzultace, vypracovávat posudky a stanoviska, připravovat a sepisovat potřebné písemnosti právního charakteru ve věcech, které mu budou klientem svěřeny k vyřízení.</w:t>
      </w:r>
      <w:r w:rsidR="00132A42">
        <w:t xml:space="preserve"> </w:t>
      </w:r>
      <w:r w:rsidR="00132A42" w:rsidRPr="00132A42">
        <w:t>Právní služby poskytuje advokátní kancelář klientovi prostřednictvím svých advokátů, trvale spolupracujících advokátů, advokátních koncipientů, případně prostřednictvím dalších odborných spolupracovníků a zaměstnanců, je-li to vhodné.</w:t>
      </w:r>
      <w:r w:rsidR="00912AF7">
        <w:t xml:space="preserve"> </w:t>
      </w:r>
    </w:p>
    <w:p w14:paraId="0789F068" w14:textId="77777777" w:rsidR="00091921" w:rsidRDefault="00091921" w:rsidP="00881D33">
      <w:pPr>
        <w:pStyle w:val="Odstavecseseznamem"/>
        <w:spacing w:line="276" w:lineRule="auto"/>
        <w:ind w:left="426"/>
        <w:jc w:val="both"/>
      </w:pPr>
    </w:p>
    <w:p w14:paraId="51D888D7" w14:textId="399FFCD0" w:rsidR="00212D6D" w:rsidRPr="00A0713F" w:rsidRDefault="0001681D" w:rsidP="00881D33">
      <w:pPr>
        <w:pStyle w:val="Odstavecseseznamem"/>
        <w:numPr>
          <w:ilvl w:val="0"/>
          <w:numId w:val="13"/>
        </w:numPr>
        <w:spacing w:line="276" w:lineRule="auto"/>
        <w:ind w:left="426" w:hanging="426"/>
        <w:jc w:val="both"/>
      </w:pPr>
      <w:r w:rsidRPr="00A0713F">
        <w:t>Advokát</w:t>
      </w:r>
      <w:r w:rsidR="00132A42">
        <w:t>ní kancelář</w:t>
      </w:r>
      <w:r w:rsidRPr="00A0713F">
        <w:t xml:space="preserve"> se zavazuje poskytovat klientovi právní služby s odbornou pé</w:t>
      </w:r>
      <w:r w:rsidRPr="00A0713F">
        <w:rPr>
          <w:rFonts w:hint="eastAsia"/>
        </w:rPr>
        <w:t>čí</w:t>
      </w:r>
      <w:r w:rsidRPr="00A0713F">
        <w:t>, chránit a</w:t>
      </w:r>
      <w:r w:rsidR="00687D12">
        <w:t> </w:t>
      </w:r>
      <w:r w:rsidRPr="00A0713F">
        <w:t xml:space="preserve">prosazovat práva klienta a </w:t>
      </w:r>
      <w:r w:rsidRPr="00A0713F">
        <w:rPr>
          <w:rFonts w:hint="eastAsia"/>
        </w:rPr>
        <w:t>ří</w:t>
      </w:r>
      <w:r w:rsidRPr="00A0713F">
        <w:t>dit se jeho pokyny.</w:t>
      </w:r>
    </w:p>
    <w:p w14:paraId="7B068FBF" w14:textId="77777777" w:rsidR="00212D6D" w:rsidRPr="00A0713F" w:rsidRDefault="00212D6D" w:rsidP="00881D33">
      <w:pPr>
        <w:pStyle w:val="Odstavecseseznamem"/>
        <w:spacing w:line="276" w:lineRule="auto"/>
        <w:ind w:left="426"/>
        <w:jc w:val="both"/>
      </w:pPr>
    </w:p>
    <w:p w14:paraId="45C584F4" w14:textId="04BEA198" w:rsidR="0001681D" w:rsidRDefault="0001681D" w:rsidP="00881D33">
      <w:pPr>
        <w:pStyle w:val="Odstavecseseznamem"/>
        <w:numPr>
          <w:ilvl w:val="0"/>
          <w:numId w:val="13"/>
        </w:numPr>
        <w:spacing w:line="276" w:lineRule="auto"/>
        <w:ind w:left="426" w:hanging="426"/>
        <w:jc w:val="both"/>
      </w:pPr>
      <w:r w:rsidRPr="00A0713F">
        <w:t>Klient se zavazuje poskytovat advokát</w:t>
      </w:r>
      <w:r w:rsidR="00132A42">
        <w:t>ní kanceláři</w:t>
      </w:r>
      <w:r w:rsidRPr="00A0713F">
        <w:t xml:space="preserve"> v</w:t>
      </w:r>
      <w:r w:rsidRPr="00A0713F">
        <w:rPr>
          <w:rFonts w:hint="eastAsia"/>
        </w:rPr>
        <w:t>č</w:t>
      </w:r>
      <w:r w:rsidRPr="00A0713F">
        <w:t xml:space="preserve">as </w:t>
      </w:r>
      <w:r w:rsidRPr="00A0713F">
        <w:rPr>
          <w:rFonts w:hint="eastAsia"/>
        </w:rPr>
        <w:t>ú</w:t>
      </w:r>
      <w:r w:rsidRPr="00A0713F">
        <w:t>plné a pravdivé informace a p</w:t>
      </w:r>
      <w:r w:rsidRPr="00A0713F">
        <w:rPr>
          <w:rFonts w:hint="eastAsia"/>
        </w:rPr>
        <w:t>ř</w:t>
      </w:r>
      <w:r w:rsidRPr="00A0713F">
        <w:t xml:space="preserve">edkládat </w:t>
      </w:r>
      <w:r w:rsidR="00132A42">
        <w:t>ji</w:t>
      </w:r>
      <w:r w:rsidR="00132A42" w:rsidRPr="00A0713F">
        <w:t xml:space="preserve"> </w:t>
      </w:r>
      <w:r w:rsidRPr="00A0713F">
        <w:t>listinné materiály pot</w:t>
      </w:r>
      <w:r w:rsidRPr="00A0713F">
        <w:rPr>
          <w:rFonts w:hint="eastAsia"/>
        </w:rPr>
        <w:t>ř</w:t>
      </w:r>
      <w:r w:rsidRPr="00A0713F">
        <w:t xml:space="preserve">ebné k </w:t>
      </w:r>
      <w:r w:rsidRPr="00A0713F">
        <w:rPr>
          <w:rFonts w:hint="eastAsia"/>
        </w:rPr>
        <w:t>řá</w:t>
      </w:r>
      <w:r w:rsidRPr="00A0713F">
        <w:t>dnému právnímu zastoupení v</w:t>
      </w:r>
      <w:r w:rsidRPr="00A0713F">
        <w:rPr>
          <w:rFonts w:hint="eastAsia"/>
        </w:rPr>
        <w:t>č</w:t>
      </w:r>
      <w:r w:rsidRPr="00A0713F">
        <w:t>etn</w:t>
      </w:r>
      <w:r w:rsidRPr="00A0713F">
        <w:rPr>
          <w:rFonts w:hint="eastAsia"/>
        </w:rPr>
        <w:t>ě</w:t>
      </w:r>
      <w:r w:rsidRPr="00A0713F">
        <w:t xml:space="preserve"> p</w:t>
      </w:r>
      <w:r w:rsidRPr="00A0713F">
        <w:rPr>
          <w:rFonts w:hint="eastAsia"/>
        </w:rPr>
        <w:t>ří</w:t>
      </w:r>
      <w:r w:rsidRPr="00A0713F">
        <w:t>slušných d</w:t>
      </w:r>
      <w:r w:rsidRPr="00A0713F">
        <w:rPr>
          <w:rFonts w:hint="eastAsia"/>
        </w:rPr>
        <w:t>ů</w:t>
      </w:r>
      <w:r w:rsidRPr="00A0713F">
        <w:t>kazních prost</w:t>
      </w:r>
      <w:r w:rsidRPr="00A0713F">
        <w:rPr>
          <w:rFonts w:hint="eastAsia"/>
        </w:rPr>
        <w:t>ř</w:t>
      </w:r>
      <w:r w:rsidRPr="00A0713F">
        <w:t>edk</w:t>
      </w:r>
      <w:r w:rsidRPr="00A0713F">
        <w:rPr>
          <w:rFonts w:hint="eastAsia"/>
        </w:rPr>
        <w:t>ů</w:t>
      </w:r>
      <w:r w:rsidRPr="00A0713F">
        <w:t xml:space="preserve">. Klient odpovídá za pravdivost </w:t>
      </w:r>
      <w:r w:rsidRPr="00A0713F">
        <w:rPr>
          <w:rFonts w:hint="eastAsia"/>
        </w:rPr>
        <w:t>ú</w:t>
      </w:r>
      <w:r w:rsidRPr="00A0713F">
        <w:t>daj</w:t>
      </w:r>
      <w:r w:rsidRPr="00A0713F">
        <w:rPr>
          <w:rFonts w:hint="eastAsia"/>
        </w:rPr>
        <w:t>ů</w:t>
      </w:r>
      <w:r w:rsidRPr="00A0713F">
        <w:t xml:space="preserve">, které </w:t>
      </w:r>
      <w:r w:rsidR="00132A42" w:rsidRPr="00A0713F">
        <w:t>advokát</w:t>
      </w:r>
      <w:r w:rsidR="00132A42">
        <w:t>ní kanceláři</w:t>
      </w:r>
      <w:r w:rsidR="00132A42" w:rsidRPr="00A0713F">
        <w:t xml:space="preserve"> </w:t>
      </w:r>
      <w:r w:rsidRPr="00A0713F">
        <w:t>v</w:t>
      </w:r>
      <w:r w:rsidR="00687D12">
        <w:t> </w:t>
      </w:r>
      <w:r w:rsidRPr="00A0713F">
        <w:t xml:space="preserve">souvislosti s </w:t>
      </w:r>
      <w:r w:rsidR="00132A42" w:rsidRPr="00A0713F">
        <w:t>je</w:t>
      </w:r>
      <w:r w:rsidR="00132A42">
        <w:t>jími</w:t>
      </w:r>
      <w:r w:rsidR="00132A42" w:rsidRPr="00A0713F">
        <w:t xml:space="preserve"> </w:t>
      </w:r>
      <w:r w:rsidRPr="00A0713F">
        <w:t>právními službami poskytl, a je si v</w:t>
      </w:r>
      <w:r w:rsidRPr="00A0713F">
        <w:rPr>
          <w:rFonts w:hint="eastAsia"/>
        </w:rPr>
        <w:t>ě</w:t>
      </w:r>
      <w:r w:rsidRPr="00A0713F">
        <w:t>dom nebezpe</w:t>
      </w:r>
      <w:r w:rsidRPr="00A0713F">
        <w:rPr>
          <w:rFonts w:hint="eastAsia"/>
        </w:rPr>
        <w:t>čí</w:t>
      </w:r>
      <w:r w:rsidRPr="00A0713F">
        <w:t xml:space="preserve"> škody, které by nepravdivé informace mohly zp</w:t>
      </w:r>
      <w:r w:rsidRPr="00A0713F">
        <w:rPr>
          <w:rFonts w:hint="eastAsia"/>
        </w:rPr>
        <w:t>ů</w:t>
      </w:r>
      <w:r w:rsidRPr="00A0713F">
        <w:t>sobit, pokud jde o výsledek právních služeb.</w:t>
      </w:r>
    </w:p>
    <w:p w14:paraId="4F5468FC" w14:textId="77777777" w:rsidR="005F6313" w:rsidRDefault="005F6313" w:rsidP="005F6313">
      <w:pPr>
        <w:pStyle w:val="Odstavecseseznamem"/>
      </w:pPr>
    </w:p>
    <w:p w14:paraId="66CAB833" w14:textId="37550184" w:rsidR="0001681D" w:rsidRDefault="0001681D" w:rsidP="00881D33">
      <w:pPr>
        <w:pStyle w:val="Odstavecseseznamem"/>
        <w:numPr>
          <w:ilvl w:val="0"/>
          <w:numId w:val="13"/>
        </w:numPr>
        <w:spacing w:line="276" w:lineRule="auto"/>
        <w:ind w:left="426" w:hanging="426"/>
        <w:jc w:val="both"/>
      </w:pPr>
      <w:r w:rsidRPr="00A0713F">
        <w:lastRenderedPageBreak/>
        <w:t>Advokát</w:t>
      </w:r>
      <w:r w:rsidR="00132A42">
        <w:t>ní kancelář</w:t>
      </w:r>
      <w:r w:rsidRPr="00A0713F">
        <w:t xml:space="preserve"> je </w:t>
      </w:r>
      <w:r w:rsidR="00132A42" w:rsidRPr="00A0713F">
        <w:t>povin</w:t>
      </w:r>
      <w:r w:rsidR="00132A42">
        <w:t>na</w:t>
      </w:r>
      <w:r w:rsidR="00132A42" w:rsidRPr="00A0713F">
        <w:t xml:space="preserve"> </w:t>
      </w:r>
      <w:r w:rsidRPr="00A0713F">
        <w:t>zachovávat ml</w:t>
      </w:r>
      <w:r w:rsidRPr="00A0713F">
        <w:rPr>
          <w:rFonts w:hint="eastAsia"/>
        </w:rPr>
        <w:t>č</w:t>
      </w:r>
      <w:r w:rsidRPr="00A0713F">
        <w:t>enlivost o všech skute</w:t>
      </w:r>
      <w:r w:rsidRPr="00A0713F">
        <w:rPr>
          <w:rFonts w:hint="eastAsia"/>
        </w:rPr>
        <w:t>č</w:t>
      </w:r>
      <w:r w:rsidRPr="00A0713F">
        <w:t>nostech, o nichž se dozv</w:t>
      </w:r>
      <w:r w:rsidRPr="00A0713F">
        <w:rPr>
          <w:rFonts w:hint="eastAsia"/>
        </w:rPr>
        <w:t>ě</w:t>
      </w:r>
      <w:r w:rsidRPr="00A0713F">
        <w:t>d</w:t>
      </w:r>
      <w:r w:rsidRPr="00A0713F">
        <w:rPr>
          <w:rFonts w:hint="eastAsia"/>
        </w:rPr>
        <w:t>ě</w:t>
      </w:r>
      <w:r w:rsidRPr="00A0713F">
        <w:t>l</w:t>
      </w:r>
      <w:r w:rsidR="00132A42">
        <w:t>a</w:t>
      </w:r>
      <w:r w:rsidRPr="00A0713F">
        <w:t xml:space="preserve"> v</w:t>
      </w:r>
      <w:r w:rsidR="00687D12">
        <w:t> </w:t>
      </w:r>
      <w:r w:rsidRPr="00A0713F">
        <w:t>souvislosti s poskytováním právních služeb, a to podle pravidel stanovených zákonem o advokacii</w:t>
      </w:r>
      <w:r w:rsidR="0037110D">
        <w:t xml:space="preserve"> </w:t>
      </w:r>
      <w:r w:rsidR="0037110D" w:rsidRPr="0037110D">
        <w:t>a příslušnými stavovskými předpisy</w:t>
      </w:r>
      <w:r w:rsidRPr="00A0713F">
        <w:t>.</w:t>
      </w:r>
    </w:p>
    <w:p w14:paraId="5327F533" w14:textId="77777777" w:rsidR="005F6313" w:rsidRPr="00A0713F" w:rsidRDefault="005F6313" w:rsidP="005F6313">
      <w:pPr>
        <w:spacing w:line="276" w:lineRule="auto"/>
        <w:jc w:val="both"/>
      </w:pPr>
    </w:p>
    <w:p w14:paraId="79F869A6" w14:textId="4C900505" w:rsidR="00EB4AD6" w:rsidRPr="00AB2D0E" w:rsidRDefault="0037110D" w:rsidP="005169B0">
      <w:pPr>
        <w:pStyle w:val="Odstavecseseznamem"/>
        <w:numPr>
          <w:ilvl w:val="0"/>
          <w:numId w:val="13"/>
        </w:numPr>
        <w:spacing w:after="120" w:line="276" w:lineRule="auto"/>
        <w:ind w:left="425" w:hanging="425"/>
        <w:contextualSpacing w:val="0"/>
        <w:jc w:val="both"/>
      </w:pPr>
      <w:r>
        <w:t>P</w:t>
      </w:r>
      <w:r w:rsidR="000A1BBA">
        <w:t xml:space="preserve">ředmětem této smlouvy </w:t>
      </w:r>
      <w:r>
        <w:t xml:space="preserve">jsou </w:t>
      </w:r>
      <w:r w:rsidR="000A1BBA">
        <w:t>právní služby</w:t>
      </w:r>
      <w:r w:rsidR="00A6633E" w:rsidRPr="00A0713F">
        <w:t xml:space="preserve"> spo</w:t>
      </w:r>
      <w:r w:rsidR="00A6633E" w:rsidRPr="00A0713F">
        <w:rPr>
          <w:rFonts w:hint="eastAsia"/>
        </w:rPr>
        <w:t>čí</w:t>
      </w:r>
      <w:r w:rsidR="00A6633E" w:rsidRPr="00A0713F">
        <w:t xml:space="preserve">vající </w:t>
      </w:r>
      <w:r w:rsidR="00E74B10">
        <w:t>v </w:t>
      </w:r>
      <w:r w:rsidR="00EB4AD6" w:rsidRPr="00AB2D0E">
        <w:t>poskytování právní pomoci</w:t>
      </w:r>
      <w:r w:rsidR="00EB4AD6">
        <w:t xml:space="preserve">, </w:t>
      </w:r>
      <w:r w:rsidR="00EB4AD6" w:rsidRPr="00AB2D0E">
        <w:t>služeb</w:t>
      </w:r>
      <w:r w:rsidR="00EB4AD6">
        <w:t>, konzultací a poradenství</w:t>
      </w:r>
      <w:r w:rsidR="00EB4AD6" w:rsidRPr="00AB2D0E">
        <w:t xml:space="preserve"> pro zadavatele právním zástupcem</w:t>
      </w:r>
      <w:r w:rsidR="00EB4AD6">
        <w:t>/</w:t>
      </w:r>
      <w:r w:rsidR="00EB4AD6" w:rsidRPr="00AB2D0E">
        <w:t>advokátem</w:t>
      </w:r>
      <w:r w:rsidR="00132A42">
        <w:t>/advokátní kanceláří</w:t>
      </w:r>
      <w:r w:rsidR="00EB4AD6" w:rsidRPr="00AB2D0E">
        <w:t xml:space="preserve"> ve věcech souvisejících s kompetencemi a činnostmi zadavatele, a to zejména zpracování právních stanovisek, analýz, poskytování konzultací</w:t>
      </w:r>
      <w:r w:rsidR="00EB4AD6">
        <w:t>, poradenství</w:t>
      </w:r>
      <w:r w:rsidR="00EB4AD6" w:rsidRPr="00AB2D0E">
        <w:t xml:space="preserve"> a dalších forem právních služeb v oblastech: </w:t>
      </w:r>
    </w:p>
    <w:p w14:paraId="49F9F5D9" w14:textId="77777777" w:rsidR="00EB4AD6" w:rsidRDefault="00EB4AD6" w:rsidP="00EB4AD6">
      <w:pPr>
        <w:pStyle w:val="Odstavecseseznamem"/>
        <w:numPr>
          <w:ilvl w:val="0"/>
          <w:numId w:val="19"/>
        </w:numPr>
        <w:spacing w:after="160" w:line="259" w:lineRule="auto"/>
        <w:jc w:val="both"/>
      </w:pPr>
      <w:r>
        <w:t>komunitní energetiky, zejména podmínkách vzniku občanských energetických společenství nebo společenství pro obnovitelné zdroje v souladu s evropskými předpisy a národní legislativou,</w:t>
      </w:r>
    </w:p>
    <w:p w14:paraId="15595915" w14:textId="77777777" w:rsidR="00EB4AD6" w:rsidRDefault="00EB4AD6" w:rsidP="00EB4AD6">
      <w:pPr>
        <w:pStyle w:val="Odstavecseseznamem"/>
        <w:numPr>
          <w:ilvl w:val="0"/>
          <w:numId w:val="19"/>
        </w:numPr>
        <w:spacing w:after="160" w:line="259" w:lineRule="auto"/>
        <w:jc w:val="both"/>
      </w:pPr>
      <w:r>
        <w:t>dosahování úspor energií a zvyšování účinností zdrojů, využití obnovitelných a druhotných zdrojů energie a snižování energetické náročnosti budov,</w:t>
      </w:r>
    </w:p>
    <w:p w14:paraId="1FBB268A" w14:textId="77777777" w:rsidR="00EB4AD6" w:rsidRDefault="00EB4AD6" w:rsidP="00EB4AD6">
      <w:pPr>
        <w:pStyle w:val="Odstavecseseznamem"/>
        <w:numPr>
          <w:ilvl w:val="0"/>
          <w:numId w:val="19"/>
        </w:numPr>
        <w:spacing w:after="160" w:line="259" w:lineRule="auto"/>
        <w:jc w:val="both"/>
      </w:pPr>
      <w:r>
        <w:t>přípravy na implementaci požadavků evropské legislativy v oblasti energetiky (Zimní energetický balíček, strategie Zelená dohoda pro Evropu apod.),</w:t>
      </w:r>
    </w:p>
    <w:p w14:paraId="69C2408A" w14:textId="77777777" w:rsidR="00EB4AD6" w:rsidRDefault="00EB4AD6" w:rsidP="00EB4AD6">
      <w:pPr>
        <w:pStyle w:val="Odstavecseseznamem"/>
        <w:numPr>
          <w:ilvl w:val="0"/>
          <w:numId w:val="19"/>
        </w:numPr>
        <w:spacing w:after="160" w:line="259" w:lineRule="auto"/>
        <w:jc w:val="both"/>
      </w:pPr>
      <w:r w:rsidRPr="0062684F">
        <w:t xml:space="preserve">zpracování </w:t>
      </w:r>
      <w:r>
        <w:t>analýzy</w:t>
      </w:r>
      <w:r w:rsidRPr="0062684F">
        <w:t xml:space="preserve"> zaměřené na problematiku odpojování od soustavy centrálního zásobování teplem, včetně právního posouzení v kontextu relevantní legislativy a návrhů opatření se zaměřením na výhody a rizika odpojování koncových spotřebitelů s možným následným rozpadem sítě</w:t>
      </w:r>
      <w:r>
        <w:t>,</w:t>
      </w:r>
    </w:p>
    <w:p w14:paraId="5C32E81D" w14:textId="77777777" w:rsidR="00EB4AD6" w:rsidRDefault="00EB4AD6" w:rsidP="00EB4AD6">
      <w:pPr>
        <w:pStyle w:val="Odstavecseseznamem"/>
        <w:numPr>
          <w:ilvl w:val="0"/>
          <w:numId w:val="19"/>
        </w:numPr>
        <w:spacing w:after="160" w:line="259" w:lineRule="auto"/>
        <w:jc w:val="both"/>
      </w:pPr>
      <w:r>
        <w:t>transformace energeticky náročného tradičního průmyslu (hutnictví) na nové nízkoemisní technologie (využití malých modulárních reaktorů a vodíku) při zpracování surového železa,</w:t>
      </w:r>
    </w:p>
    <w:p w14:paraId="27FF95A6" w14:textId="77777777" w:rsidR="00EB4AD6" w:rsidRDefault="00EB4AD6" w:rsidP="00EB4AD6">
      <w:pPr>
        <w:pStyle w:val="Odstavecseseznamem"/>
        <w:numPr>
          <w:ilvl w:val="0"/>
          <w:numId w:val="19"/>
        </w:numPr>
        <w:spacing w:after="160" w:line="259" w:lineRule="auto"/>
        <w:jc w:val="both"/>
      </w:pPr>
      <w:r>
        <w:t>analýzy využití a dopadů zdrojů financování projektů z fondů Evropské unie (Fond spravedlivé transformace, Modernizačního fondu, národní operační programy apod.),</w:t>
      </w:r>
    </w:p>
    <w:p w14:paraId="131CD77A" w14:textId="77777777" w:rsidR="00EB4AD6" w:rsidRDefault="00EB4AD6" w:rsidP="00EB4AD6">
      <w:pPr>
        <w:pStyle w:val="Odstavecseseznamem"/>
        <w:numPr>
          <w:ilvl w:val="0"/>
          <w:numId w:val="19"/>
        </w:numPr>
        <w:spacing w:after="160" w:line="259" w:lineRule="auto"/>
        <w:jc w:val="both"/>
      </w:pPr>
      <w:r>
        <w:t>konzultace, připomínkování a posouzení strategických dokumentů v oblastech aktivit zadavatele (Územní energetická koncepce Moravskoslezského kraje apod.),</w:t>
      </w:r>
    </w:p>
    <w:p w14:paraId="54831273" w14:textId="5E0D8CA5" w:rsidR="00EB4AD6" w:rsidRDefault="00EB4AD6" w:rsidP="00EB4AD6">
      <w:pPr>
        <w:pStyle w:val="Odstavecseseznamem"/>
        <w:numPr>
          <w:ilvl w:val="0"/>
          <w:numId w:val="19"/>
        </w:numPr>
        <w:spacing w:after="160" w:line="259" w:lineRule="auto"/>
        <w:jc w:val="both"/>
      </w:pPr>
      <w:r>
        <w:t>právní agendy příspěvkové organizace,</w:t>
      </w:r>
    </w:p>
    <w:p w14:paraId="5A93865F" w14:textId="4367A948" w:rsidR="00EB4AD6" w:rsidRDefault="00EB4AD6" w:rsidP="00912AF7">
      <w:pPr>
        <w:pStyle w:val="Odstavecseseznamem"/>
        <w:numPr>
          <w:ilvl w:val="0"/>
          <w:numId w:val="19"/>
        </w:numPr>
        <w:spacing w:after="160" w:line="259" w:lineRule="auto"/>
        <w:jc w:val="both"/>
      </w:pPr>
      <w:r>
        <w:t>přípravy a administrace výběrových, zadávacích a dotačních řízení, analýzy postupu v dotačních řízeních.</w:t>
      </w:r>
    </w:p>
    <w:p w14:paraId="25706046" w14:textId="5800A45F" w:rsidR="00814DFE" w:rsidRDefault="00814DFE" w:rsidP="00814DFE">
      <w:pPr>
        <w:spacing w:after="120" w:line="276" w:lineRule="auto"/>
        <w:ind w:left="425"/>
        <w:jc w:val="both"/>
      </w:pPr>
      <w:r>
        <w:t>Reakční doba pro splnění požadavku klienta:</w:t>
      </w:r>
    </w:p>
    <w:p w14:paraId="2BAEC015" w14:textId="17074CB6" w:rsidR="00814DFE" w:rsidRDefault="00814DFE" w:rsidP="00814DFE">
      <w:pPr>
        <w:pStyle w:val="Odstavecseseznamem"/>
        <w:numPr>
          <w:ilvl w:val="0"/>
          <w:numId w:val="14"/>
        </w:numPr>
        <w:spacing w:after="120" w:line="276" w:lineRule="auto"/>
        <w:jc w:val="both"/>
      </w:pPr>
      <w:r>
        <w:t>konzultace telefonická nebo videokonferenční – zavolání zpět do 1 hod v pracovní dny v rozmezí 8:00-18:00 hod;</w:t>
      </w:r>
    </w:p>
    <w:p w14:paraId="1224AF89" w14:textId="46D91156" w:rsidR="00814DFE" w:rsidRDefault="00814DFE" w:rsidP="00814DFE">
      <w:pPr>
        <w:pStyle w:val="Odstavecseseznamem"/>
        <w:numPr>
          <w:ilvl w:val="0"/>
          <w:numId w:val="14"/>
        </w:numPr>
        <w:spacing w:after="120" w:line="276" w:lineRule="auto"/>
        <w:jc w:val="both"/>
      </w:pPr>
      <w:r>
        <w:t xml:space="preserve">osobní konzultace formou schůzky – termín schůzky následující den po </w:t>
      </w:r>
      <w:r w:rsidR="0021782F">
        <w:t>požádání;</w:t>
      </w:r>
    </w:p>
    <w:p w14:paraId="107AFA0B" w14:textId="37D1D20A" w:rsidR="0021782F" w:rsidRDefault="0021782F" w:rsidP="00814DFE">
      <w:pPr>
        <w:pStyle w:val="Odstavecseseznamem"/>
        <w:numPr>
          <w:ilvl w:val="0"/>
          <w:numId w:val="14"/>
        </w:numPr>
        <w:spacing w:after="120" w:line="276" w:lineRule="auto"/>
        <w:jc w:val="both"/>
      </w:pPr>
      <w:r>
        <w:t>konzultace formou e-mailu – odpověď do 2 hod v pracovní dny v rozmezí 8:00-18:00 hod, během víkendů stručná reakce s návrhem postupu pro další řešení.</w:t>
      </w:r>
    </w:p>
    <w:p w14:paraId="3B7EAB1C" w14:textId="77777777" w:rsidR="008E2224" w:rsidRPr="00A0713F" w:rsidRDefault="008E2224" w:rsidP="00881D33">
      <w:pPr>
        <w:pStyle w:val="Odstavecseseznamem"/>
        <w:spacing w:line="276" w:lineRule="auto"/>
        <w:ind w:left="426"/>
        <w:jc w:val="both"/>
      </w:pPr>
    </w:p>
    <w:p w14:paraId="04B393F3" w14:textId="108B4834" w:rsidR="001744B3" w:rsidRDefault="00C31CB0" w:rsidP="00562BD8">
      <w:pPr>
        <w:pStyle w:val="Odstavecseseznamem"/>
        <w:numPr>
          <w:ilvl w:val="0"/>
          <w:numId w:val="13"/>
        </w:numPr>
        <w:spacing w:line="276" w:lineRule="auto"/>
        <w:ind w:left="425" w:hanging="426"/>
        <w:jc w:val="both"/>
      </w:pPr>
      <w:r w:rsidRPr="00A0713F">
        <w:t xml:space="preserve">Za poskytované </w:t>
      </w:r>
      <w:r w:rsidR="0037110D">
        <w:t xml:space="preserve">výše specifikované </w:t>
      </w:r>
      <w:r w:rsidRPr="00A0713F">
        <w:t xml:space="preserve">právní </w:t>
      </w:r>
      <w:r w:rsidR="00F31B4C" w:rsidRPr="00A0713F">
        <w:t xml:space="preserve">služby </w:t>
      </w:r>
      <w:r w:rsidRPr="00A0713F">
        <w:t xml:space="preserve">se klient zavazuje zaplatit </w:t>
      </w:r>
      <w:r w:rsidR="00132A42" w:rsidRPr="00A0713F">
        <w:t>advokát</w:t>
      </w:r>
      <w:r w:rsidR="00132A42">
        <w:t xml:space="preserve">ní kanceláři </w:t>
      </w:r>
      <w:r w:rsidRPr="00A0713F">
        <w:t>smluvní odm</w:t>
      </w:r>
      <w:r w:rsidRPr="00A0713F">
        <w:rPr>
          <w:rFonts w:hint="eastAsia"/>
        </w:rPr>
        <w:t>ě</w:t>
      </w:r>
      <w:r w:rsidRPr="00A0713F">
        <w:t xml:space="preserve">nu za každou hodinu poskytování právních služeb ve výši </w:t>
      </w:r>
      <w:r w:rsidR="00814DFE">
        <w:t>1 840,-</w:t>
      </w:r>
      <w:r w:rsidRPr="00A0713F">
        <w:t xml:space="preserve"> K</w:t>
      </w:r>
      <w:r w:rsidRPr="00A0713F">
        <w:rPr>
          <w:rFonts w:hint="eastAsia"/>
        </w:rPr>
        <w:t>č</w:t>
      </w:r>
      <w:r w:rsidRPr="00A0713F">
        <w:t xml:space="preserve"> (slovy: </w:t>
      </w:r>
      <w:proofErr w:type="spellStart"/>
      <w:r w:rsidR="00814DFE">
        <w:t>jedentisícosmsetčtyřicet</w:t>
      </w:r>
      <w:proofErr w:type="spellEnd"/>
      <w:r w:rsidRPr="00A0713F">
        <w:t xml:space="preserve"> korun </w:t>
      </w:r>
      <w:r w:rsidRPr="00A0713F">
        <w:rPr>
          <w:rFonts w:hint="eastAsia"/>
        </w:rPr>
        <w:t>č</w:t>
      </w:r>
      <w:r w:rsidRPr="00A0713F">
        <w:t>eských)</w:t>
      </w:r>
      <w:r w:rsidR="006A6939" w:rsidRPr="00C33BC7">
        <w:t xml:space="preserve"> bez DPH</w:t>
      </w:r>
      <w:r w:rsidR="00814DFE">
        <w:t xml:space="preserve"> (2 226,40 Kč vč. DPH)</w:t>
      </w:r>
      <w:r w:rsidRPr="00C33BC7">
        <w:t>.</w:t>
      </w:r>
      <w:r w:rsidR="00D06702" w:rsidRPr="00C33BC7">
        <w:t xml:space="preserve"> Smluvní strany </w:t>
      </w:r>
      <w:r w:rsidR="00091921">
        <w:t>předpokládají</w:t>
      </w:r>
      <w:r w:rsidR="00D06702" w:rsidRPr="00C33BC7">
        <w:t>, že po</w:t>
      </w:r>
      <w:r w:rsidR="00D06702" w:rsidRPr="00C33BC7">
        <w:rPr>
          <w:rFonts w:hint="eastAsia"/>
        </w:rPr>
        <w:t>č</w:t>
      </w:r>
      <w:r w:rsidR="00D06702" w:rsidRPr="00C33BC7">
        <w:t xml:space="preserve">et hodin právních služeb poskytnutých podle </w:t>
      </w:r>
      <w:r w:rsidR="00C33BC7">
        <w:t xml:space="preserve">odst. 5 </w:t>
      </w:r>
      <w:r w:rsidR="00D06702" w:rsidRPr="00C33BC7">
        <w:t xml:space="preserve">této </w:t>
      </w:r>
      <w:r w:rsidR="00D06702" w:rsidRPr="00874D25">
        <w:t>smlouvy nep</w:t>
      </w:r>
      <w:r w:rsidR="00D06702" w:rsidRPr="00874D25">
        <w:rPr>
          <w:rFonts w:hint="eastAsia"/>
        </w:rPr>
        <w:t>ř</w:t>
      </w:r>
      <w:r w:rsidR="00D06702" w:rsidRPr="00A0713F">
        <w:t xml:space="preserve">esáhne </w:t>
      </w:r>
      <w:r w:rsidR="00562BD8">
        <w:t>543</w:t>
      </w:r>
      <w:r w:rsidR="00787C09" w:rsidRPr="00A0713F">
        <w:t xml:space="preserve"> </w:t>
      </w:r>
      <w:r w:rsidR="00D06702" w:rsidRPr="00A0713F">
        <w:t>hodin právních služeb</w:t>
      </w:r>
      <w:r w:rsidR="0037110D">
        <w:t>,</w:t>
      </w:r>
      <w:r w:rsidR="00091921">
        <w:t xml:space="preserve"> </w:t>
      </w:r>
      <w:r w:rsidR="00091921" w:rsidRPr="00091921">
        <w:t xml:space="preserve">a </w:t>
      </w:r>
      <w:r w:rsidR="00264284">
        <w:t xml:space="preserve">tedy </w:t>
      </w:r>
      <w:r w:rsidR="00091921" w:rsidRPr="00091921">
        <w:t>že smluvní odměna advokát</w:t>
      </w:r>
      <w:r w:rsidR="0037110D">
        <w:t>a</w:t>
      </w:r>
      <w:r w:rsidR="00091921" w:rsidRPr="00091921">
        <w:t xml:space="preserve"> za poskytování právních služeb</w:t>
      </w:r>
      <w:r w:rsidR="00C33BC7">
        <w:t xml:space="preserve"> </w:t>
      </w:r>
      <w:r w:rsidR="00787C09">
        <w:t>v hodinové sazbě ne</w:t>
      </w:r>
      <w:r w:rsidR="007466E0">
        <w:t>p</w:t>
      </w:r>
      <w:r w:rsidR="00091921" w:rsidRPr="00091921">
        <w:t>řesáhne částku ve výši</w:t>
      </w:r>
      <w:r w:rsidR="00562BD8">
        <w:t xml:space="preserve"> 1 000 000</w:t>
      </w:r>
      <w:r w:rsidR="0037110D">
        <w:t xml:space="preserve"> </w:t>
      </w:r>
      <w:r w:rsidR="00091921" w:rsidRPr="00091921">
        <w:t>Kč bez DPH.</w:t>
      </w:r>
      <w:r w:rsidR="00D06702" w:rsidRPr="00C33BC7">
        <w:t xml:space="preserve"> </w:t>
      </w:r>
    </w:p>
    <w:p w14:paraId="4A5D9F8C" w14:textId="77777777" w:rsidR="005F6313" w:rsidRDefault="005F6313" w:rsidP="005F6313">
      <w:pPr>
        <w:pStyle w:val="Odstavecseseznamem"/>
        <w:spacing w:line="276" w:lineRule="auto"/>
        <w:ind w:left="425"/>
        <w:jc w:val="both"/>
      </w:pPr>
    </w:p>
    <w:p w14:paraId="783F8CEB" w14:textId="5FF55E18" w:rsidR="00F9791D" w:rsidRPr="00A0713F" w:rsidRDefault="00B35BC2" w:rsidP="001744B3">
      <w:pPr>
        <w:pStyle w:val="Odstavecseseznamem"/>
        <w:numPr>
          <w:ilvl w:val="0"/>
          <w:numId w:val="13"/>
        </w:numPr>
        <w:spacing w:line="276" w:lineRule="auto"/>
        <w:ind w:left="426" w:hanging="426"/>
        <w:jc w:val="both"/>
      </w:pPr>
      <w:r w:rsidRPr="00C33BC7">
        <w:t>K</w:t>
      </w:r>
      <w:r w:rsidR="001744B3">
        <w:t> část</w:t>
      </w:r>
      <w:r w:rsidR="002F267E">
        <w:t>ce</w:t>
      </w:r>
      <w:r w:rsidR="001744B3">
        <w:t xml:space="preserve"> uveden</w:t>
      </w:r>
      <w:r w:rsidR="002F267E">
        <w:t>é</w:t>
      </w:r>
      <w:r w:rsidR="001744B3">
        <w:t xml:space="preserve"> v odst. 6. této smlouvy</w:t>
      </w:r>
      <w:r w:rsidR="00A970FE">
        <w:t xml:space="preserve"> </w:t>
      </w:r>
      <w:r w:rsidRPr="00C33BC7">
        <w:t>bude p</w:t>
      </w:r>
      <w:r w:rsidRPr="00C33BC7">
        <w:rPr>
          <w:rFonts w:hint="eastAsia"/>
        </w:rPr>
        <w:t>ř</w:t>
      </w:r>
      <w:r w:rsidRPr="00C33BC7">
        <w:t>ipo</w:t>
      </w:r>
      <w:r w:rsidRPr="00C33BC7">
        <w:rPr>
          <w:rFonts w:hint="eastAsia"/>
        </w:rPr>
        <w:t>č</w:t>
      </w:r>
      <w:r w:rsidRPr="00C33BC7">
        <w:t xml:space="preserve">tena zákonná DPH a celá </w:t>
      </w:r>
      <w:r w:rsidRPr="00874D25">
        <w:rPr>
          <w:rFonts w:hint="eastAsia"/>
        </w:rPr>
        <w:t>čá</w:t>
      </w:r>
      <w:r w:rsidRPr="00874D25">
        <w:t>stka bude splatná na základ</w:t>
      </w:r>
      <w:r w:rsidRPr="00A0713F">
        <w:rPr>
          <w:rFonts w:hint="eastAsia"/>
        </w:rPr>
        <w:t>ě</w:t>
      </w:r>
      <w:r w:rsidRPr="00A0713F">
        <w:t xml:space="preserve"> da</w:t>
      </w:r>
      <w:r w:rsidRPr="00A0713F">
        <w:rPr>
          <w:rFonts w:hint="eastAsia"/>
        </w:rPr>
        <w:t>ň</w:t>
      </w:r>
      <w:r w:rsidRPr="00A0713F">
        <w:t>ového dokladu (faktury) vystaveného advokátem za každý kalendá</w:t>
      </w:r>
      <w:r w:rsidRPr="00A0713F">
        <w:rPr>
          <w:rFonts w:hint="eastAsia"/>
        </w:rPr>
        <w:t>ř</w:t>
      </w:r>
      <w:r w:rsidRPr="00A0713F">
        <w:t>ní m</w:t>
      </w:r>
      <w:r w:rsidRPr="00A0713F">
        <w:rPr>
          <w:rFonts w:hint="eastAsia"/>
        </w:rPr>
        <w:t>ě</w:t>
      </w:r>
      <w:r w:rsidRPr="00A0713F">
        <w:t xml:space="preserve">síc, a to do </w:t>
      </w:r>
      <w:r w:rsidR="003E5668" w:rsidRPr="00A0713F">
        <w:t>15</w:t>
      </w:r>
      <w:r w:rsidRPr="00A0713F">
        <w:t xml:space="preserve"> (</w:t>
      </w:r>
      <w:r w:rsidR="003E5668" w:rsidRPr="00A0713F">
        <w:t>patnácti</w:t>
      </w:r>
      <w:r w:rsidRPr="00A0713F">
        <w:t>) kalendá</w:t>
      </w:r>
      <w:r w:rsidRPr="00A0713F">
        <w:rPr>
          <w:rFonts w:hint="eastAsia"/>
        </w:rPr>
        <w:t>ř</w:t>
      </w:r>
      <w:r w:rsidRPr="00A0713F">
        <w:t>ních dn</w:t>
      </w:r>
      <w:r w:rsidRPr="00A0713F">
        <w:rPr>
          <w:rFonts w:hint="eastAsia"/>
        </w:rPr>
        <w:t>ů</w:t>
      </w:r>
      <w:r w:rsidRPr="00A0713F">
        <w:t xml:space="preserve"> od vystavení da</w:t>
      </w:r>
      <w:r w:rsidRPr="00A0713F">
        <w:rPr>
          <w:rFonts w:hint="eastAsia"/>
        </w:rPr>
        <w:t>ň</w:t>
      </w:r>
      <w:r w:rsidRPr="00A0713F">
        <w:t xml:space="preserve">ového dokladu. </w:t>
      </w:r>
      <w:r w:rsidR="00687D12" w:rsidRPr="002F267E">
        <w:rPr>
          <w:szCs w:val="24"/>
        </w:rPr>
        <w:t>Advokát</w:t>
      </w:r>
      <w:r w:rsidR="00132A42">
        <w:rPr>
          <w:szCs w:val="24"/>
        </w:rPr>
        <w:t>ní kancelář</w:t>
      </w:r>
      <w:r w:rsidR="00687D12" w:rsidRPr="002F267E">
        <w:rPr>
          <w:szCs w:val="24"/>
        </w:rPr>
        <w:t xml:space="preserve"> je </w:t>
      </w:r>
      <w:r w:rsidR="00132A42" w:rsidRPr="002F267E">
        <w:rPr>
          <w:szCs w:val="24"/>
        </w:rPr>
        <w:t>povin</w:t>
      </w:r>
      <w:r w:rsidR="00132A42">
        <w:rPr>
          <w:szCs w:val="24"/>
        </w:rPr>
        <w:t>na</w:t>
      </w:r>
      <w:r w:rsidR="00132A42" w:rsidRPr="002F267E">
        <w:rPr>
          <w:szCs w:val="24"/>
        </w:rPr>
        <w:t xml:space="preserve"> </w:t>
      </w:r>
      <w:r w:rsidR="00687D12" w:rsidRPr="002F267E">
        <w:rPr>
          <w:szCs w:val="24"/>
        </w:rPr>
        <w:t>při vyúčtování odměny advokáta předložit klientovi souhrnnou časovou specifikaci poskytnutých právních služeb.</w:t>
      </w:r>
      <w:r w:rsidR="00687D12">
        <w:rPr>
          <w:szCs w:val="24"/>
        </w:rPr>
        <w:t xml:space="preserve"> Detailní časovou specifikaci poskytnutých právních služeb předloží advokát</w:t>
      </w:r>
      <w:r w:rsidR="00132A42">
        <w:rPr>
          <w:szCs w:val="24"/>
        </w:rPr>
        <w:t>ní kancelář</w:t>
      </w:r>
      <w:r w:rsidR="00687D12">
        <w:rPr>
          <w:szCs w:val="24"/>
        </w:rPr>
        <w:t xml:space="preserve"> klientovi na základě písemné žádosti klienta do deseti (10) dnů.</w:t>
      </w:r>
    </w:p>
    <w:p w14:paraId="390E03B0" w14:textId="77777777" w:rsidR="00212D6D" w:rsidRPr="00A0713F" w:rsidRDefault="00212D6D" w:rsidP="00881D33">
      <w:pPr>
        <w:pStyle w:val="Odstavecseseznamem"/>
        <w:spacing w:line="276" w:lineRule="auto"/>
        <w:ind w:left="426"/>
        <w:jc w:val="both"/>
      </w:pPr>
    </w:p>
    <w:p w14:paraId="69B05B90" w14:textId="6327A0DF" w:rsidR="0001681D" w:rsidRDefault="00E80D65" w:rsidP="00881D33">
      <w:pPr>
        <w:pStyle w:val="Odstavecseseznamem"/>
        <w:numPr>
          <w:ilvl w:val="0"/>
          <w:numId w:val="13"/>
        </w:numPr>
        <w:spacing w:line="276" w:lineRule="auto"/>
        <w:ind w:left="426" w:hanging="426"/>
        <w:jc w:val="both"/>
      </w:pPr>
      <w:r w:rsidRPr="00E80D65">
        <w:t>Klient se zavazuje v souvislosti s</w:t>
      </w:r>
      <w:r>
        <w:t xml:space="preserve"> poskytováním </w:t>
      </w:r>
      <w:r w:rsidRPr="00E80D65">
        <w:t>právní</w:t>
      </w:r>
      <w:r>
        <w:t>ch</w:t>
      </w:r>
      <w:r w:rsidRPr="00E80D65">
        <w:t xml:space="preserve"> služ</w:t>
      </w:r>
      <w:r>
        <w:t>e</w:t>
      </w:r>
      <w:r w:rsidRPr="00E80D65">
        <w:t xml:space="preserve">b podle této </w:t>
      </w:r>
      <w:r>
        <w:t>s</w:t>
      </w:r>
      <w:r w:rsidRPr="00E80D65">
        <w:t xml:space="preserve">mlouvy zaplatit </w:t>
      </w:r>
      <w:r w:rsidR="00132A42">
        <w:t xml:space="preserve">advokátní kanceláři </w:t>
      </w:r>
      <w:r w:rsidRPr="00D80384">
        <w:t xml:space="preserve">společně se smluvní odměnou podle této smlouvy </w:t>
      </w:r>
      <w:r w:rsidR="009E7123" w:rsidRPr="001540FD">
        <w:t>klientem odsouhlasené</w:t>
      </w:r>
      <w:r w:rsidR="009E7123" w:rsidRPr="00091921">
        <w:t xml:space="preserve"> </w:t>
      </w:r>
      <w:r w:rsidRPr="00E80D65">
        <w:t>soudní, správní a jiné poplatky podle zákona</w:t>
      </w:r>
      <w:r>
        <w:t>,</w:t>
      </w:r>
      <w:r w:rsidRPr="00E80D65">
        <w:t xml:space="preserve"> odměnu za znalecké posudky, odborná vyjádření, překlady a podobně</w:t>
      </w:r>
      <w:r>
        <w:t xml:space="preserve">, </w:t>
      </w:r>
      <w:r w:rsidR="00832E53" w:rsidRPr="00C33BC7">
        <w:t>jež byly advokátem uhrazeny v m</w:t>
      </w:r>
      <w:r w:rsidR="00832E53" w:rsidRPr="00874D25">
        <w:rPr>
          <w:rFonts w:hint="eastAsia"/>
        </w:rPr>
        <w:t>ě</w:t>
      </w:r>
      <w:r w:rsidR="00832E53" w:rsidRPr="00874D25">
        <w:t xml:space="preserve">síci, </w:t>
      </w:r>
      <w:r w:rsidR="00675DA4" w:rsidRPr="00A0713F">
        <w:t>za který je klient povinen zaplatit p</w:t>
      </w:r>
      <w:r w:rsidR="00675DA4" w:rsidRPr="00A0713F">
        <w:rPr>
          <w:rFonts w:hint="eastAsia"/>
        </w:rPr>
        <w:t>ří</w:t>
      </w:r>
      <w:r w:rsidR="00675DA4" w:rsidRPr="00A0713F">
        <w:t xml:space="preserve">slušnou </w:t>
      </w:r>
      <w:r w:rsidR="006C21E5" w:rsidRPr="00A0713F">
        <w:t xml:space="preserve">smluvní </w:t>
      </w:r>
      <w:r w:rsidR="00675DA4" w:rsidRPr="00A0713F">
        <w:t>odm</w:t>
      </w:r>
      <w:r w:rsidR="00675DA4" w:rsidRPr="00A0713F">
        <w:rPr>
          <w:rFonts w:hint="eastAsia"/>
        </w:rPr>
        <w:t>ě</w:t>
      </w:r>
      <w:r w:rsidR="00675DA4" w:rsidRPr="00A0713F">
        <w:t>nu</w:t>
      </w:r>
      <w:r w:rsidR="00832E53" w:rsidRPr="00A0713F">
        <w:t>, a to zp</w:t>
      </w:r>
      <w:r w:rsidR="00832E53" w:rsidRPr="00A0713F">
        <w:rPr>
          <w:rFonts w:hint="eastAsia"/>
        </w:rPr>
        <w:t>ů</w:t>
      </w:r>
      <w:r w:rsidR="00832E53" w:rsidRPr="00A0713F">
        <w:t>sobem uveden</w:t>
      </w:r>
      <w:r>
        <w:t>ým</w:t>
      </w:r>
      <w:r w:rsidR="00832E53" w:rsidRPr="00C33BC7">
        <w:t xml:space="preserve"> v odst. </w:t>
      </w:r>
      <w:r w:rsidR="002F267E">
        <w:t>7</w:t>
      </w:r>
      <w:r w:rsidR="00832E53" w:rsidRPr="00C33BC7">
        <w:t xml:space="preserve"> této smlouvy.</w:t>
      </w:r>
      <w:r w:rsidR="009B22FD" w:rsidRPr="00C33BC7">
        <w:t xml:space="preserve"> </w:t>
      </w:r>
    </w:p>
    <w:p w14:paraId="2DB5A158" w14:textId="77777777" w:rsidR="00195A26" w:rsidRDefault="00195A26" w:rsidP="00195A26">
      <w:pPr>
        <w:pStyle w:val="Odstavecseseznamem"/>
      </w:pPr>
    </w:p>
    <w:p w14:paraId="2BFB7461" w14:textId="77777777" w:rsidR="00C33BC7" w:rsidRDefault="0001681D" w:rsidP="00881D33">
      <w:pPr>
        <w:pStyle w:val="Odstavecseseznamem"/>
        <w:numPr>
          <w:ilvl w:val="0"/>
          <w:numId w:val="13"/>
        </w:numPr>
        <w:spacing w:line="276" w:lineRule="auto"/>
        <w:ind w:left="426" w:hanging="426"/>
        <w:jc w:val="both"/>
      </w:pPr>
      <w:r w:rsidRPr="00C33BC7">
        <w:t xml:space="preserve">Tato smlouva se uzavírá na dobu </w:t>
      </w:r>
      <w:r w:rsidR="00C33BC7">
        <w:t>ne</w:t>
      </w:r>
      <w:r w:rsidRPr="00C33BC7">
        <w:t>určitou</w:t>
      </w:r>
      <w:r w:rsidR="00C33BC7">
        <w:t>.</w:t>
      </w:r>
      <w:r w:rsidR="009E7123">
        <w:t xml:space="preserve"> </w:t>
      </w:r>
      <w:r w:rsidRPr="00091921">
        <w:t>Kterákoliv ze</w:t>
      </w:r>
      <w:r w:rsidR="004230A5" w:rsidRPr="00C33BC7">
        <w:t xml:space="preserve"> smluvních</w:t>
      </w:r>
      <w:r w:rsidRPr="00874D25">
        <w:t xml:space="preserve"> stran </w:t>
      </w:r>
      <w:r w:rsidRPr="00A0713F">
        <w:t>může</w:t>
      </w:r>
      <w:r w:rsidR="00487C01" w:rsidRPr="00A0713F">
        <w:t xml:space="preserve"> tuto smlouvu</w:t>
      </w:r>
      <w:r w:rsidRPr="00A0713F">
        <w:t xml:space="preserve"> vypovědět bez </w:t>
      </w:r>
      <w:r w:rsidR="009B6AFC" w:rsidRPr="00A0713F">
        <w:t>udání důvodu s výpovědní lhůtou</w:t>
      </w:r>
      <w:r w:rsidRPr="00A0713F">
        <w:t xml:space="preserve"> </w:t>
      </w:r>
      <w:r w:rsidR="00D06160" w:rsidRPr="00A0713F">
        <w:t xml:space="preserve">15 </w:t>
      </w:r>
      <w:r w:rsidRPr="00A0713F">
        <w:t>(patnácti) dnů. Výpovědní lhůta začne běžet první den následující po doručení výpovědi druhé smluvní straně.</w:t>
      </w:r>
    </w:p>
    <w:p w14:paraId="68AC64AF" w14:textId="77777777" w:rsidR="009E7123" w:rsidRPr="00C33BC7" w:rsidRDefault="009E7123" w:rsidP="00881D33">
      <w:pPr>
        <w:pStyle w:val="Odstavecseseznamem"/>
        <w:spacing w:line="276" w:lineRule="auto"/>
        <w:ind w:left="426"/>
        <w:jc w:val="both"/>
      </w:pPr>
    </w:p>
    <w:p w14:paraId="389F774C" w14:textId="77777777" w:rsidR="009E7123" w:rsidRPr="00881D33" w:rsidRDefault="009E7123" w:rsidP="00881D33">
      <w:pPr>
        <w:pStyle w:val="Odstavecseseznamem"/>
        <w:numPr>
          <w:ilvl w:val="0"/>
          <w:numId w:val="13"/>
        </w:numPr>
        <w:spacing w:line="276" w:lineRule="auto"/>
        <w:ind w:left="426" w:hanging="426"/>
        <w:jc w:val="both"/>
      </w:pPr>
      <w:r w:rsidRPr="00881D33">
        <w:t>Tuto smlouvu lze měnit jenom písemně, a to číslovanými dodatky podepsanými oběma smluvními stranami.</w:t>
      </w:r>
    </w:p>
    <w:p w14:paraId="58B083C3" w14:textId="77777777" w:rsidR="009E7123" w:rsidRDefault="009E7123" w:rsidP="00881D33">
      <w:pPr>
        <w:pStyle w:val="Odstavecseseznamem"/>
        <w:spacing w:line="276" w:lineRule="auto"/>
        <w:ind w:left="426"/>
        <w:jc w:val="both"/>
      </w:pPr>
    </w:p>
    <w:p w14:paraId="06BBB1ED" w14:textId="77777777" w:rsidR="0001681D" w:rsidRDefault="00B9733E" w:rsidP="00881D33">
      <w:pPr>
        <w:pStyle w:val="Odstavecseseznamem"/>
        <w:numPr>
          <w:ilvl w:val="0"/>
          <w:numId w:val="13"/>
        </w:numPr>
        <w:spacing w:line="276" w:lineRule="auto"/>
        <w:ind w:left="426" w:hanging="426"/>
        <w:jc w:val="both"/>
      </w:pPr>
      <w:r w:rsidRPr="00C33BC7">
        <w:t xml:space="preserve">Tato smlouva </w:t>
      </w:r>
      <w:r w:rsidR="00831794" w:rsidRPr="00C33BC7">
        <w:t xml:space="preserve">nabývá platnosti </w:t>
      </w:r>
      <w:r w:rsidR="002F267E">
        <w:t xml:space="preserve">dnem podpisu obou smluvních stran </w:t>
      </w:r>
      <w:r w:rsidR="00831794" w:rsidRPr="00C33BC7">
        <w:t>a ú</w:t>
      </w:r>
      <w:r w:rsidR="00831794" w:rsidRPr="00C33BC7">
        <w:rPr>
          <w:rFonts w:hint="eastAsia"/>
        </w:rPr>
        <w:t>č</w:t>
      </w:r>
      <w:r w:rsidR="00831794" w:rsidRPr="00C33BC7">
        <w:t xml:space="preserve">innosti dnem </w:t>
      </w:r>
      <w:r w:rsidR="002F267E">
        <w:t>uveřejnění této smlouvy v registru smluv</w:t>
      </w:r>
      <w:r w:rsidR="00831794" w:rsidRPr="00C33BC7">
        <w:t>.</w:t>
      </w:r>
      <w:r w:rsidR="002F267E">
        <w:t xml:space="preserve"> Uveřejnit tuto smlouvu bez zbytečného odkladu v registru smluv se zavazuje klient.</w:t>
      </w:r>
      <w:r w:rsidR="00831794" w:rsidRPr="00C33BC7">
        <w:t xml:space="preserve"> </w:t>
      </w:r>
    </w:p>
    <w:p w14:paraId="69A57BA8" w14:textId="77777777" w:rsidR="00C942B8" w:rsidRDefault="00C942B8" w:rsidP="00C942B8">
      <w:pPr>
        <w:pStyle w:val="Odstavecseseznamem"/>
      </w:pPr>
    </w:p>
    <w:p w14:paraId="0C85BC78" w14:textId="77777777" w:rsidR="00C942B8" w:rsidRPr="00C942B8" w:rsidRDefault="00C942B8" w:rsidP="00C942B8">
      <w:pPr>
        <w:pStyle w:val="Odstavecseseznamem"/>
        <w:numPr>
          <w:ilvl w:val="0"/>
          <w:numId w:val="13"/>
        </w:numPr>
        <w:spacing w:line="276" w:lineRule="auto"/>
        <w:ind w:left="426" w:hanging="426"/>
        <w:jc w:val="both"/>
      </w:pPr>
      <w:r w:rsidRPr="00C942B8">
        <w:t xml:space="preserve">Osobní údaje obsažené v této smlouvě budou </w:t>
      </w:r>
      <w:r>
        <w:t>klientem</w:t>
      </w:r>
      <w:r w:rsidRPr="00C942B8">
        <w:t xml:space="preserve"> zpracovávány pouze pro účely plnění práv a povinností vyplývajících z této smlouvy; k jiným účelům nebudou tyto osobní údaje </w:t>
      </w:r>
      <w:r>
        <w:t>klientem</w:t>
      </w:r>
      <w:r w:rsidRPr="00C942B8">
        <w:t xml:space="preserve"> použity. </w:t>
      </w:r>
      <w:r>
        <w:t>Klient</w:t>
      </w:r>
      <w:r w:rsidRPr="00C942B8">
        <w:t xml:space="preserve"> při zpracovávání osobních údajů dodržuje platné právní předpisy. </w:t>
      </w:r>
    </w:p>
    <w:p w14:paraId="019BF24F" w14:textId="77777777" w:rsidR="0001681D" w:rsidRPr="00874D25" w:rsidRDefault="0001681D" w:rsidP="00C942B8">
      <w:pPr>
        <w:pStyle w:val="Odstavecseseznamem"/>
        <w:spacing w:line="276" w:lineRule="auto"/>
        <w:ind w:left="426"/>
        <w:jc w:val="both"/>
      </w:pPr>
    </w:p>
    <w:p w14:paraId="56AB6257" w14:textId="42FFAB38" w:rsidR="00503052" w:rsidRDefault="0001681D" w:rsidP="00881D33">
      <w:pPr>
        <w:pStyle w:val="Odstavecseseznamem"/>
        <w:numPr>
          <w:ilvl w:val="0"/>
          <w:numId w:val="13"/>
        </w:numPr>
        <w:spacing w:line="276" w:lineRule="auto"/>
        <w:ind w:left="426" w:hanging="426"/>
        <w:jc w:val="both"/>
      </w:pPr>
      <w:r w:rsidRPr="00A0713F">
        <w:t xml:space="preserve">Tato smlouva je </w:t>
      </w:r>
      <w:r w:rsidR="00BD3C00" w:rsidRPr="00A0713F">
        <w:t xml:space="preserve">sepsána </w:t>
      </w:r>
      <w:r w:rsidRPr="00A0713F">
        <w:t xml:space="preserve">ve </w:t>
      </w:r>
      <w:r w:rsidR="00C942B8">
        <w:rPr>
          <w:rFonts w:hint="eastAsia"/>
        </w:rPr>
        <w:t>třech</w:t>
      </w:r>
      <w:r w:rsidR="00882103" w:rsidRPr="00881D33">
        <w:t xml:space="preserve"> (</w:t>
      </w:r>
      <w:r w:rsidR="00B64FD5">
        <w:t>3</w:t>
      </w:r>
      <w:r w:rsidR="00882103" w:rsidRPr="00881D33">
        <w:t>)</w:t>
      </w:r>
      <w:r w:rsidRPr="00091921">
        <w:t xml:space="preserve"> </w:t>
      </w:r>
      <w:r w:rsidR="00D06702" w:rsidRPr="00C33BC7">
        <w:t>stejnopisech</w:t>
      </w:r>
      <w:r w:rsidRPr="00C33BC7">
        <w:t xml:space="preserve">, z nichž </w:t>
      </w:r>
      <w:r w:rsidR="00D06702" w:rsidRPr="00874D25">
        <w:t>advokát</w:t>
      </w:r>
      <w:r w:rsidR="001F66DF">
        <w:t>ní kancelář</w:t>
      </w:r>
      <w:r w:rsidR="00D06702" w:rsidRPr="00874D25">
        <w:t xml:space="preserve"> obdrží</w:t>
      </w:r>
      <w:r w:rsidR="00D06702" w:rsidRPr="00A0713F">
        <w:t xml:space="preserve"> jedno </w:t>
      </w:r>
      <w:r w:rsidR="00212D6D" w:rsidRPr="00A0713F">
        <w:t xml:space="preserve">(1) </w:t>
      </w:r>
      <w:r w:rsidR="00C942B8">
        <w:t>vyhotovení a klient dvě (2</w:t>
      </w:r>
      <w:r w:rsidR="00D06702" w:rsidRPr="00A0713F">
        <w:t>) vyhotovení.</w:t>
      </w:r>
    </w:p>
    <w:p w14:paraId="07E892CE" w14:textId="77777777" w:rsidR="00A62572" w:rsidRDefault="00A62572" w:rsidP="00A62572">
      <w:pPr>
        <w:pStyle w:val="Odstavecseseznamem"/>
      </w:pPr>
    </w:p>
    <w:p w14:paraId="4825E46F" w14:textId="77777777" w:rsidR="00E859B2" w:rsidRPr="001F11F0" w:rsidRDefault="00E859B2" w:rsidP="00912AF7">
      <w:pPr>
        <w:pStyle w:val="Zkladntext"/>
        <w:spacing w:line="276" w:lineRule="auto"/>
        <w:jc w:val="both"/>
        <w:rPr>
          <w:rFonts w:ascii="Times New Roman" w:hAnsi="Times New Roman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09"/>
      </w:tblGrid>
      <w:tr w:rsidR="0001681D" w:rsidRPr="001F11F0" w14:paraId="3354EA95" w14:textId="77777777" w:rsidTr="00C31CB0">
        <w:tc>
          <w:tcPr>
            <w:tcW w:w="4582" w:type="dxa"/>
            <w:vAlign w:val="center"/>
          </w:tcPr>
          <w:p w14:paraId="70B951E3" w14:textId="77777777" w:rsidR="0001681D" w:rsidRPr="001F11F0" w:rsidRDefault="0001681D" w:rsidP="00A62572">
            <w:pPr>
              <w:pStyle w:val="Zkladntext"/>
              <w:spacing w:line="276" w:lineRule="auto"/>
              <w:rPr>
                <w:rFonts w:ascii="Times New Roman" w:hAnsi="Times New Roman"/>
                <w:szCs w:val="24"/>
              </w:rPr>
            </w:pPr>
            <w:r w:rsidRPr="001F11F0">
              <w:rPr>
                <w:rFonts w:ascii="Times New Roman" w:hAnsi="Times New Roman"/>
                <w:szCs w:val="24"/>
              </w:rPr>
              <w:t>V </w:t>
            </w:r>
            <w:r w:rsidR="00491279">
              <w:rPr>
                <w:rFonts w:ascii="Times New Roman" w:hAnsi="Times New Roman"/>
                <w:szCs w:val="24"/>
              </w:rPr>
              <w:t>Ostravě</w:t>
            </w:r>
            <w:r w:rsidR="00491279" w:rsidRPr="001F11F0">
              <w:rPr>
                <w:rFonts w:ascii="Times New Roman" w:hAnsi="Times New Roman"/>
                <w:szCs w:val="24"/>
              </w:rPr>
              <w:t xml:space="preserve"> </w:t>
            </w:r>
            <w:r w:rsidRPr="001F11F0">
              <w:rPr>
                <w:rFonts w:ascii="Times New Roman" w:hAnsi="Times New Roman"/>
                <w:szCs w:val="24"/>
              </w:rPr>
              <w:t>dne</w:t>
            </w:r>
            <w:r w:rsidR="009E7123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4583" w:type="dxa"/>
            <w:vAlign w:val="center"/>
          </w:tcPr>
          <w:p w14:paraId="10875858" w14:textId="5848D00D" w:rsidR="0001681D" w:rsidRPr="001F11F0" w:rsidRDefault="00491279" w:rsidP="00380738">
            <w:pPr>
              <w:pStyle w:val="Zkladntext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</w:t>
            </w:r>
            <w:r w:rsidR="00562BD8">
              <w:rPr>
                <w:rFonts w:ascii="Times New Roman" w:hAnsi="Times New Roman"/>
                <w:szCs w:val="24"/>
              </w:rPr>
              <w:t xml:space="preserve">     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 w:rsidR="0001681D" w:rsidRPr="001F11F0">
              <w:rPr>
                <w:rFonts w:ascii="Times New Roman" w:hAnsi="Times New Roman"/>
                <w:szCs w:val="24"/>
              </w:rPr>
              <w:t>V </w:t>
            </w:r>
            <w:r w:rsidR="00E74B10">
              <w:rPr>
                <w:rFonts w:ascii="Times New Roman" w:hAnsi="Times New Roman"/>
                <w:szCs w:val="24"/>
              </w:rPr>
              <w:t>Brně</w:t>
            </w:r>
            <w:r w:rsidR="0001681D" w:rsidRPr="001F11F0">
              <w:rPr>
                <w:rFonts w:ascii="Times New Roman" w:hAnsi="Times New Roman"/>
                <w:szCs w:val="24"/>
              </w:rPr>
              <w:t xml:space="preserve"> dne </w:t>
            </w:r>
          </w:p>
        </w:tc>
      </w:tr>
      <w:tr w:rsidR="0001681D" w:rsidRPr="001F11F0" w14:paraId="768EAB5C" w14:textId="77777777" w:rsidTr="00C31CB0">
        <w:tc>
          <w:tcPr>
            <w:tcW w:w="4582" w:type="dxa"/>
            <w:vAlign w:val="center"/>
          </w:tcPr>
          <w:p w14:paraId="22CF1D72" w14:textId="77777777" w:rsidR="00C10DDD" w:rsidRDefault="00C10DDD" w:rsidP="001744B3">
            <w:pPr>
              <w:pStyle w:val="Zkladntext"/>
              <w:spacing w:line="276" w:lineRule="auto"/>
              <w:rPr>
                <w:rFonts w:ascii="Times New Roman" w:hAnsi="Times New Roman"/>
                <w:szCs w:val="24"/>
              </w:rPr>
            </w:pPr>
          </w:p>
          <w:p w14:paraId="7373DDC8" w14:textId="5E529FF3" w:rsidR="0001681D" w:rsidRPr="001F11F0" w:rsidRDefault="009E7123" w:rsidP="001744B3">
            <w:pPr>
              <w:pStyle w:val="Zkladntext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Za</w:t>
            </w:r>
            <w:r w:rsidR="00B64FD5">
              <w:rPr>
                <w:rFonts w:ascii="Times New Roman" w:hAnsi="Times New Roman"/>
                <w:szCs w:val="24"/>
              </w:rPr>
              <w:t xml:space="preserve"> </w:t>
            </w:r>
            <w:r w:rsidR="00E74B10">
              <w:rPr>
                <w:rFonts w:ascii="Times New Roman" w:hAnsi="Times New Roman"/>
                <w:szCs w:val="24"/>
              </w:rPr>
              <w:t>Moravskoslezské energetické centrum, příspěvková organizace</w:t>
            </w:r>
          </w:p>
          <w:p w14:paraId="1A059574" w14:textId="5F72DBE5" w:rsidR="0001681D" w:rsidRDefault="0001681D" w:rsidP="00881D33">
            <w:pPr>
              <w:pStyle w:val="Zkladntext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52944516" w14:textId="77777777" w:rsidR="005F6313" w:rsidRDefault="005F6313" w:rsidP="00881D33">
            <w:pPr>
              <w:pStyle w:val="Zkladntext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24CC9A7C" w14:textId="77777777" w:rsidR="0001681D" w:rsidRPr="001F11F0" w:rsidRDefault="0001681D" w:rsidP="001744B3">
            <w:pPr>
              <w:pStyle w:val="Zkladntext"/>
              <w:spacing w:line="276" w:lineRule="auto"/>
              <w:rPr>
                <w:rFonts w:ascii="Times New Roman" w:hAnsi="Times New Roman"/>
                <w:szCs w:val="24"/>
              </w:rPr>
            </w:pPr>
            <w:r w:rsidRPr="001F11F0">
              <w:rPr>
                <w:rFonts w:ascii="Times New Roman" w:hAnsi="Times New Roman"/>
                <w:szCs w:val="24"/>
              </w:rPr>
              <w:t>……………………………………</w:t>
            </w:r>
          </w:p>
          <w:p w14:paraId="584F5ABE" w14:textId="71F0D7E5" w:rsidR="0001681D" w:rsidRPr="001F11F0" w:rsidRDefault="00C10DDD" w:rsidP="00C10DDD">
            <w:pPr>
              <w:pStyle w:val="Zkladntext"/>
              <w:spacing w:line="276" w:lineRule="auto"/>
              <w:ind w:firstLine="3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Ing. Rostislav Rožnovský</w:t>
            </w:r>
          </w:p>
        </w:tc>
        <w:tc>
          <w:tcPr>
            <w:tcW w:w="4583" w:type="dxa"/>
            <w:vAlign w:val="center"/>
          </w:tcPr>
          <w:p w14:paraId="45FB8CD9" w14:textId="77777777" w:rsidR="00C10DDD" w:rsidRDefault="00C10DDD" w:rsidP="001744B3">
            <w:pPr>
              <w:pStyle w:val="Zkladntext"/>
              <w:spacing w:line="276" w:lineRule="auto"/>
              <w:ind w:left="-1628" w:firstLine="1843"/>
              <w:jc w:val="center"/>
              <w:rPr>
                <w:rFonts w:ascii="Times New Roman" w:hAnsi="Times New Roman"/>
                <w:szCs w:val="24"/>
              </w:rPr>
            </w:pPr>
          </w:p>
          <w:p w14:paraId="0412C77C" w14:textId="02538945" w:rsidR="0001681D" w:rsidRPr="001F11F0" w:rsidRDefault="009E7123" w:rsidP="001744B3">
            <w:pPr>
              <w:pStyle w:val="Zkladntext"/>
              <w:spacing w:line="276" w:lineRule="auto"/>
              <w:ind w:left="-1628" w:firstLine="184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Za </w:t>
            </w:r>
            <w:r w:rsidR="00E74B10">
              <w:rPr>
                <w:rFonts w:ascii="Times New Roman" w:hAnsi="Times New Roman"/>
                <w:szCs w:val="24"/>
              </w:rPr>
              <w:t xml:space="preserve">Frank </w:t>
            </w:r>
            <w:proofErr w:type="spellStart"/>
            <w:r w:rsidR="00E74B10">
              <w:rPr>
                <w:rFonts w:ascii="Times New Roman" w:hAnsi="Times New Roman"/>
                <w:szCs w:val="24"/>
              </w:rPr>
              <w:t>Bol</w:t>
            </w:r>
            <w:r w:rsidR="00912AF7">
              <w:rPr>
                <w:rFonts w:ascii="Times New Roman" w:hAnsi="Times New Roman"/>
                <w:szCs w:val="24"/>
              </w:rPr>
              <w:t>d</w:t>
            </w:r>
            <w:proofErr w:type="spellEnd"/>
            <w:r w:rsidR="00E74B10">
              <w:rPr>
                <w:rFonts w:ascii="Times New Roman" w:hAnsi="Times New Roman"/>
                <w:szCs w:val="24"/>
              </w:rPr>
              <w:t xml:space="preserve"> Advokáti, s.r.o.</w:t>
            </w:r>
          </w:p>
          <w:p w14:paraId="24CE56B9" w14:textId="77777777" w:rsidR="0001681D" w:rsidRPr="001F11F0" w:rsidRDefault="0001681D" w:rsidP="00881D33">
            <w:pPr>
              <w:pStyle w:val="Zkladntext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1CCCC417" w14:textId="1D2B4585" w:rsidR="00732E87" w:rsidRDefault="00732E87" w:rsidP="00881D33">
            <w:pPr>
              <w:pStyle w:val="Zkladntext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5EE4A54D" w14:textId="77777777" w:rsidR="00732E87" w:rsidRDefault="00732E87" w:rsidP="00881D33">
            <w:pPr>
              <w:pStyle w:val="Zkladntext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7CECCFF8" w14:textId="77777777" w:rsidR="0001681D" w:rsidRDefault="00732E87" w:rsidP="00562BD8">
            <w:pPr>
              <w:pStyle w:val="Zkladntext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…………………………………..</w:t>
            </w:r>
          </w:p>
          <w:p w14:paraId="4C15ACB0" w14:textId="6D0CC572" w:rsidR="00C10DDD" w:rsidRPr="001F11F0" w:rsidRDefault="00C10DDD" w:rsidP="00912AF7">
            <w:pPr>
              <w:pStyle w:val="Zkladntext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Mgr. Pavel </w:t>
            </w:r>
            <w:r w:rsidR="00912AF7">
              <w:rPr>
                <w:rFonts w:ascii="Times New Roman" w:hAnsi="Times New Roman"/>
                <w:szCs w:val="24"/>
              </w:rPr>
              <w:t>Černý</w:t>
            </w:r>
          </w:p>
        </w:tc>
      </w:tr>
    </w:tbl>
    <w:p w14:paraId="5A50D6F1" w14:textId="23BE2D74" w:rsidR="00C31CB0" w:rsidRPr="001F11F0" w:rsidRDefault="00C31CB0" w:rsidP="00F062B2">
      <w:pPr>
        <w:pStyle w:val="Zkladntext"/>
        <w:tabs>
          <w:tab w:val="left" w:pos="993"/>
          <w:tab w:val="left" w:pos="6379"/>
        </w:tabs>
        <w:spacing w:line="276" w:lineRule="auto"/>
        <w:jc w:val="both"/>
        <w:rPr>
          <w:rFonts w:ascii="Times New Roman" w:hAnsi="Times New Roman"/>
        </w:rPr>
      </w:pPr>
    </w:p>
    <w:sectPr w:rsidR="00C31CB0" w:rsidRPr="001F11F0" w:rsidSect="005F6313">
      <w:footerReference w:type="default" r:id="rId8"/>
      <w:headerReference w:type="first" r:id="rId9"/>
      <w:pgSz w:w="11905" w:h="16838"/>
      <w:pgMar w:top="1417" w:right="1440" w:bottom="1135" w:left="1440" w:header="708" w:footer="41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2CDD" w14:textId="77777777" w:rsidR="0066239A" w:rsidRDefault="0066239A">
      <w:r>
        <w:separator/>
      </w:r>
    </w:p>
  </w:endnote>
  <w:endnote w:type="continuationSeparator" w:id="0">
    <w:p w14:paraId="5145032A" w14:textId="77777777" w:rsidR="0066239A" w:rsidRDefault="0066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EE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815743"/>
      <w:docPartObj>
        <w:docPartGallery w:val="Page Numbers (Bottom of Page)"/>
        <w:docPartUnique/>
      </w:docPartObj>
    </w:sdtPr>
    <w:sdtEndPr/>
    <w:sdtContent>
      <w:p w14:paraId="1EAD5B16" w14:textId="77777777" w:rsidR="008545FB" w:rsidRPr="00881D33" w:rsidRDefault="00E4353D">
        <w:pPr>
          <w:pStyle w:val="Zpat"/>
          <w:jc w:val="center"/>
        </w:pPr>
        <w:r w:rsidRPr="00881D33">
          <w:fldChar w:fldCharType="begin"/>
        </w:r>
        <w:r w:rsidR="008545FB" w:rsidRPr="00881D33">
          <w:instrText>PAGE   \* MERGEFORMAT</w:instrText>
        </w:r>
        <w:r w:rsidRPr="00881D33">
          <w:fldChar w:fldCharType="separate"/>
        </w:r>
        <w:r w:rsidR="00912AF7">
          <w:rPr>
            <w:noProof/>
          </w:rPr>
          <w:t>2</w:t>
        </w:r>
        <w:r w:rsidRPr="00881D33">
          <w:fldChar w:fldCharType="end"/>
        </w:r>
      </w:p>
    </w:sdtContent>
  </w:sdt>
  <w:p w14:paraId="7B8C10DD" w14:textId="77777777" w:rsidR="008545FB" w:rsidRPr="00042271" w:rsidRDefault="008545FB" w:rsidP="00C31CB0">
    <w:pPr>
      <w:pStyle w:val="Zpat"/>
      <w:jc w:val="center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68554" w14:textId="77777777" w:rsidR="0066239A" w:rsidRDefault="0066239A">
      <w:r>
        <w:separator/>
      </w:r>
    </w:p>
  </w:footnote>
  <w:footnote w:type="continuationSeparator" w:id="0">
    <w:p w14:paraId="1DE441C9" w14:textId="77777777" w:rsidR="0066239A" w:rsidRDefault="00662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FBDBF" w14:textId="77777777" w:rsidR="00966469" w:rsidRDefault="00966469">
    <w:pPr>
      <w:pStyle w:val="Zhlav"/>
    </w:pPr>
  </w:p>
  <w:p w14:paraId="21AF0A2D" w14:textId="77777777" w:rsidR="00966469" w:rsidRDefault="009664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6BCF"/>
    <w:multiLevelType w:val="hybridMultilevel"/>
    <w:tmpl w:val="868417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A7C7E"/>
    <w:multiLevelType w:val="hybridMultilevel"/>
    <w:tmpl w:val="F56E31BA"/>
    <w:lvl w:ilvl="0" w:tplc="04050017">
      <w:start w:val="1"/>
      <w:numFmt w:val="lowerLetter"/>
      <w:lvlText w:val="%1)"/>
      <w:lvlJc w:val="left"/>
      <w:pPr>
        <w:ind w:left="1063" w:hanging="360"/>
      </w:p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" w15:restartNumberingAfterBreak="0">
    <w:nsid w:val="1ACE187F"/>
    <w:multiLevelType w:val="hybridMultilevel"/>
    <w:tmpl w:val="103C4518"/>
    <w:lvl w:ilvl="0" w:tplc="FB688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05F1D"/>
    <w:multiLevelType w:val="hybridMultilevel"/>
    <w:tmpl w:val="7A8A730C"/>
    <w:lvl w:ilvl="0" w:tplc="8960C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0B6A5B"/>
    <w:multiLevelType w:val="hybridMultilevel"/>
    <w:tmpl w:val="467EAAE8"/>
    <w:lvl w:ilvl="0" w:tplc="FB688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F5A0D"/>
    <w:multiLevelType w:val="hybridMultilevel"/>
    <w:tmpl w:val="E450879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DFC5ABA"/>
    <w:multiLevelType w:val="hybridMultilevel"/>
    <w:tmpl w:val="98CE94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DF06FD"/>
    <w:multiLevelType w:val="hybridMultilevel"/>
    <w:tmpl w:val="AA589F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4B9B4A3A"/>
    <w:multiLevelType w:val="hybridMultilevel"/>
    <w:tmpl w:val="9342C20C"/>
    <w:lvl w:ilvl="0" w:tplc="FB688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E5A1F"/>
    <w:multiLevelType w:val="hybridMultilevel"/>
    <w:tmpl w:val="E450879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2927CA2"/>
    <w:multiLevelType w:val="hybridMultilevel"/>
    <w:tmpl w:val="58D094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31BA3"/>
    <w:multiLevelType w:val="hybridMultilevel"/>
    <w:tmpl w:val="3086ED90"/>
    <w:lvl w:ilvl="0" w:tplc="04050017">
      <w:start w:val="1"/>
      <w:numFmt w:val="lowerLetter"/>
      <w:lvlText w:val="%1)"/>
      <w:lvlJc w:val="left"/>
      <w:pPr>
        <w:ind w:left="1063" w:hanging="360"/>
      </w:pPr>
    </w:lvl>
    <w:lvl w:ilvl="1" w:tplc="04050019">
      <w:start w:val="1"/>
      <w:numFmt w:val="lowerLetter"/>
      <w:lvlText w:val="%2."/>
      <w:lvlJc w:val="left"/>
      <w:pPr>
        <w:ind w:left="1783" w:hanging="360"/>
      </w:pPr>
    </w:lvl>
    <w:lvl w:ilvl="2" w:tplc="0405001B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3" w15:restartNumberingAfterBreak="0">
    <w:nsid w:val="6A2F5F88"/>
    <w:multiLevelType w:val="hybridMultilevel"/>
    <w:tmpl w:val="2A9AC95E"/>
    <w:lvl w:ilvl="0" w:tplc="97C4DEB6">
      <w:start w:val="1"/>
      <w:numFmt w:val="lowerLetter"/>
      <w:lvlText w:val="%1."/>
      <w:lvlJc w:val="left"/>
      <w:pPr>
        <w:ind w:left="1063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4" w15:restartNumberingAfterBreak="0">
    <w:nsid w:val="6BCB2C35"/>
    <w:multiLevelType w:val="hybridMultilevel"/>
    <w:tmpl w:val="4022B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A4531"/>
    <w:multiLevelType w:val="hybridMultilevel"/>
    <w:tmpl w:val="7B26D9E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9254D03"/>
    <w:multiLevelType w:val="hybridMultilevel"/>
    <w:tmpl w:val="A8A2EA78"/>
    <w:lvl w:ilvl="0" w:tplc="FB688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C1F8B"/>
    <w:multiLevelType w:val="hybridMultilevel"/>
    <w:tmpl w:val="B3FAF50A"/>
    <w:lvl w:ilvl="0" w:tplc="4530C6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C5221AC"/>
    <w:multiLevelType w:val="hybridMultilevel"/>
    <w:tmpl w:val="1A5EF59A"/>
    <w:lvl w:ilvl="0" w:tplc="0405000F">
      <w:start w:val="1"/>
      <w:numFmt w:val="decimal"/>
      <w:lvlText w:val="%1."/>
      <w:lvlJc w:val="left"/>
      <w:pPr>
        <w:ind w:left="1063" w:hanging="360"/>
      </w:p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15"/>
  </w:num>
  <w:num w:numId="5">
    <w:abstractNumId w:val="17"/>
  </w:num>
  <w:num w:numId="6">
    <w:abstractNumId w:val="12"/>
  </w:num>
  <w:num w:numId="7">
    <w:abstractNumId w:val="11"/>
  </w:num>
  <w:num w:numId="8">
    <w:abstractNumId w:val="1"/>
  </w:num>
  <w:num w:numId="9">
    <w:abstractNumId w:val="13"/>
  </w:num>
  <w:num w:numId="10">
    <w:abstractNumId w:val="2"/>
  </w:num>
  <w:num w:numId="11">
    <w:abstractNumId w:val="4"/>
  </w:num>
  <w:num w:numId="12">
    <w:abstractNumId w:val="16"/>
  </w:num>
  <w:num w:numId="13">
    <w:abstractNumId w:val="9"/>
  </w:num>
  <w:num w:numId="14">
    <w:abstractNumId w:val="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0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81D"/>
    <w:rsid w:val="00002F45"/>
    <w:rsid w:val="0001681D"/>
    <w:rsid w:val="00023D1A"/>
    <w:rsid w:val="00034E4F"/>
    <w:rsid w:val="00043D8E"/>
    <w:rsid w:val="00050BD7"/>
    <w:rsid w:val="00060682"/>
    <w:rsid w:val="0006578A"/>
    <w:rsid w:val="00073098"/>
    <w:rsid w:val="00073B0C"/>
    <w:rsid w:val="0008718C"/>
    <w:rsid w:val="00091921"/>
    <w:rsid w:val="00092672"/>
    <w:rsid w:val="000A1BBA"/>
    <w:rsid w:val="000A2CBD"/>
    <w:rsid w:val="000C6627"/>
    <w:rsid w:val="000E5B2B"/>
    <w:rsid w:val="001129CA"/>
    <w:rsid w:val="00115960"/>
    <w:rsid w:val="00115E9F"/>
    <w:rsid w:val="00121899"/>
    <w:rsid w:val="00127DF2"/>
    <w:rsid w:val="00132A42"/>
    <w:rsid w:val="00136AA0"/>
    <w:rsid w:val="00145D49"/>
    <w:rsid w:val="0015168F"/>
    <w:rsid w:val="001538FE"/>
    <w:rsid w:val="00153A2D"/>
    <w:rsid w:val="0016313E"/>
    <w:rsid w:val="001744B3"/>
    <w:rsid w:val="00185B35"/>
    <w:rsid w:val="0019544A"/>
    <w:rsid w:val="00195A26"/>
    <w:rsid w:val="001C15B4"/>
    <w:rsid w:val="001D646A"/>
    <w:rsid w:val="001F11F0"/>
    <w:rsid w:val="001F66DF"/>
    <w:rsid w:val="00206930"/>
    <w:rsid w:val="002112ED"/>
    <w:rsid w:val="00212D6D"/>
    <w:rsid w:val="0021782F"/>
    <w:rsid w:val="002205B3"/>
    <w:rsid w:val="00224275"/>
    <w:rsid w:val="0023278C"/>
    <w:rsid w:val="00235B0E"/>
    <w:rsid w:val="00257719"/>
    <w:rsid w:val="00264284"/>
    <w:rsid w:val="00266829"/>
    <w:rsid w:val="002733B3"/>
    <w:rsid w:val="00275709"/>
    <w:rsid w:val="002B2492"/>
    <w:rsid w:val="002C5BC3"/>
    <w:rsid w:val="002C5F46"/>
    <w:rsid w:val="002D3E34"/>
    <w:rsid w:val="002F0FCD"/>
    <w:rsid w:val="002F267E"/>
    <w:rsid w:val="00305B12"/>
    <w:rsid w:val="003171B1"/>
    <w:rsid w:val="00352CAA"/>
    <w:rsid w:val="00363307"/>
    <w:rsid w:val="0037110D"/>
    <w:rsid w:val="00380738"/>
    <w:rsid w:val="0038096E"/>
    <w:rsid w:val="003834BD"/>
    <w:rsid w:val="00391957"/>
    <w:rsid w:val="003A3DB5"/>
    <w:rsid w:val="003A4C09"/>
    <w:rsid w:val="003C51F7"/>
    <w:rsid w:val="003D6DB7"/>
    <w:rsid w:val="003E5668"/>
    <w:rsid w:val="004052DC"/>
    <w:rsid w:val="004213D1"/>
    <w:rsid w:val="004230A5"/>
    <w:rsid w:val="004345C0"/>
    <w:rsid w:val="00457199"/>
    <w:rsid w:val="00472F81"/>
    <w:rsid w:val="004760C4"/>
    <w:rsid w:val="00483004"/>
    <w:rsid w:val="00483BE8"/>
    <w:rsid w:val="004867CA"/>
    <w:rsid w:val="00487C01"/>
    <w:rsid w:val="00491279"/>
    <w:rsid w:val="00493653"/>
    <w:rsid w:val="004A5BF5"/>
    <w:rsid w:val="004A7F26"/>
    <w:rsid w:val="004C53F6"/>
    <w:rsid w:val="004F301F"/>
    <w:rsid w:val="00503052"/>
    <w:rsid w:val="00522BB7"/>
    <w:rsid w:val="00526302"/>
    <w:rsid w:val="005564DE"/>
    <w:rsid w:val="00561027"/>
    <w:rsid w:val="00562BD8"/>
    <w:rsid w:val="00565FBF"/>
    <w:rsid w:val="00571D72"/>
    <w:rsid w:val="00575A8B"/>
    <w:rsid w:val="00575CC3"/>
    <w:rsid w:val="00580D62"/>
    <w:rsid w:val="00581879"/>
    <w:rsid w:val="005837FE"/>
    <w:rsid w:val="005912E5"/>
    <w:rsid w:val="00596CD7"/>
    <w:rsid w:val="005A29C2"/>
    <w:rsid w:val="005A6D0B"/>
    <w:rsid w:val="005C1232"/>
    <w:rsid w:val="005C1C9A"/>
    <w:rsid w:val="005D2022"/>
    <w:rsid w:val="005F0F90"/>
    <w:rsid w:val="005F1AEE"/>
    <w:rsid w:val="005F571B"/>
    <w:rsid w:val="005F6313"/>
    <w:rsid w:val="00606A66"/>
    <w:rsid w:val="00610A7D"/>
    <w:rsid w:val="00613316"/>
    <w:rsid w:val="0061656E"/>
    <w:rsid w:val="00617B12"/>
    <w:rsid w:val="0063054A"/>
    <w:rsid w:val="00642269"/>
    <w:rsid w:val="00645AFA"/>
    <w:rsid w:val="0066239A"/>
    <w:rsid w:val="00665415"/>
    <w:rsid w:val="00675DA4"/>
    <w:rsid w:val="00683F03"/>
    <w:rsid w:val="0068429F"/>
    <w:rsid w:val="00685FDA"/>
    <w:rsid w:val="00687D12"/>
    <w:rsid w:val="006A4CBE"/>
    <w:rsid w:val="006A6939"/>
    <w:rsid w:val="006C21E5"/>
    <w:rsid w:val="006E1666"/>
    <w:rsid w:val="006F55C2"/>
    <w:rsid w:val="00716A8D"/>
    <w:rsid w:val="00716C3B"/>
    <w:rsid w:val="00732E87"/>
    <w:rsid w:val="007466E0"/>
    <w:rsid w:val="007571A2"/>
    <w:rsid w:val="00765742"/>
    <w:rsid w:val="007704C9"/>
    <w:rsid w:val="00774724"/>
    <w:rsid w:val="00786B3B"/>
    <w:rsid w:val="00786F19"/>
    <w:rsid w:val="00787C09"/>
    <w:rsid w:val="00792F47"/>
    <w:rsid w:val="00796BBA"/>
    <w:rsid w:val="007B76D9"/>
    <w:rsid w:val="007D22ED"/>
    <w:rsid w:val="007E4EC7"/>
    <w:rsid w:val="00805F9E"/>
    <w:rsid w:val="00807C7C"/>
    <w:rsid w:val="008101F2"/>
    <w:rsid w:val="00811C51"/>
    <w:rsid w:val="00814DFE"/>
    <w:rsid w:val="00827B3D"/>
    <w:rsid w:val="00831794"/>
    <w:rsid w:val="00832E53"/>
    <w:rsid w:val="00852A17"/>
    <w:rsid w:val="008545FB"/>
    <w:rsid w:val="00874D25"/>
    <w:rsid w:val="00881D33"/>
    <w:rsid w:val="00882103"/>
    <w:rsid w:val="0088521F"/>
    <w:rsid w:val="008927CC"/>
    <w:rsid w:val="00895B23"/>
    <w:rsid w:val="008B4AAF"/>
    <w:rsid w:val="008B5E72"/>
    <w:rsid w:val="008B7BA7"/>
    <w:rsid w:val="008C466C"/>
    <w:rsid w:val="008E2224"/>
    <w:rsid w:val="00900C3A"/>
    <w:rsid w:val="00911278"/>
    <w:rsid w:val="0091213D"/>
    <w:rsid w:val="00912AF7"/>
    <w:rsid w:val="00932787"/>
    <w:rsid w:val="009406E5"/>
    <w:rsid w:val="009503F6"/>
    <w:rsid w:val="00962A9A"/>
    <w:rsid w:val="00966469"/>
    <w:rsid w:val="0096762A"/>
    <w:rsid w:val="00972B80"/>
    <w:rsid w:val="00987BFE"/>
    <w:rsid w:val="009A6DC6"/>
    <w:rsid w:val="009B1BEE"/>
    <w:rsid w:val="009B22FD"/>
    <w:rsid w:val="009B3028"/>
    <w:rsid w:val="009B6AFC"/>
    <w:rsid w:val="009C545D"/>
    <w:rsid w:val="009D2E68"/>
    <w:rsid w:val="009D5550"/>
    <w:rsid w:val="009E15CA"/>
    <w:rsid w:val="009E7123"/>
    <w:rsid w:val="009F54C7"/>
    <w:rsid w:val="009F57F9"/>
    <w:rsid w:val="00A02A37"/>
    <w:rsid w:val="00A0713F"/>
    <w:rsid w:val="00A176F2"/>
    <w:rsid w:val="00A5461E"/>
    <w:rsid w:val="00A62572"/>
    <w:rsid w:val="00A64BE6"/>
    <w:rsid w:val="00A6633E"/>
    <w:rsid w:val="00A9333B"/>
    <w:rsid w:val="00A970FE"/>
    <w:rsid w:val="00AA181F"/>
    <w:rsid w:val="00AB097C"/>
    <w:rsid w:val="00AB2CCC"/>
    <w:rsid w:val="00AE0789"/>
    <w:rsid w:val="00B23C5D"/>
    <w:rsid w:val="00B26765"/>
    <w:rsid w:val="00B35BC2"/>
    <w:rsid w:val="00B409CE"/>
    <w:rsid w:val="00B417F9"/>
    <w:rsid w:val="00B64FD5"/>
    <w:rsid w:val="00B86BB6"/>
    <w:rsid w:val="00B9733E"/>
    <w:rsid w:val="00BC4A6A"/>
    <w:rsid w:val="00BD026C"/>
    <w:rsid w:val="00BD141B"/>
    <w:rsid w:val="00BD365E"/>
    <w:rsid w:val="00BD3C00"/>
    <w:rsid w:val="00BF270F"/>
    <w:rsid w:val="00BF63F7"/>
    <w:rsid w:val="00C10DDD"/>
    <w:rsid w:val="00C16D03"/>
    <w:rsid w:val="00C208F5"/>
    <w:rsid w:val="00C3036B"/>
    <w:rsid w:val="00C31CB0"/>
    <w:rsid w:val="00C33BC7"/>
    <w:rsid w:val="00C34BA4"/>
    <w:rsid w:val="00C54EE6"/>
    <w:rsid w:val="00C56ADA"/>
    <w:rsid w:val="00C71549"/>
    <w:rsid w:val="00C942B8"/>
    <w:rsid w:val="00CA4B7F"/>
    <w:rsid w:val="00CA6190"/>
    <w:rsid w:val="00CE3683"/>
    <w:rsid w:val="00CE4B77"/>
    <w:rsid w:val="00CE6CD4"/>
    <w:rsid w:val="00D044A7"/>
    <w:rsid w:val="00D06160"/>
    <w:rsid w:val="00D06702"/>
    <w:rsid w:val="00D12DC3"/>
    <w:rsid w:val="00D21213"/>
    <w:rsid w:val="00D21894"/>
    <w:rsid w:val="00D22121"/>
    <w:rsid w:val="00D22D02"/>
    <w:rsid w:val="00D26C1A"/>
    <w:rsid w:val="00D27FE2"/>
    <w:rsid w:val="00D33F4D"/>
    <w:rsid w:val="00D43D0A"/>
    <w:rsid w:val="00D55B1F"/>
    <w:rsid w:val="00D712D7"/>
    <w:rsid w:val="00D72EBB"/>
    <w:rsid w:val="00D7355A"/>
    <w:rsid w:val="00D76EC0"/>
    <w:rsid w:val="00D84E63"/>
    <w:rsid w:val="00D85974"/>
    <w:rsid w:val="00D87FCB"/>
    <w:rsid w:val="00D97730"/>
    <w:rsid w:val="00DA24BE"/>
    <w:rsid w:val="00DB3534"/>
    <w:rsid w:val="00DB3595"/>
    <w:rsid w:val="00DC0D30"/>
    <w:rsid w:val="00DC3957"/>
    <w:rsid w:val="00DC4884"/>
    <w:rsid w:val="00DC5CC1"/>
    <w:rsid w:val="00DC5CFE"/>
    <w:rsid w:val="00DC6C9B"/>
    <w:rsid w:val="00DD5481"/>
    <w:rsid w:val="00DD62A5"/>
    <w:rsid w:val="00DD6651"/>
    <w:rsid w:val="00DE5552"/>
    <w:rsid w:val="00DF5D92"/>
    <w:rsid w:val="00DF7FB5"/>
    <w:rsid w:val="00E150C6"/>
    <w:rsid w:val="00E16AFF"/>
    <w:rsid w:val="00E26F18"/>
    <w:rsid w:val="00E358C4"/>
    <w:rsid w:val="00E4353D"/>
    <w:rsid w:val="00E548BB"/>
    <w:rsid w:val="00E74B10"/>
    <w:rsid w:val="00E75E5A"/>
    <w:rsid w:val="00E80D65"/>
    <w:rsid w:val="00E859B2"/>
    <w:rsid w:val="00EA3366"/>
    <w:rsid w:val="00EB4AD6"/>
    <w:rsid w:val="00EB532A"/>
    <w:rsid w:val="00EB62E8"/>
    <w:rsid w:val="00ED37F6"/>
    <w:rsid w:val="00EE18AC"/>
    <w:rsid w:val="00EF5D73"/>
    <w:rsid w:val="00EF69DD"/>
    <w:rsid w:val="00F062B2"/>
    <w:rsid w:val="00F06743"/>
    <w:rsid w:val="00F17A17"/>
    <w:rsid w:val="00F31B4C"/>
    <w:rsid w:val="00F3264A"/>
    <w:rsid w:val="00F44BB1"/>
    <w:rsid w:val="00F523DA"/>
    <w:rsid w:val="00F5267A"/>
    <w:rsid w:val="00F55B63"/>
    <w:rsid w:val="00F6016D"/>
    <w:rsid w:val="00F61DDF"/>
    <w:rsid w:val="00F6540D"/>
    <w:rsid w:val="00F71EB5"/>
    <w:rsid w:val="00F9791D"/>
    <w:rsid w:val="00FC15AA"/>
    <w:rsid w:val="00FC50C9"/>
    <w:rsid w:val="00FD2E3F"/>
    <w:rsid w:val="00FE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A688AE"/>
  <w15:docId w15:val="{C3569C5B-62D3-40BF-9B54-3951C426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6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1681D"/>
    <w:pPr>
      <w:widowControl w:val="0"/>
    </w:pPr>
    <w:rPr>
      <w:rFonts w:ascii="TimesEEW" w:hAnsi="TimesEEW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01681D"/>
    <w:rPr>
      <w:rFonts w:ascii="TimesEEW" w:eastAsia="Times New Roman" w:hAnsi="TimesEEW" w:cs="Times New Roman"/>
      <w:color w:val="00000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0168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681D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01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01681D"/>
    <w:rPr>
      <w:sz w:val="16"/>
      <w:szCs w:val="16"/>
    </w:rPr>
  </w:style>
  <w:style w:type="paragraph" w:styleId="Textkomente">
    <w:name w:val="annotation text"/>
    <w:basedOn w:val="Normln"/>
    <w:link w:val="TextkomenteChar"/>
    <w:rsid w:val="0001681D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0168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68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681D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latne">
    <w:name w:val="platne"/>
    <w:basedOn w:val="Standardnpsmoodstavce"/>
    <w:rsid w:val="0001681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2E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2EB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545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45F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06160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91279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9127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491279"/>
    <w:rPr>
      <w:vertAlign w:val="superscript"/>
    </w:rPr>
  </w:style>
  <w:style w:type="paragraph" w:styleId="Revize">
    <w:name w:val="Revision"/>
    <w:hidden/>
    <w:uiPriority w:val="99"/>
    <w:semiHidden/>
    <w:rsid w:val="00A071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harCharChar">
    <w:name w:val="Char Char Char"/>
    <w:basedOn w:val="Normln"/>
    <w:rsid w:val="00A6257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C942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A73A6-DD33-4A0E-B4C9-124654DEE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1004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Čermák</dc:creator>
  <cp:lastModifiedBy>Karin Šindlerová</cp:lastModifiedBy>
  <cp:revision>5</cp:revision>
  <cp:lastPrinted>2021-04-19T10:38:00Z</cp:lastPrinted>
  <dcterms:created xsi:type="dcterms:W3CDTF">2021-06-02T07:51:00Z</dcterms:created>
  <dcterms:modified xsi:type="dcterms:W3CDTF">2021-06-02T07:56:00Z</dcterms:modified>
</cp:coreProperties>
</file>