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ADF" w14:textId="6E943418" w:rsidR="00310673" w:rsidRDefault="00310673" w:rsidP="0031067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Dodatek č. 2 Smlouvy o dílo ze dne 12.3.2020</w:t>
      </w:r>
    </w:p>
    <w:p w14:paraId="0C513CF7" w14:textId="5DBFC1F3" w:rsidR="00310673" w:rsidRDefault="00310673" w:rsidP="003106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(dále jen „Dodatek“)</w:t>
      </w:r>
    </w:p>
    <w:p w14:paraId="239C7BF1" w14:textId="493EED44" w:rsidR="00310673" w:rsidRPr="00310673" w:rsidRDefault="00310673" w:rsidP="00310673">
      <w:pPr>
        <w:pStyle w:val="Default"/>
        <w:spacing w:before="360" w:line="276" w:lineRule="auto"/>
        <w:jc w:val="center"/>
      </w:pPr>
      <w:r w:rsidRPr="00310673">
        <w:rPr>
          <w:b/>
          <w:bCs/>
        </w:rPr>
        <w:t>I.</w:t>
      </w:r>
    </w:p>
    <w:p w14:paraId="454B8678" w14:textId="0145CD08" w:rsidR="00310673" w:rsidRPr="00310673" w:rsidRDefault="00310673" w:rsidP="00310673">
      <w:pPr>
        <w:pStyle w:val="Default"/>
        <w:spacing w:line="276" w:lineRule="auto"/>
        <w:jc w:val="center"/>
      </w:pPr>
      <w:r w:rsidRPr="00310673">
        <w:rPr>
          <w:b/>
          <w:bCs/>
        </w:rPr>
        <w:t>Smluvní strany</w:t>
      </w:r>
    </w:p>
    <w:p w14:paraId="7D729317" w14:textId="77777777" w:rsidR="00310673" w:rsidRPr="00310673" w:rsidRDefault="00310673" w:rsidP="00310673">
      <w:pPr>
        <w:pStyle w:val="Default"/>
        <w:spacing w:before="120" w:line="276" w:lineRule="auto"/>
      </w:pPr>
      <w:r w:rsidRPr="00310673">
        <w:rPr>
          <w:b/>
          <w:bCs/>
        </w:rPr>
        <w:t xml:space="preserve">E.ON Energie, a.s. </w:t>
      </w:r>
    </w:p>
    <w:p w14:paraId="2F81CFF8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Se sídlem F. A. </w:t>
      </w:r>
      <w:proofErr w:type="spellStart"/>
      <w:r w:rsidRPr="00310673">
        <w:t>Gerstnera</w:t>
      </w:r>
      <w:proofErr w:type="spellEnd"/>
      <w:r w:rsidRPr="00310673">
        <w:t xml:space="preserve"> 2151/6, České Budějovice 7, 370 01 České Budějovice </w:t>
      </w:r>
    </w:p>
    <w:p w14:paraId="22142540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Zapsaná v OR vedeném u KS v Českých Budějovicích, oddíl B, vložka 1390 </w:t>
      </w:r>
    </w:p>
    <w:p w14:paraId="79E5DF04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Zastoupená ve věcech smluvních: </w:t>
      </w:r>
    </w:p>
    <w:p w14:paraId="02A98355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Ing. Rudolfem Rýdlem, vedoucím energetických služeb a zdrojů a </w:t>
      </w:r>
    </w:p>
    <w:p w14:paraId="3C20167E" w14:textId="013864D6" w:rsidR="00310673" w:rsidRPr="00310673" w:rsidRDefault="00310673" w:rsidP="00310673">
      <w:pPr>
        <w:pStyle w:val="Default"/>
        <w:spacing w:line="276" w:lineRule="auto"/>
      </w:pPr>
      <w:r>
        <w:rPr>
          <w:sz w:val="23"/>
          <w:szCs w:val="23"/>
        </w:rPr>
        <w:t xml:space="preserve">Ing. Lubošem Jedličkou, manažerem technických služeb na základě plných mocí </w:t>
      </w:r>
    </w:p>
    <w:p w14:paraId="360BA59C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Zastoupená ve věcech technických: Ing. Ilonou Pavlíkovou, manažerem technických služeb </w:t>
      </w:r>
    </w:p>
    <w:p w14:paraId="77DD273D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IČO: 260 78 201 </w:t>
      </w:r>
    </w:p>
    <w:p w14:paraId="7A3739A1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DIČ: CZ 260 78 201 </w:t>
      </w:r>
    </w:p>
    <w:p w14:paraId="33AADA0A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Bankovní spojení/ číslo účtu: Komerční banka a.s. / 27-9426110267/0100 </w:t>
      </w:r>
    </w:p>
    <w:p w14:paraId="3C7B718C" w14:textId="77777777" w:rsidR="00310673" w:rsidRPr="00310673" w:rsidRDefault="00310673" w:rsidP="00310673">
      <w:pPr>
        <w:pStyle w:val="Default"/>
        <w:spacing w:before="120" w:line="276" w:lineRule="auto"/>
      </w:pPr>
      <w:r w:rsidRPr="00310673">
        <w:t xml:space="preserve">(dále jen </w:t>
      </w:r>
      <w:r w:rsidRPr="00310673">
        <w:rPr>
          <w:b/>
          <w:bCs/>
        </w:rPr>
        <w:t xml:space="preserve">„ECE“ </w:t>
      </w:r>
      <w:r w:rsidRPr="00310673">
        <w:t xml:space="preserve">nebo </w:t>
      </w:r>
      <w:r w:rsidRPr="00310673">
        <w:rPr>
          <w:b/>
          <w:bCs/>
        </w:rPr>
        <w:t>„Zhotovitel“</w:t>
      </w:r>
      <w:r w:rsidRPr="00310673">
        <w:t xml:space="preserve">) </w:t>
      </w:r>
    </w:p>
    <w:p w14:paraId="66BFDF60" w14:textId="77777777" w:rsidR="00310673" w:rsidRPr="00310673" w:rsidRDefault="00310673" w:rsidP="00310673">
      <w:pPr>
        <w:pStyle w:val="Default"/>
        <w:spacing w:before="240" w:line="276" w:lineRule="auto"/>
      </w:pPr>
      <w:r w:rsidRPr="00310673">
        <w:rPr>
          <w:b/>
          <w:bCs/>
        </w:rPr>
        <w:t xml:space="preserve">a </w:t>
      </w:r>
    </w:p>
    <w:p w14:paraId="69E945B5" w14:textId="77777777" w:rsidR="00310673" w:rsidRPr="00310673" w:rsidRDefault="00310673" w:rsidP="00310673">
      <w:pPr>
        <w:pStyle w:val="Default"/>
        <w:spacing w:before="240" w:line="276" w:lineRule="auto"/>
      </w:pPr>
      <w:r w:rsidRPr="00310673">
        <w:rPr>
          <w:b/>
          <w:bCs/>
        </w:rPr>
        <w:t xml:space="preserve">Město Český Krumlov </w:t>
      </w:r>
    </w:p>
    <w:p w14:paraId="352416CF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se sídlem: nám. Svornosti 1, Český Krumlov, PSČ 381 01 </w:t>
      </w:r>
    </w:p>
    <w:p w14:paraId="448BC5CF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Zastoupené ve věcech smluvních: Mgr. Daliborem Cardou, starostou města, </w:t>
      </w:r>
    </w:p>
    <w:p w14:paraId="41308265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Zastoupené ve věcech technických: p. Zdeňkem Kmochem, technikem odboru správy majetku a investic </w:t>
      </w:r>
      <w:proofErr w:type="spellStart"/>
      <w:r w:rsidRPr="00310673">
        <w:t>MěÚ</w:t>
      </w:r>
      <w:proofErr w:type="spellEnd"/>
      <w:r w:rsidRPr="00310673">
        <w:t xml:space="preserve"> Český Krumlov </w:t>
      </w:r>
    </w:p>
    <w:p w14:paraId="7D07419E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IČO:00245836 </w:t>
      </w:r>
    </w:p>
    <w:p w14:paraId="1A6D3DF1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DIČ: CZ00245836 </w:t>
      </w:r>
    </w:p>
    <w:p w14:paraId="6BEDFD9F" w14:textId="77777777" w:rsidR="00310673" w:rsidRPr="00310673" w:rsidRDefault="00310673" w:rsidP="00310673">
      <w:pPr>
        <w:pStyle w:val="Default"/>
        <w:spacing w:line="276" w:lineRule="auto"/>
      </w:pPr>
      <w:r w:rsidRPr="00310673">
        <w:t xml:space="preserve">Bankovní spojení/ číslo účtu: Komerční banka, a.s. / 19-221241/0100 </w:t>
      </w:r>
    </w:p>
    <w:p w14:paraId="2427AA02" w14:textId="77777777" w:rsidR="00310673" w:rsidRPr="00310673" w:rsidRDefault="00310673" w:rsidP="00310673">
      <w:pPr>
        <w:pStyle w:val="Default"/>
        <w:spacing w:before="120" w:line="276" w:lineRule="auto"/>
      </w:pPr>
      <w:r w:rsidRPr="00310673">
        <w:t>(dále jen „</w:t>
      </w:r>
      <w:r w:rsidRPr="00310673">
        <w:rPr>
          <w:b/>
          <w:bCs/>
        </w:rPr>
        <w:t xml:space="preserve">Zákazník“ </w:t>
      </w:r>
      <w:r w:rsidRPr="00310673">
        <w:t xml:space="preserve">nebo </w:t>
      </w:r>
      <w:r w:rsidRPr="00310673">
        <w:rPr>
          <w:b/>
          <w:bCs/>
        </w:rPr>
        <w:t>„Objednatel“</w:t>
      </w:r>
      <w:r w:rsidRPr="00310673">
        <w:t xml:space="preserve">) </w:t>
      </w:r>
    </w:p>
    <w:p w14:paraId="20B1E246" w14:textId="3F0BA426" w:rsidR="00310673" w:rsidRPr="00310673" w:rsidRDefault="00310673" w:rsidP="00310673">
      <w:pPr>
        <w:pStyle w:val="Default"/>
        <w:spacing w:before="240" w:line="276" w:lineRule="auto"/>
        <w:jc w:val="center"/>
      </w:pPr>
      <w:r w:rsidRPr="00310673">
        <w:rPr>
          <w:b/>
          <w:bCs/>
        </w:rPr>
        <w:t>I.</w:t>
      </w:r>
    </w:p>
    <w:p w14:paraId="63425F36" w14:textId="3CA52424" w:rsidR="00310673" w:rsidRPr="00310673" w:rsidRDefault="00310673" w:rsidP="00310673">
      <w:pPr>
        <w:pStyle w:val="Default"/>
        <w:spacing w:line="276" w:lineRule="auto"/>
        <w:jc w:val="center"/>
      </w:pPr>
      <w:r w:rsidRPr="00310673">
        <w:rPr>
          <w:b/>
          <w:bCs/>
        </w:rPr>
        <w:t>Předmět dodatku</w:t>
      </w:r>
    </w:p>
    <w:p w14:paraId="044B74E9" w14:textId="77777777" w:rsidR="00310673" w:rsidRPr="00310673" w:rsidRDefault="00310673" w:rsidP="00310673">
      <w:pPr>
        <w:pStyle w:val="Default"/>
        <w:spacing w:before="240" w:line="276" w:lineRule="auto"/>
        <w:jc w:val="both"/>
      </w:pPr>
      <w:r w:rsidRPr="00310673">
        <w:rPr>
          <w:b/>
          <w:bCs/>
        </w:rPr>
        <w:t xml:space="preserve">Smluvní strany se dohodly, že výše uvedená Smlouva o dílo č. 130/2020/OSMI uzavřená smluvními stranami dne 12.3.2020, jejímž předmětem je zejména závazek ECE zhotovit pro Zákazníka dílo spočívající v realizaci veřejné zakázky malého rozsahu na stavební práce pod názvem „Výměna svítidel veřejného osvětlení v České Krumlově“ v rozsahu a s parametry uvedenými v nabídce Zhotovitele a v příloze č. 2 Smlouvy – Technická dokumentace a tomu odpovídající závazek Objednatele dílo bez vad a nedodělků převzít a uhradit Zhotoviteli za provedení díla sjednanou cenu (dále také „Smlouva“) se z důvodu řízení vyvolaného Úřadem pro ochranu hospodářské soutěže mění a doplňuje takto: </w:t>
      </w:r>
    </w:p>
    <w:p w14:paraId="27CF9573" w14:textId="77777777" w:rsidR="00310673" w:rsidRPr="00310673" w:rsidRDefault="00310673" w:rsidP="00310673">
      <w:pPr>
        <w:pStyle w:val="Default"/>
        <w:spacing w:before="120" w:line="276" w:lineRule="auto"/>
        <w:ind w:left="284"/>
        <w:jc w:val="both"/>
      </w:pPr>
      <w:r w:rsidRPr="00310673">
        <w:t xml:space="preserve">1.1 Smluvní strany se v souladu s čl. XIV., odst. 4. Smlouvy dohodly na následujícím Dodatku Smlouvy, jehož předmětem je prodloužení termínu realizace 1. a 2. etapy díla a zároveň termín dokončení díla. </w:t>
      </w:r>
    </w:p>
    <w:p w14:paraId="6ADACB19" w14:textId="58A0B1BD" w:rsidR="00310673" w:rsidRPr="00310673" w:rsidRDefault="00310673" w:rsidP="00310673">
      <w:pPr>
        <w:pStyle w:val="Default"/>
        <w:spacing w:before="120" w:line="276" w:lineRule="auto"/>
        <w:ind w:left="284"/>
        <w:jc w:val="both"/>
        <w:rPr>
          <w:color w:val="auto"/>
        </w:rPr>
      </w:pPr>
      <w:r w:rsidRPr="00310673">
        <w:rPr>
          <w:color w:val="auto"/>
        </w:rPr>
        <w:lastRenderedPageBreak/>
        <w:t xml:space="preserve">1.2 Smlouva o dílo se tímto Dodatkem mění následujícím způsobem: </w:t>
      </w:r>
    </w:p>
    <w:p w14:paraId="66AE816E" w14:textId="77777777" w:rsidR="00310673" w:rsidRPr="00310673" w:rsidRDefault="00310673" w:rsidP="00310673">
      <w:pPr>
        <w:pStyle w:val="Default"/>
        <w:spacing w:before="120" w:line="276" w:lineRule="auto"/>
        <w:ind w:left="284"/>
        <w:jc w:val="both"/>
        <w:rPr>
          <w:color w:val="auto"/>
        </w:rPr>
      </w:pPr>
      <w:r w:rsidRPr="00310673">
        <w:rPr>
          <w:b/>
          <w:bCs/>
          <w:color w:val="auto"/>
        </w:rPr>
        <w:t xml:space="preserve">- </w:t>
      </w:r>
      <w:r w:rsidRPr="00310673">
        <w:rPr>
          <w:color w:val="auto"/>
        </w:rPr>
        <w:t xml:space="preserve">čl. III., odst. 1., Smlouvy se zcela ruší a nahrazuje následujícím zněním: </w:t>
      </w:r>
    </w:p>
    <w:p w14:paraId="0518D879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</w:pPr>
      <w:r w:rsidRPr="00310673">
        <w:rPr>
          <w:i/>
          <w:iCs/>
          <w:color w:val="auto"/>
        </w:rPr>
        <w:t xml:space="preserve">„Dílo bude realizováno ve dvou etapách. Přesnou specifikaci 1. a 2. etapy obsahuje </w:t>
      </w:r>
      <w:r w:rsidRPr="00310673">
        <w:rPr>
          <w:b/>
          <w:bCs/>
          <w:i/>
          <w:iCs/>
          <w:color w:val="auto"/>
        </w:rPr>
        <w:t xml:space="preserve">příloha č. 4 </w:t>
      </w:r>
      <w:r w:rsidRPr="00310673">
        <w:rPr>
          <w:i/>
          <w:iCs/>
          <w:color w:val="auto"/>
        </w:rPr>
        <w:t xml:space="preserve">této Smlouvy. Po dokončení 1. etapy bude realizována 2. etapa, která bude dokončena do 31.8.2021. Dílo bude dokončeno nejpozději do 31.8.2021. Každá etapa bude Objednateli předána </w:t>
      </w:r>
      <w:r w:rsidRPr="00310673">
        <w:t xml:space="preserve">samostatně.“ </w:t>
      </w:r>
    </w:p>
    <w:p w14:paraId="25354D6F" w14:textId="77777777" w:rsidR="00310673" w:rsidRPr="00310673" w:rsidRDefault="00310673" w:rsidP="00310673">
      <w:pPr>
        <w:pStyle w:val="Default"/>
        <w:spacing w:before="240" w:line="276" w:lineRule="auto"/>
        <w:ind w:left="284"/>
        <w:jc w:val="both"/>
        <w:rPr>
          <w:color w:val="auto"/>
        </w:rPr>
      </w:pPr>
      <w:r w:rsidRPr="00310673">
        <w:rPr>
          <w:b/>
          <w:bCs/>
          <w:color w:val="auto"/>
        </w:rPr>
        <w:t xml:space="preserve">- </w:t>
      </w:r>
      <w:r w:rsidRPr="00310673">
        <w:rPr>
          <w:color w:val="auto"/>
        </w:rPr>
        <w:t xml:space="preserve">v příloze č. 4 </w:t>
      </w:r>
      <w:proofErr w:type="gramStart"/>
      <w:r w:rsidRPr="00310673">
        <w:rPr>
          <w:color w:val="auto"/>
        </w:rPr>
        <w:t>Smlouvy - Specifikace</w:t>
      </w:r>
      <w:proofErr w:type="gramEnd"/>
      <w:r w:rsidRPr="00310673">
        <w:rPr>
          <w:color w:val="auto"/>
        </w:rPr>
        <w:t xml:space="preserve"> 1. a 2. etapy díla - se mění uvedené termíny následujícím způsobem: </w:t>
      </w:r>
    </w:p>
    <w:p w14:paraId="57AA4C06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i/>
          <w:iCs/>
          <w:color w:val="auto"/>
        </w:rPr>
        <w:t xml:space="preserve">1. etapa – průjezdní úseky silnic </w:t>
      </w:r>
    </w:p>
    <w:p w14:paraId="3B3376C5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color w:val="auto"/>
        </w:rPr>
        <w:t xml:space="preserve">předpokládaný termín zahájení plnění: duben 2021 </w:t>
      </w:r>
    </w:p>
    <w:p w14:paraId="40602F52" w14:textId="77777777" w:rsidR="00310673" w:rsidRPr="00310673" w:rsidRDefault="00310673" w:rsidP="00310673">
      <w:pPr>
        <w:pStyle w:val="Default"/>
        <w:spacing w:before="240" w:line="276" w:lineRule="auto"/>
        <w:ind w:left="567"/>
        <w:jc w:val="both"/>
        <w:rPr>
          <w:color w:val="auto"/>
        </w:rPr>
      </w:pPr>
      <w:r w:rsidRPr="00310673">
        <w:rPr>
          <w:i/>
          <w:iCs/>
          <w:color w:val="auto"/>
        </w:rPr>
        <w:t xml:space="preserve">2. etapa – ostatní pozemní komunikace projektu </w:t>
      </w:r>
    </w:p>
    <w:p w14:paraId="450428C4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color w:val="auto"/>
        </w:rPr>
        <w:t xml:space="preserve">předpokládaný termín zahájení plnění: po skončení 1. etapy </w:t>
      </w:r>
    </w:p>
    <w:p w14:paraId="4B9CC816" w14:textId="77777777" w:rsidR="00310673" w:rsidRPr="00310673" w:rsidRDefault="00310673" w:rsidP="00310673">
      <w:pPr>
        <w:pStyle w:val="Default"/>
        <w:spacing w:before="60" w:line="276" w:lineRule="auto"/>
        <w:ind w:left="567"/>
        <w:jc w:val="both"/>
        <w:rPr>
          <w:color w:val="auto"/>
        </w:rPr>
      </w:pPr>
      <w:r w:rsidRPr="00310673">
        <w:rPr>
          <w:color w:val="auto"/>
        </w:rPr>
        <w:t xml:space="preserve">předpokládaný termín ukončení plnění: do 31.8.2021 </w:t>
      </w:r>
    </w:p>
    <w:p w14:paraId="58B4C883" w14:textId="77777777" w:rsidR="00310673" w:rsidRPr="00310673" w:rsidRDefault="00310673" w:rsidP="00310673">
      <w:pPr>
        <w:pStyle w:val="Default"/>
        <w:spacing w:before="240" w:line="276" w:lineRule="auto"/>
        <w:ind w:left="284"/>
        <w:jc w:val="both"/>
        <w:rPr>
          <w:color w:val="auto"/>
        </w:rPr>
      </w:pPr>
      <w:r w:rsidRPr="00310673">
        <w:rPr>
          <w:b/>
          <w:bCs/>
          <w:color w:val="auto"/>
        </w:rPr>
        <w:t xml:space="preserve">- </w:t>
      </w:r>
      <w:r w:rsidRPr="00310673">
        <w:rPr>
          <w:color w:val="auto"/>
        </w:rPr>
        <w:t xml:space="preserve">v příloze č. 5 </w:t>
      </w:r>
      <w:proofErr w:type="gramStart"/>
      <w:r w:rsidRPr="00310673">
        <w:rPr>
          <w:color w:val="auto"/>
        </w:rPr>
        <w:t>Smlouvy - Harmonogram</w:t>
      </w:r>
      <w:proofErr w:type="gramEnd"/>
      <w:r w:rsidRPr="00310673">
        <w:rPr>
          <w:color w:val="auto"/>
        </w:rPr>
        <w:t xml:space="preserve"> plnění - se rovněž mění uvedené termíny následujícím způsobem: </w:t>
      </w:r>
    </w:p>
    <w:p w14:paraId="1D240BE1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i/>
          <w:iCs/>
          <w:color w:val="auto"/>
        </w:rPr>
        <w:t xml:space="preserve">1. etapa – průjezdní úseky silnic </w:t>
      </w:r>
    </w:p>
    <w:p w14:paraId="0AE86A5E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color w:val="auto"/>
        </w:rPr>
        <w:t xml:space="preserve">Termín zahájení prací: duben 2021 </w:t>
      </w:r>
    </w:p>
    <w:p w14:paraId="11455166" w14:textId="77777777" w:rsidR="00310673" w:rsidRPr="00310673" w:rsidRDefault="00310673" w:rsidP="00310673">
      <w:pPr>
        <w:pStyle w:val="Default"/>
        <w:spacing w:before="240" w:line="276" w:lineRule="auto"/>
        <w:ind w:left="567"/>
        <w:jc w:val="both"/>
        <w:rPr>
          <w:color w:val="auto"/>
        </w:rPr>
      </w:pPr>
      <w:r w:rsidRPr="00310673">
        <w:rPr>
          <w:i/>
          <w:iCs/>
          <w:color w:val="auto"/>
        </w:rPr>
        <w:t xml:space="preserve">2. etapa – ostatní pozemní komunikace projektu </w:t>
      </w:r>
    </w:p>
    <w:p w14:paraId="2B5060D7" w14:textId="77777777" w:rsidR="00310673" w:rsidRPr="00310673" w:rsidRDefault="00310673" w:rsidP="00310673">
      <w:pPr>
        <w:pStyle w:val="Default"/>
        <w:spacing w:before="120" w:line="276" w:lineRule="auto"/>
        <w:ind w:left="567"/>
        <w:jc w:val="both"/>
        <w:rPr>
          <w:color w:val="auto"/>
        </w:rPr>
      </w:pPr>
      <w:r w:rsidRPr="00310673">
        <w:rPr>
          <w:color w:val="auto"/>
        </w:rPr>
        <w:t xml:space="preserve">Termín zahájení prací: po skončení 1. etapy </w:t>
      </w:r>
    </w:p>
    <w:p w14:paraId="459FE714" w14:textId="77777777" w:rsidR="00310673" w:rsidRPr="00310673" w:rsidRDefault="00310673" w:rsidP="00310673">
      <w:pPr>
        <w:pStyle w:val="Default"/>
        <w:spacing w:before="60" w:line="276" w:lineRule="auto"/>
        <w:ind w:left="567"/>
        <w:jc w:val="both"/>
        <w:rPr>
          <w:color w:val="auto"/>
        </w:rPr>
      </w:pPr>
      <w:r w:rsidRPr="00310673">
        <w:rPr>
          <w:i/>
          <w:iCs/>
          <w:color w:val="auto"/>
        </w:rPr>
        <w:t xml:space="preserve">Termín ukončení prací: 31.8.2021 </w:t>
      </w:r>
    </w:p>
    <w:p w14:paraId="2270D557" w14:textId="77777777" w:rsidR="00310673" w:rsidRPr="00310673" w:rsidRDefault="00310673" w:rsidP="00310673">
      <w:pPr>
        <w:pStyle w:val="Default"/>
        <w:spacing w:before="240" w:line="276" w:lineRule="auto"/>
        <w:jc w:val="center"/>
        <w:rPr>
          <w:color w:val="auto"/>
        </w:rPr>
      </w:pPr>
      <w:r w:rsidRPr="00310673">
        <w:rPr>
          <w:b/>
          <w:bCs/>
          <w:color w:val="auto"/>
        </w:rPr>
        <w:t xml:space="preserve">II. </w:t>
      </w:r>
    </w:p>
    <w:p w14:paraId="5DB533BC" w14:textId="77777777" w:rsidR="00310673" w:rsidRPr="00310673" w:rsidRDefault="00310673" w:rsidP="00310673">
      <w:pPr>
        <w:pStyle w:val="Default"/>
        <w:spacing w:line="276" w:lineRule="auto"/>
        <w:jc w:val="center"/>
        <w:rPr>
          <w:color w:val="auto"/>
        </w:rPr>
      </w:pPr>
      <w:r w:rsidRPr="00310673">
        <w:rPr>
          <w:b/>
          <w:bCs/>
          <w:color w:val="auto"/>
        </w:rPr>
        <w:t xml:space="preserve">Ostatní ujednání </w:t>
      </w:r>
    </w:p>
    <w:p w14:paraId="0B8E97EE" w14:textId="207BC97F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t xml:space="preserve">2.1 Dodatek č.2 ke Smlouvě o dílo č. 130/2020/OSMI byl schválen usnesením Rady města Český Krumlov ze dne 19. dubna 2021, usnesení č. 0146/RM11/2021. </w:t>
      </w:r>
    </w:p>
    <w:p w14:paraId="786736C3" w14:textId="76FE7F04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t xml:space="preserve">2.2 Smluvní strany souhlasí, aby tento Dodatek č. 2 ke smlouvě od dílo č. 130/2020/OSMI byl objednatelem zveřejněn v plném rozsahu v elektronickém registru smluv, který slouží k uveřejňování smluv dle zákona č. 340/2015 Sb., o zvláštních podmínkách účinnosti některých smluv, uveřejňování těchto smluv a o registru </w:t>
      </w:r>
      <w:proofErr w:type="spellStart"/>
      <w:r w:rsidRPr="00310673">
        <w:rPr>
          <w:color w:val="auto"/>
        </w:rPr>
        <w:t>smlu</w:t>
      </w:r>
      <w:proofErr w:type="spellEnd"/>
      <w:r w:rsidRPr="00310673">
        <w:rPr>
          <w:color w:val="auto"/>
        </w:rPr>
        <w:t xml:space="preserve"> (zákon o registraci smluv). </w:t>
      </w:r>
    </w:p>
    <w:p w14:paraId="046C743C" w14:textId="77777777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t>2.3 Dodatek č. 2 ke Smlouvě o dílo č. 130/2020/OSMI nabývá platnosti dnem jejího podpisu oběma smluvními stranami. Dodatek č. 2 ke Smlouvě o dílo 130/2020/</w:t>
      </w:r>
      <w:proofErr w:type="gramStart"/>
      <w:r w:rsidRPr="00310673">
        <w:rPr>
          <w:color w:val="auto"/>
        </w:rPr>
        <w:t>OSMI</w:t>
      </w:r>
      <w:proofErr w:type="gramEnd"/>
      <w:r w:rsidRPr="00310673">
        <w:rPr>
          <w:color w:val="auto"/>
        </w:rPr>
        <w:t xml:space="preserve"> na nějž se vztahuje povinnost uveřejnění prostřednictvím registru smluv, nabývá účinnosti nejdříve dnem uveřejnění. Nebyl-li dodatek č.2 ke smlouvě o dílo č. 130/2020/OSMI uveřejněn prostřednictvím registru smluv ani do 3 měsíců ode dne, kdy byl uzavřen, platí, že je zrušen od počátku (nikdy nebyl uzavřen). </w:t>
      </w:r>
    </w:p>
    <w:p w14:paraId="4451F0D4" w14:textId="77777777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lastRenderedPageBreak/>
        <w:t xml:space="preserve">2.4 Obě smluvní strany prohlašují, že se seznámily s celým textem dodatku č. 2 ke Smlouvě o dílo č. 130/2020/OSMI a s celým obsahem souhlasí. Jako projev souhlasu s obsahem Dodatku č. 2 ke Smlouvě o dílo č. 130/2020/OSMI připojují smluvní strany svůj podpis. </w:t>
      </w:r>
    </w:p>
    <w:p w14:paraId="38905ED3" w14:textId="3D4A0477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t xml:space="preserve">2.5 Dodatek č. 2 ke Smlouvě o dílo č. 130/2020/OSMI je vyhotoven ve čtyřech vyhotoveních, z nichž každé má platnost originálu. Objednatel obdrží 3 výtisky, zhotovitel obdrží 1 výtisk, oboustranně podepsaný. </w:t>
      </w:r>
    </w:p>
    <w:p w14:paraId="5B9A0CE4" w14:textId="3FED617E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  <w:r w:rsidRPr="00310673">
        <w:rPr>
          <w:color w:val="auto"/>
        </w:rPr>
        <w:t>2.6 Ustanovení Smlouvy tímto Dodatkem nedotčená zůstávají v platnosti.</w:t>
      </w:r>
    </w:p>
    <w:p w14:paraId="4A1D9318" w14:textId="77777777" w:rsidR="00310673" w:rsidRPr="00310673" w:rsidRDefault="00310673" w:rsidP="00310673">
      <w:pPr>
        <w:pStyle w:val="Default"/>
        <w:spacing w:before="120" w:line="276" w:lineRule="auto"/>
        <w:jc w:val="both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571"/>
      </w:tblGrid>
      <w:tr w:rsidR="00310673" w:rsidRPr="00310673" w14:paraId="4499953B" w14:textId="77777777" w:rsidTr="00310673">
        <w:trPr>
          <w:trHeight w:val="109"/>
        </w:trPr>
        <w:tc>
          <w:tcPr>
            <w:tcW w:w="4570" w:type="dxa"/>
          </w:tcPr>
          <w:p w14:paraId="1592A71C" w14:textId="72FF0AB0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Za Zákazníka: </w:t>
            </w:r>
          </w:p>
        </w:tc>
        <w:tc>
          <w:tcPr>
            <w:tcW w:w="4571" w:type="dxa"/>
          </w:tcPr>
          <w:p w14:paraId="3621AA93" w14:textId="77777777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Za ECE: </w:t>
            </w:r>
          </w:p>
        </w:tc>
      </w:tr>
      <w:tr w:rsidR="00310673" w:rsidRPr="00310673" w14:paraId="401145E5" w14:textId="77777777" w:rsidTr="005B1CBB">
        <w:trPr>
          <w:trHeight w:val="890"/>
        </w:trPr>
        <w:tc>
          <w:tcPr>
            <w:tcW w:w="4570" w:type="dxa"/>
          </w:tcPr>
          <w:p w14:paraId="52FECB61" w14:textId="0C95D646" w:rsidR="00310673" w:rsidRPr="00310673" w:rsidRDefault="00310673" w:rsidP="005B1CBB">
            <w:pPr>
              <w:pStyle w:val="Default"/>
              <w:spacing w:before="360" w:after="240" w:line="276" w:lineRule="auto"/>
            </w:pPr>
            <w:r w:rsidRPr="00310673">
              <w:t xml:space="preserve">Český Krumlov, dne </w:t>
            </w:r>
            <w:r w:rsidR="005B1CBB">
              <w:t>22. dubna 2021</w:t>
            </w:r>
          </w:p>
        </w:tc>
        <w:tc>
          <w:tcPr>
            <w:tcW w:w="4571" w:type="dxa"/>
          </w:tcPr>
          <w:p w14:paraId="13CD2501" w14:textId="2CF4B486" w:rsidR="00310673" w:rsidRPr="00310673" w:rsidRDefault="00310673" w:rsidP="005827BD">
            <w:pPr>
              <w:pStyle w:val="Default"/>
              <w:spacing w:before="360" w:line="276" w:lineRule="auto"/>
            </w:pPr>
            <w:r w:rsidRPr="00310673">
              <w:t xml:space="preserve">České Budějovice, dne </w:t>
            </w:r>
            <w:r w:rsidR="005B1CBB">
              <w:t>23. dubna 2021</w:t>
            </w:r>
          </w:p>
        </w:tc>
      </w:tr>
      <w:tr w:rsidR="00310673" w:rsidRPr="00310673" w14:paraId="7B6A178A" w14:textId="77777777" w:rsidTr="00310673">
        <w:trPr>
          <w:trHeight w:val="431"/>
        </w:trPr>
        <w:tc>
          <w:tcPr>
            <w:tcW w:w="4570" w:type="dxa"/>
          </w:tcPr>
          <w:p w14:paraId="71B3344F" w14:textId="77777777" w:rsidR="00310673" w:rsidRPr="00310673" w:rsidRDefault="00310673" w:rsidP="005827BD">
            <w:pPr>
              <w:pStyle w:val="Default"/>
              <w:spacing w:before="1200" w:line="276" w:lineRule="auto"/>
            </w:pPr>
            <w:r w:rsidRPr="00310673">
              <w:t xml:space="preserve">Mgr. Dalibor Carda </w:t>
            </w:r>
          </w:p>
          <w:p w14:paraId="02EABDE7" w14:textId="77777777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Starosta města </w:t>
            </w:r>
          </w:p>
        </w:tc>
        <w:tc>
          <w:tcPr>
            <w:tcW w:w="4571" w:type="dxa"/>
          </w:tcPr>
          <w:p w14:paraId="0283FC7F" w14:textId="77777777" w:rsidR="00310673" w:rsidRPr="00310673" w:rsidRDefault="00310673" w:rsidP="005827BD">
            <w:pPr>
              <w:pStyle w:val="Default"/>
              <w:spacing w:before="1200" w:line="276" w:lineRule="auto"/>
            </w:pPr>
            <w:r w:rsidRPr="00310673">
              <w:t xml:space="preserve">Ing. Rudolf Rýdl </w:t>
            </w:r>
          </w:p>
          <w:p w14:paraId="1C7A42BF" w14:textId="77777777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Vedoucí energetických služeb a zdrojů </w:t>
            </w:r>
          </w:p>
          <w:p w14:paraId="195F631D" w14:textId="77777777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E.ON Energie, a.s. </w:t>
            </w:r>
          </w:p>
        </w:tc>
      </w:tr>
      <w:tr w:rsidR="00310673" w:rsidRPr="00310673" w14:paraId="4B1D7C40" w14:textId="77777777" w:rsidTr="00C97945">
        <w:trPr>
          <w:trHeight w:val="430"/>
        </w:trPr>
        <w:tc>
          <w:tcPr>
            <w:tcW w:w="4570" w:type="dxa"/>
          </w:tcPr>
          <w:p w14:paraId="6003E6AB" w14:textId="307E2356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 </w:t>
            </w:r>
          </w:p>
        </w:tc>
        <w:tc>
          <w:tcPr>
            <w:tcW w:w="4571" w:type="dxa"/>
          </w:tcPr>
          <w:p w14:paraId="458D41AB" w14:textId="77777777" w:rsidR="00310673" w:rsidRDefault="00310673" w:rsidP="005827BD">
            <w:pPr>
              <w:pStyle w:val="Default"/>
              <w:spacing w:before="14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Ing. Luboš Jedlička</w:t>
            </w:r>
          </w:p>
          <w:p w14:paraId="380C0FA8" w14:textId="3BC77EBD" w:rsidR="00310673" w:rsidRDefault="005827BD" w:rsidP="00310673">
            <w:pPr>
              <w:pStyle w:val="Default"/>
              <w:spacing w:line="276" w:lineRule="auto"/>
            </w:pPr>
            <w:r>
              <w:rPr>
                <w:sz w:val="23"/>
                <w:szCs w:val="23"/>
              </w:rPr>
              <w:t>M</w:t>
            </w:r>
            <w:r w:rsidR="00310673">
              <w:rPr>
                <w:sz w:val="23"/>
                <w:szCs w:val="23"/>
              </w:rPr>
              <w:t>anažer technických služeb</w:t>
            </w:r>
          </w:p>
          <w:p w14:paraId="38C07A38" w14:textId="3D81CFC2" w:rsidR="00310673" w:rsidRPr="00310673" w:rsidRDefault="00310673" w:rsidP="00310673">
            <w:pPr>
              <w:pStyle w:val="Default"/>
              <w:spacing w:line="276" w:lineRule="auto"/>
            </w:pPr>
            <w:r w:rsidRPr="00310673">
              <w:t xml:space="preserve">E.ON Energie, a.s. </w:t>
            </w:r>
          </w:p>
        </w:tc>
      </w:tr>
    </w:tbl>
    <w:p w14:paraId="1DD8E4DD" w14:textId="77777777" w:rsidR="00CB2EDB" w:rsidRPr="00310673" w:rsidRDefault="00CB2EDB" w:rsidP="003106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B2EDB" w:rsidRPr="00310673" w:rsidSect="00310673">
      <w:foot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DAC7" w14:textId="77777777" w:rsidR="00DB1F2B" w:rsidRDefault="00DB1F2B" w:rsidP="00310673">
      <w:r>
        <w:separator/>
      </w:r>
    </w:p>
  </w:endnote>
  <w:endnote w:type="continuationSeparator" w:id="0">
    <w:p w14:paraId="7165A4E7" w14:textId="77777777" w:rsidR="00DB1F2B" w:rsidRDefault="00DB1F2B" w:rsidP="0031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4C01" w14:textId="2A86DBCB" w:rsidR="00310673" w:rsidRPr="00310673" w:rsidRDefault="00310673" w:rsidP="00310673">
    <w:pPr>
      <w:pStyle w:val="Zpat"/>
      <w:jc w:val="center"/>
      <w:rPr>
        <w:rFonts w:ascii="Times New Roman" w:hAnsi="Times New Roman" w:cs="Times New Roman"/>
        <w:sz w:val="23"/>
        <w:szCs w:val="23"/>
      </w:rPr>
    </w:pPr>
    <w:r w:rsidRPr="00310673">
      <w:rPr>
        <w:rFonts w:ascii="Times New Roman" w:hAnsi="Times New Roman" w:cs="Times New Roman"/>
        <w:sz w:val="23"/>
        <w:szCs w:val="23"/>
      </w:rPr>
      <w:fldChar w:fldCharType="begin"/>
    </w:r>
    <w:r w:rsidRPr="00310673">
      <w:rPr>
        <w:rFonts w:ascii="Times New Roman" w:hAnsi="Times New Roman" w:cs="Times New Roman"/>
        <w:sz w:val="23"/>
        <w:szCs w:val="23"/>
      </w:rPr>
      <w:instrText>PAGE   \* MERGEFORMAT</w:instrText>
    </w:r>
    <w:r w:rsidRPr="00310673">
      <w:rPr>
        <w:rFonts w:ascii="Times New Roman" w:hAnsi="Times New Roman" w:cs="Times New Roman"/>
        <w:sz w:val="23"/>
        <w:szCs w:val="23"/>
      </w:rPr>
      <w:fldChar w:fldCharType="separate"/>
    </w:r>
    <w:r w:rsidRPr="00310673">
      <w:rPr>
        <w:rFonts w:ascii="Times New Roman" w:hAnsi="Times New Roman" w:cs="Times New Roman"/>
        <w:sz w:val="23"/>
        <w:szCs w:val="23"/>
      </w:rPr>
      <w:t>1</w:t>
    </w:r>
    <w:r w:rsidRPr="00310673">
      <w:rPr>
        <w:rFonts w:ascii="Times New Roman" w:hAnsi="Times New Roman" w:cs="Times New Roman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D1A" w14:textId="77777777" w:rsidR="00DB1F2B" w:rsidRDefault="00DB1F2B" w:rsidP="00310673">
      <w:r>
        <w:separator/>
      </w:r>
    </w:p>
  </w:footnote>
  <w:footnote w:type="continuationSeparator" w:id="0">
    <w:p w14:paraId="308B6F92" w14:textId="77777777" w:rsidR="00DB1F2B" w:rsidRDefault="00DB1F2B" w:rsidP="0031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73"/>
    <w:rsid w:val="0030693C"/>
    <w:rsid w:val="00310673"/>
    <w:rsid w:val="005827BD"/>
    <w:rsid w:val="005B1CBB"/>
    <w:rsid w:val="005B642C"/>
    <w:rsid w:val="0079150E"/>
    <w:rsid w:val="00B74BB7"/>
    <w:rsid w:val="00CB2EDB"/>
    <w:rsid w:val="00D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40FF"/>
  <w15:chartTrackingRefBased/>
  <w15:docId w15:val="{F47E40FC-18BE-4564-9D2E-7E7D1205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50E"/>
  </w:style>
  <w:style w:type="paragraph" w:styleId="Nadpis1">
    <w:name w:val="heading 1"/>
    <w:basedOn w:val="Normln"/>
    <w:next w:val="Normln"/>
    <w:link w:val="Nadpis1Char"/>
    <w:uiPriority w:val="9"/>
    <w:qFormat/>
    <w:rsid w:val="005B642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642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42C"/>
    <w:rPr>
      <w:rFonts w:eastAsiaTheme="majorEastAsi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642C"/>
    <w:rPr>
      <w:rFonts w:eastAsiaTheme="majorEastAsia" w:cstheme="majorBidi"/>
      <w:szCs w:val="26"/>
    </w:rPr>
  </w:style>
  <w:style w:type="paragraph" w:customStyle="1" w:styleId="Styl2">
    <w:name w:val="Styl2"/>
    <w:basedOn w:val="Obsah3"/>
    <w:qFormat/>
    <w:rsid w:val="0079150E"/>
    <w:rPr>
      <w:rFonts w:cs="Arial"/>
      <w:i w:val="0"/>
      <w:iCs w:val="0"/>
      <w:noProof/>
    </w:rPr>
  </w:style>
  <w:style w:type="paragraph" w:styleId="Obsah3">
    <w:name w:val="toc 3"/>
    <w:basedOn w:val="Normln"/>
    <w:next w:val="Normln"/>
    <w:autoRedefine/>
    <w:uiPriority w:val="39"/>
    <w:rsid w:val="0079150E"/>
    <w:pPr>
      <w:tabs>
        <w:tab w:val="right" w:leader="dot" w:pos="9344"/>
      </w:tabs>
      <w:spacing w:before="60"/>
      <w:ind w:left="482"/>
    </w:pPr>
    <w:rPr>
      <w:rFonts w:eastAsia="SimSun"/>
      <w:i/>
      <w:iCs/>
      <w:lang w:eastAsia="cs-CZ"/>
    </w:rPr>
  </w:style>
  <w:style w:type="paragraph" w:customStyle="1" w:styleId="Default">
    <w:name w:val="Default"/>
    <w:rsid w:val="003106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10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673"/>
  </w:style>
  <w:style w:type="paragraph" w:styleId="Zpat">
    <w:name w:val="footer"/>
    <w:basedOn w:val="Normln"/>
    <w:link w:val="ZpatChar"/>
    <w:uiPriority w:val="99"/>
    <w:unhideWhenUsed/>
    <w:rsid w:val="00310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Pešek</dc:creator>
  <cp:keywords/>
  <dc:description/>
  <cp:lastModifiedBy>Šárka Kabeláčová</cp:lastModifiedBy>
  <cp:revision>2</cp:revision>
  <dcterms:created xsi:type="dcterms:W3CDTF">2021-06-11T07:05:00Z</dcterms:created>
  <dcterms:modified xsi:type="dcterms:W3CDTF">2021-06-11T07:05:00Z</dcterms:modified>
</cp:coreProperties>
</file>