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423E5E" w:rsidP="00F106D5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19268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423E5E" w:rsidP="00F106D5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11666/U/2021-HSPH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647D57" w:rsidRPr="00C32A67" w:rsidRDefault="00423E5E" w:rsidP="00F106D5">
      <w:pPr>
        <w:pStyle w:val="Bezmezer"/>
        <w:spacing w:after="240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UZSVM/U/8521/2021-HSPH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647D57" w:rsidRPr="00140CDA" w:rsidRDefault="00423E5E" w:rsidP="00F106D5">
      <w:pPr>
        <w:pStyle w:val="Bezmezer"/>
        <w:spacing w:after="240"/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N006/21/V00007544</w:t>
      </w:r>
    </w:p>
    <w:p w:rsidR="00647D57" w:rsidRDefault="00647D57" w:rsidP="00F106D5">
      <w:pPr>
        <w:spacing w:after="240"/>
        <w:rPr>
          <w:rFonts w:ascii="Arial" w:hAnsi="Arial" w:cs="Arial"/>
          <w:sz w:val="22"/>
          <w:szCs w:val="22"/>
        </w:rPr>
      </w:pPr>
    </w:p>
    <w:p w:rsidR="00647D57" w:rsidRDefault="00423E5E" w:rsidP="00F106D5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Úřad pro zastupování státu ve věcech majetkových</w:t>
      </w:r>
    </w:p>
    <w:p w:rsidR="00647D57" w:rsidRDefault="00423E5E" w:rsidP="00F106D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Rašínovo nábřeží </w:t>
      </w:r>
      <w:r>
        <w:rPr>
          <w:rFonts w:ascii="Arial" w:hAnsi="Arial" w:cs="Arial"/>
          <w:sz w:val="22"/>
          <w:szCs w:val="22"/>
        </w:rPr>
        <w:t>390/42, Nové Město, 128 00 Praha 2,</w:t>
      </w:r>
    </w:p>
    <w:p w:rsidR="00647D57" w:rsidRDefault="00423E5E" w:rsidP="00F106D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PhDr. Marie Ševelová, ředitelka Územního pracoviště Ústí nad Labem,</w:t>
      </w:r>
    </w:p>
    <w:p w:rsidR="00647D57" w:rsidRDefault="00423E5E" w:rsidP="00F106D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Příkazu generálního ředitele č. 6/2019, v platném znění,</w:t>
      </w:r>
    </w:p>
    <w:p w:rsidR="00647D57" w:rsidRDefault="00423E5E" w:rsidP="00F106D5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647D57" w:rsidRDefault="00423E5E" w:rsidP="00F106D5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„objednatel"),</w:t>
      </w:r>
    </w:p>
    <w:p w:rsidR="00647D57" w:rsidRDefault="00423E5E" w:rsidP="00F106D5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647D57" w:rsidRDefault="00423E5E" w:rsidP="00F106D5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VV TOP s.r.o.,</w:t>
      </w:r>
    </w:p>
    <w:p w:rsidR="00647D57" w:rsidRDefault="00423E5E" w:rsidP="00F106D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sídlem </w:t>
      </w:r>
      <w:r w:rsidRPr="00F106D5">
        <w:rPr>
          <w:rFonts w:ascii="Arial" w:hAnsi="Arial" w:cs="Arial"/>
          <w:sz w:val="22"/>
          <w:szCs w:val="22"/>
        </w:rPr>
        <w:t>Podolská 1739/38, Líšeň, 628 00 Brno</w:t>
      </w:r>
      <w:r>
        <w:rPr>
          <w:rFonts w:ascii="Arial" w:hAnsi="Arial" w:cs="Arial"/>
          <w:sz w:val="22"/>
          <w:szCs w:val="22"/>
        </w:rPr>
        <w:t>,</w:t>
      </w:r>
    </w:p>
    <w:p w:rsidR="00647D57" w:rsidRDefault="00423E5E" w:rsidP="00F106D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="00382876">
        <w:rPr>
          <w:rFonts w:ascii="Arial" w:hAnsi="Arial" w:cs="Arial"/>
          <w:sz w:val="22"/>
          <w:szCs w:val="22"/>
        </w:rPr>
        <w:t>Ctibor Pokorný, jednatel</w:t>
      </w:r>
    </w:p>
    <w:p w:rsidR="00647D57" w:rsidRDefault="00423E5E" w:rsidP="00F106D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 </w:t>
      </w:r>
      <w:r w:rsidR="00382876">
        <w:rPr>
          <w:rFonts w:ascii="Arial" w:hAnsi="Arial" w:cs="Arial"/>
          <w:sz w:val="22"/>
          <w:szCs w:val="22"/>
        </w:rPr>
        <w:t>49977202</w:t>
      </w:r>
    </w:p>
    <w:p w:rsidR="00647D57" w:rsidRDefault="00423E5E" w:rsidP="00F106D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 </w:t>
      </w:r>
      <w:r w:rsidR="00382876">
        <w:rPr>
          <w:rFonts w:ascii="Arial" w:hAnsi="Arial" w:cs="Arial"/>
          <w:sz w:val="22"/>
          <w:szCs w:val="22"/>
        </w:rPr>
        <w:t>CZ49977202</w:t>
      </w:r>
    </w:p>
    <w:p w:rsidR="00647D57" w:rsidRDefault="00423E5E" w:rsidP="00F106D5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 obchodním rejstříku </w:t>
      </w:r>
      <w:r w:rsidR="00382876">
        <w:rPr>
          <w:rFonts w:ascii="Arial" w:hAnsi="Arial" w:cs="Arial"/>
          <w:sz w:val="22"/>
          <w:szCs w:val="22"/>
        </w:rPr>
        <w:t>vedeném v</w:t>
      </w:r>
      <w:r>
        <w:rPr>
          <w:rFonts w:ascii="Arial" w:hAnsi="Arial" w:cs="Arial"/>
          <w:sz w:val="22"/>
          <w:szCs w:val="22"/>
        </w:rPr>
        <w:t> </w:t>
      </w:r>
      <w:r w:rsidR="00382876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rajským soudem</w:t>
      </w:r>
      <w:r w:rsidR="00382876">
        <w:rPr>
          <w:rFonts w:ascii="Arial" w:hAnsi="Arial" w:cs="Arial"/>
          <w:sz w:val="22"/>
          <w:szCs w:val="22"/>
        </w:rPr>
        <w:t xml:space="preserve"> v Brně, oddíl C, vložka 14125.</w:t>
      </w:r>
    </w:p>
    <w:p w:rsidR="00647D57" w:rsidRDefault="00423E5E" w:rsidP="00F106D5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„zhotovitel“),</w:t>
      </w:r>
    </w:p>
    <w:p w:rsidR="00647D57" w:rsidRDefault="00423E5E" w:rsidP="00F106D5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ustanovení § </w:t>
      </w:r>
      <w:r>
        <w:rPr>
          <w:rFonts w:ascii="Arial" w:hAnsi="Arial" w:cs="Arial"/>
          <w:sz w:val="22"/>
          <w:szCs w:val="22"/>
        </w:rPr>
        <w:t>2586 a násl. zákona č. 89/2012 Sb., občanský zákoník, ve znění pozdějších předpisů, tuto</w:t>
      </w:r>
    </w:p>
    <w:p w:rsidR="00647D57" w:rsidRDefault="00423E5E" w:rsidP="00F106D5">
      <w:pPr>
        <w:pStyle w:val="Prosttext"/>
        <w:spacing w:after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Smlouvu o dílo č. 100/2021</w:t>
      </w:r>
    </w:p>
    <w:p w:rsidR="00647D57" w:rsidRDefault="00423E5E" w:rsidP="00F106D5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I.</w:t>
      </w:r>
    </w:p>
    <w:p w:rsidR="00647D57" w:rsidRDefault="00423E5E" w:rsidP="00F106D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:rsidR="00647D57" w:rsidRPr="00EB45EB" w:rsidRDefault="00423E5E" w:rsidP="00F106D5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 w:rsidRPr="00EB45EB">
        <w:rPr>
          <w:rFonts w:ascii="Arial" w:hAnsi="Arial" w:cs="Arial"/>
          <w:sz w:val="22"/>
          <w:szCs w:val="22"/>
        </w:rPr>
        <w:t xml:space="preserve">Zhotovitel se zavazuje provést na svou odpovědnost a svým jménem, řádně a včas pro objednatele dílo, které spočívá v </w:t>
      </w:r>
    </w:p>
    <w:p w:rsidR="00647D57" w:rsidRPr="00EB45EB" w:rsidRDefault="00423E5E" w:rsidP="00F106D5">
      <w:pPr>
        <w:pStyle w:val="Odstavecseseznamem"/>
        <w:numPr>
          <w:ilvl w:val="0"/>
          <w:numId w:val="9"/>
        </w:numPr>
        <w:spacing w:after="240"/>
        <w:contextualSpacing w:val="0"/>
        <w:jc w:val="both"/>
        <w:rPr>
          <w:rFonts w:ascii="Arial" w:hAnsi="Arial" w:cs="Arial"/>
          <w:sz w:val="22"/>
        </w:rPr>
      </w:pPr>
      <w:r w:rsidRPr="00EB45EB">
        <w:rPr>
          <w:rFonts w:ascii="Arial" w:hAnsi="Arial" w:cs="Arial"/>
          <w:sz w:val="22"/>
        </w:rPr>
        <w:t>výroba dveří a rámu na míru (dělené, 1 křídlo se zarážkami, 1 křídlo po odemčení průchozí, dle stávajícího členění a funkčnosti)</w:t>
      </w:r>
    </w:p>
    <w:p w:rsidR="00647D57" w:rsidRPr="00EB45EB" w:rsidRDefault="00423E5E" w:rsidP="00F106D5">
      <w:pPr>
        <w:pStyle w:val="Odstavecseseznamem"/>
        <w:numPr>
          <w:ilvl w:val="0"/>
          <w:numId w:val="9"/>
        </w:numPr>
        <w:spacing w:after="240"/>
        <w:contextualSpacing w:val="0"/>
        <w:jc w:val="both"/>
        <w:rPr>
          <w:rFonts w:ascii="Arial" w:hAnsi="Arial" w:cs="Arial"/>
          <w:sz w:val="22"/>
        </w:rPr>
      </w:pPr>
      <w:r w:rsidRPr="00EB45EB">
        <w:rPr>
          <w:rFonts w:ascii="Arial" w:hAnsi="Arial" w:cs="Arial"/>
          <w:sz w:val="22"/>
        </w:rPr>
        <w:t>demontáž stávajících dveří včetně rámu, odvoz a likvidace odpadu</w:t>
      </w:r>
    </w:p>
    <w:p w:rsidR="00647D57" w:rsidRPr="00EB45EB" w:rsidRDefault="00423E5E" w:rsidP="00F106D5">
      <w:pPr>
        <w:pStyle w:val="Odstavecseseznamem"/>
        <w:numPr>
          <w:ilvl w:val="0"/>
          <w:numId w:val="9"/>
        </w:numPr>
        <w:spacing w:after="240"/>
        <w:contextualSpacing w:val="0"/>
        <w:jc w:val="both"/>
        <w:rPr>
          <w:rFonts w:ascii="Arial" w:hAnsi="Arial" w:cs="Arial"/>
          <w:sz w:val="22"/>
        </w:rPr>
      </w:pPr>
      <w:r w:rsidRPr="00EB45EB">
        <w:rPr>
          <w:rFonts w:ascii="Arial" w:hAnsi="Arial" w:cs="Arial"/>
          <w:sz w:val="22"/>
        </w:rPr>
        <w:t xml:space="preserve">úprava otvoru, montáž rámu a nových dveří, drobné zednické </w:t>
      </w:r>
      <w:r w:rsidRPr="00EB45EB">
        <w:rPr>
          <w:rFonts w:ascii="Arial" w:hAnsi="Arial" w:cs="Arial"/>
          <w:sz w:val="22"/>
        </w:rPr>
        <w:t>opravy a začištění otvoru</w:t>
      </w:r>
    </w:p>
    <w:p w:rsidR="00647D57" w:rsidRPr="00EB45EB" w:rsidRDefault="00423E5E" w:rsidP="00F106D5">
      <w:pPr>
        <w:pStyle w:val="Odstavecseseznamem"/>
        <w:numPr>
          <w:ilvl w:val="0"/>
          <w:numId w:val="9"/>
        </w:numPr>
        <w:spacing w:after="240"/>
        <w:contextualSpacing w:val="0"/>
        <w:jc w:val="both"/>
        <w:rPr>
          <w:rFonts w:ascii="Arial" w:hAnsi="Arial" w:cs="Arial"/>
          <w:sz w:val="22"/>
        </w:rPr>
      </w:pPr>
      <w:r w:rsidRPr="00EB45EB">
        <w:rPr>
          <w:rFonts w:ascii="Arial" w:hAnsi="Arial" w:cs="Arial"/>
          <w:sz w:val="22"/>
        </w:rPr>
        <w:t>dodávka a montáž kování, bezpečnostního zámku + min. 10 klíčů</w:t>
      </w:r>
    </w:p>
    <w:p w:rsidR="00647D57" w:rsidRPr="00EB45EB" w:rsidRDefault="00423E5E" w:rsidP="00F106D5">
      <w:pPr>
        <w:pStyle w:val="Odstavecseseznamem"/>
        <w:numPr>
          <w:ilvl w:val="0"/>
          <w:numId w:val="9"/>
        </w:numPr>
        <w:spacing w:after="240"/>
        <w:contextualSpacing w:val="0"/>
        <w:jc w:val="both"/>
        <w:rPr>
          <w:rFonts w:ascii="Arial" w:hAnsi="Arial" w:cs="Arial"/>
          <w:sz w:val="22"/>
        </w:rPr>
      </w:pPr>
      <w:r w:rsidRPr="00EB45EB">
        <w:rPr>
          <w:rFonts w:ascii="Arial" w:hAnsi="Arial" w:cs="Arial"/>
          <w:sz w:val="22"/>
        </w:rPr>
        <w:t>oprava (výměna) poškozené stříšky nad vchodovými dveřmi</w:t>
      </w:r>
    </w:p>
    <w:p w:rsidR="00647D57" w:rsidRPr="00EB45EB" w:rsidRDefault="00423E5E" w:rsidP="00F106D5">
      <w:pPr>
        <w:spacing w:after="240"/>
        <w:rPr>
          <w:rFonts w:ascii="Arial" w:hAnsi="Arial" w:cs="Arial"/>
          <w:sz w:val="22"/>
          <w:szCs w:val="22"/>
        </w:rPr>
      </w:pPr>
      <w:r w:rsidRPr="00EB45EB">
        <w:rPr>
          <w:rFonts w:ascii="Arial" w:hAnsi="Arial" w:cs="Arial"/>
          <w:sz w:val="22"/>
          <w:szCs w:val="22"/>
        </w:rPr>
        <w:t>Parametry:</w:t>
      </w:r>
    </w:p>
    <w:p w:rsidR="00647D57" w:rsidRPr="00EB45EB" w:rsidRDefault="00423E5E" w:rsidP="00F106D5">
      <w:pPr>
        <w:pStyle w:val="Odstavecseseznamem"/>
        <w:numPr>
          <w:ilvl w:val="0"/>
          <w:numId w:val="9"/>
        </w:numPr>
        <w:spacing w:after="240"/>
        <w:contextualSpacing w:val="0"/>
        <w:jc w:val="both"/>
        <w:rPr>
          <w:rFonts w:ascii="Arial" w:hAnsi="Arial" w:cs="Arial"/>
          <w:sz w:val="22"/>
        </w:rPr>
      </w:pPr>
      <w:r w:rsidRPr="00EB45EB">
        <w:rPr>
          <w:rFonts w:ascii="Arial" w:hAnsi="Arial" w:cs="Arial"/>
          <w:sz w:val="22"/>
        </w:rPr>
        <w:t>materiál dveří hliník, prosklené, barvy bílé</w:t>
      </w:r>
    </w:p>
    <w:p w:rsidR="00647D57" w:rsidRPr="00EB45EB" w:rsidRDefault="00423E5E" w:rsidP="00F106D5">
      <w:pPr>
        <w:pStyle w:val="Odstavecseseznamem"/>
        <w:numPr>
          <w:ilvl w:val="0"/>
          <w:numId w:val="9"/>
        </w:numPr>
        <w:spacing w:after="240"/>
        <w:contextualSpacing w:val="0"/>
        <w:jc w:val="both"/>
        <w:rPr>
          <w:rFonts w:ascii="Arial" w:hAnsi="Arial" w:cs="Arial"/>
          <w:sz w:val="22"/>
        </w:rPr>
      </w:pPr>
      <w:r w:rsidRPr="00EB45EB">
        <w:rPr>
          <w:rFonts w:ascii="Arial" w:hAnsi="Arial" w:cs="Arial"/>
          <w:sz w:val="22"/>
        </w:rPr>
        <w:lastRenderedPageBreak/>
        <w:t>bezpečností třída dveří min. RC2 ve smyslu ČSN EN 1627 a</w:t>
      </w:r>
      <w:r w:rsidRPr="00EB45EB">
        <w:rPr>
          <w:rFonts w:ascii="Arial" w:hAnsi="Arial" w:cs="Arial"/>
          <w:sz w:val="22"/>
        </w:rPr>
        <w:t>ž ČSN EN 1630; třída bude doložena buď certifikátem výrobce, anebo čestným prohlášením výrobce o splnění bezpečností třídy dveří</w:t>
      </w:r>
    </w:p>
    <w:p w:rsidR="00647D57" w:rsidRPr="00EB45EB" w:rsidRDefault="00423E5E" w:rsidP="00F106D5">
      <w:pPr>
        <w:pStyle w:val="Odstavecseseznamem"/>
        <w:numPr>
          <w:ilvl w:val="0"/>
          <w:numId w:val="9"/>
        </w:numPr>
        <w:spacing w:after="240"/>
        <w:contextualSpacing w:val="0"/>
        <w:jc w:val="both"/>
        <w:rPr>
          <w:rFonts w:ascii="Arial" w:hAnsi="Arial" w:cs="Arial"/>
          <w:sz w:val="22"/>
        </w:rPr>
      </w:pPr>
      <w:r w:rsidRPr="00EB45EB">
        <w:rPr>
          <w:rFonts w:ascii="Arial" w:hAnsi="Arial" w:cs="Arial"/>
          <w:sz w:val="22"/>
        </w:rPr>
        <w:t>min. 3. bezpečnostní třída kování a zámků ve smyslu ČSN P ENV 1627</w:t>
      </w:r>
    </w:p>
    <w:p w:rsidR="00F106D5" w:rsidRDefault="00423E5E" w:rsidP="00F106D5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„dílo“).</w:t>
      </w:r>
    </w:p>
    <w:p w:rsidR="00647D57" w:rsidRDefault="00423E5E" w:rsidP="00F106D5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II.</w:t>
      </w:r>
    </w:p>
    <w:p w:rsidR="00647D57" w:rsidRPr="00EB45EB" w:rsidRDefault="00423E5E" w:rsidP="00F106D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EB45EB">
        <w:rPr>
          <w:rFonts w:ascii="Arial" w:hAnsi="Arial" w:cs="Arial"/>
          <w:b/>
          <w:sz w:val="22"/>
          <w:szCs w:val="22"/>
        </w:rPr>
        <w:t>Místo a doba plnění smlouvy</w:t>
      </w:r>
    </w:p>
    <w:p w:rsidR="00647D57" w:rsidRPr="00EB45EB" w:rsidRDefault="00423E5E" w:rsidP="00F106D5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B45EB">
        <w:rPr>
          <w:rFonts w:ascii="Arial" w:hAnsi="Arial" w:cs="Arial"/>
          <w:sz w:val="22"/>
          <w:szCs w:val="22"/>
        </w:rPr>
        <w:t>Míste</w:t>
      </w:r>
      <w:r w:rsidRPr="00EB45EB">
        <w:rPr>
          <w:rFonts w:ascii="Arial" w:hAnsi="Arial" w:cs="Arial"/>
          <w:sz w:val="22"/>
          <w:szCs w:val="22"/>
        </w:rPr>
        <w:t>m plnění díla je administrativní budova OOP Louny, Pod Nemocnicí 2381, Louny, která je součástí pozemku parcelní číslo 1971/11 v katastrálním území Louny, obec Louny.</w:t>
      </w:r>
    </w:p>
    <w:p w:rsidR="00647D57" w:rsidRPr="00DB3FEF" w:rsidRDefault="00423E5E" w:rsidP="00F106D5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B3FEF">
        <w:rPr>
          <w:rFonts w:ascii="Arial" w:hAnsi="Arial" w:cs="Arial"/>
          <w:sz w:val="22"/>
          <w:szCs w:val="22"/>
        </w:rPr>
        <w:t>Dílo je povinen zhotovitel komplexně dokončit a protokolárně předat objednateli, včetně ř</w:t>
      </w:r>
      <w:r w:rsidRPr="00DB3FEF">
        <w:rPr>
          <w:rFonts w:ascii="Arial" w:hAnsi="Arial" w:cs="Arial"/>
          <w:sz w:val="22"/>
          <w:szCs w:val="22"/>
        </w:rPr>
        <w:t xml:space="preserve">ádného odstranění všech zjištěných vad či nedodělků, </w:t>
      </w:r>
      <w:r w:rsidRPr="00DB3FEF">
        <w:rPr>
          <w:rFonts w:ascii="Arial" w:hAnsi="Arial" w:cs="Arial"/>
          <w:b/>
          <w:sz w:val="22"/>
          <w:szCs w:val="22"/>
        </w:rPr>
        <w:t>nejpozději do 31.8.2021</w:t>
      </w:r>
      <w:r w:rsidRPr="00DB3FEF">
        <w:rPr>
          <w:rFonts w:ascii="Arial" w:hAnsi="Arial" w:cs="Arial"/>
          <w:sz w:val="22"/>
          <w:szCs w:val="22"/>
        </w:rPr>
        <w:t xml:space="preserve">. </w:t>
      </w:r>
    </w:p>
    <w:p w:rsidR="00647D57" w:rsidRDefault="00423E5E" w:rsidP="00F106D5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III.</w:t>
      </w:r>
    </w:p>
    <w:p w:rsidR="00647D57" w:rsidRDefault="00423E5E" w:rsidP="00F106D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cena</w:t>
      </w:r>
    </w:p>
    <w:p w:rsidR="00647D57" w:rsidRPr="00382876" w:rsidRDefault="00423E5E" w:rsidP="00F106D5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cena díla včetně daně z přidané hodnoty (dále jen „smluvní cena“) činí </w:t>
      </w:r>
      <w:r w:rsidR="00DC7C40" w:rsidRPr="00382876">
        <w:rPr>
          <w:rFonts w:ascii="Arial" w:hAnsi="Arial" w:cs="Arial"/>
          <w:b/>
          <w:sz w:val="22"/>
          <w:szCs w:val="22"/>
        </w:rPr>
        <w:t>145.200,00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82876">
        <w:rPr>
          <w:rFonts w:ascii="Arial" w:hAnsi="Arial" w:cs="Arial"/>
          <w:b/>
          <w:sz w:val="22"/>
          <w:szCs w:val="22"/>
        </w:rPr>
        <w:t>Kč.</w:t>
      </w:r>
    </w:p>
    <w:p w:rsidR="00647D57" w:rsidRDefault="00423E5E" w:rsidP="00F106D5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cena je stanovena jako cena nejvýše přípustná a </w:t>
      </w:r>
      <w:r>
        <w:rPr>
          <w:rFonts w:ascii="Arial" w:hAnsi="Arial" w:cs="Arial"/>
          <w:sz w:val="22"/>
          <w:szCs w:val="22"/>
        </w:rPr>
        <w:t>konečná. V této ceně jsou zahrnuty veškeré náklady, výdaje, materiál, doprava, náklady za uložení, odvoz a zajištění likvidace odpadu, poplatky, pojištění, provádění průběžného i provedení závěrečného úklidu za všechny práce, služby, dodávky a jiné aktivit</w:t>
      </w:r>
      <w:r>
        <w:rPr>
          <w:rFonts w:ascii="Arial" w:hAnsi="Arial" w:cs="Arial"/>
          <w:sz w:val="22"/>
          <w:szCs w:val="22"/>
        </w:rPr>
        <w:t xml:space="preserve">y nebo činnosti zhotovitele nebo jeho subdodavatelů související s komplexní realizací díla. </w:t>
      </w:r>
    </w:p>
    <w:p w:rsidR="00647D57" w:rsidRDefault="00423E5E" w:rsidP="00F106D5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Důvodem zvýšení smluvní ceny nemůže být ani dodatečně zjištěná potřeba prací, činností nebo materiálu, leda by zhotovitel prokázal, že taková potřeba vznikla až po</w:t>
      </w:r>
      <w:r>
        <w:rPr>
          <w:rFonts w:ascii="Arial" w:hAnsi="Arial" w:cs="Arial"/>
          <w:sz w:val="22"/>
          <w:szCs w:val="22"/>
        </w:rPr>
        <w:t xml:space="preserve"> převzetí zakázky zcela bez jeho zavinění nebo vyšší mocí.</w:t>
      </w:r>
    </w:p>
    <w:p w:rsidR="00647D57" w:rsidRDefault="00423E5E" w:rsidP="00F106D5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cenu je možné upravit pouze v souvislosti se změnou daňových předpisů týkajících se daně z přidané hodnoty, a to o výši, která bude odpovídat takové legislativní změně.</w:t>
      </w:r>
    </w:p>
    <w:p w:rsidR="00647D57" w:rsidRDefault="00423E5E" w:rsidP="00F106D5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IV.</w:t>
      </w:r>
    </w:p>
    <w:p w:rsidR="00647D57" w:rsidRDefault="00423E5E" w:rsidP="00F106D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Platební pod</w:t>
      </w:r>
      <w:r>
        <w:rPr>
          <w:rFonts w:ascii="Arial" w:hAnsi="Arial" w:cs="Arial"/>
          <w:b/>
          <w:sz w:val="22"/>
          <w:szCs w:val="22"/>
        </w:rPr>
        <w:t>mínky a fakturace</w:t>
      </w:r>
    </w:p>
    <w:p w:rsidR="00647D57" w:rsidRDefault="00423E5E" w:rsidP="00F106D5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Celkovou smluvní cenu je objednatel povinen zaplatit bezhotovostně na základě faktury s náležitostmi daňového dokladu vystavené zhotovitelem až po řádném provedení a předání díla objednateli. Nezbytnou součástí faktury je protokol o předá</w:t>
      </w:r>
      <w:r>
        <w:rPr>
          <w:rFonts w:ascii="Arial" w:hAnsi="Arial" w:cs="Arial"/>
          <w:sz w:val="22"/>
          <w:szCs w:val="22"/>
        </w:rPr>
        <w:t>ní díla bez vad a nedodělků podepsaný oběma smluvními stranami a písemné potvrzení o likvidaci odpadu.</w:t>
      </w:r>
    </w:p>
    <w:p w:rsidR="00647D57" w:rsidRDefault="00423E5E" w:rsidP="00F106D5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má právo vrátit fakturu zhotoviteli k vystavení nové faktury, pokud faktura nebude obsahovat náležitosti uvedené v předchozím odstavci. Objedn</w:t>
      </w:r>
      <w:r>
        <w:rPr>
          <w:rFonts w:ascii="Arial" w:hAnsi="Arial" w:cs="Arial"/>
          <w:sz w:val="22"/>
          <w:szCs w:val="22"/>
        </w:rPr>
        <w:t>atel má dále právo vrátit fakturu zhotoviteli k vystavení nové faktury, pokud fakturovaná částka přesáhne smluvní cenu stanovenou v této smlouvě nebo provedené dílo nebudou odpovídat kvalitou či rozsahem dílu podle smlouvy.</w:t>
      </w:r>
    </w:p>
    <w:p w:rsidR="00647D57" w:rsidRPr="003C5630" w:rsidRDefault="00423E5E" w:rsidP="00F106D5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bude doručena objednatel</w:t>
      </w:r>
      <w:r>
        <w:rPr>
          <w:rFonts w:ascii="Arial" w:hAnsi="Arial" w:cs="Arial"/>
          <w:sz w:val="22"/>
          <w:szCs w:val="22"/>
        </w:rPr>
        <w:t xml:space="preserve">i na adresu Úřad pro zastupování státu ve věcech majetkových, </w:t>
      </w:r>
      <w:r w:rsidRPr="00EB45EB">
        <w:rPr>
          <w:rFonts w:ascii="Arial" w:hAnsi="Arial" w:cs="Arial"/>
          <w:sz w:val="22"/>
          <w:szCs w:val="22"/>
        </w:rPr>
        <w:t xml:space="preserve">odbor Odloučené pracoviště Louny, Pod Nemocnicí 2381, 440 01 Louny, do 5 pracovních dnů ode dne řádného dokončení díla </w:t>
      </w:r>
      <w:r w:rsidRPr="003C5630">
        <w:rPr>
          <w:rFonts w:ascii="Arial" w:hAnsi="Arial" w:cs="Arial"/>
          <w:sz w:val="22"/>
          <w:szCs w:val="22"/>
        </w:rPr>
        <w:t xml:space="preserve">a vystavena se splatností </w:t>
      </w:r>
      <w:r w:rsidRPr="00140CDA">
        <w:rPr>
          <w:rFonts w:ascii="Arial" w:hAnsi="Arial" w:cs="Arial"/>
          <w:b/>
          <w:sz w:val="22"/>
          <w:szCs w:val="22"/>
        </w:rPr>
        <w:t>28</w:t>
      </w:r>
      <w:r w:rsidRPr="003C5630">
        <w:rPr>
          <w:rFonts w:ascii="Arial" w:hAnsi="Arial" w:cs="Arial"/>
          <w:sz w:val="22"/>
          <w:szCs w:val="22"/>
        </w:rPr>
        <w:t xml:space="preserve"> kalendářních dnů ode dne </w:t>
      </w:r>
      <w:r>
        <w:rPr>
          <w:rFonts w:ascii="Arial" w:hAnsi="Arial" w:cs="Arial"/>
          <w:sz w:val="22"/>
          <w:szCs w:val="22"/>
        </w:rPr>
        <w:t>jejího doručení objed</w:t>
      </w:r>
      <w:r>
        <w:rPr>
          <w:rFonts w:ascii="Arial" w:hAnsi="Arial" w:cs="Arial"/>
          <w:sz w:val="22"/>
          <w:szCs w:val="22"/>
        </w:rPr>
        <w:t>nateli</w:t>
      </w:r>
      <w:r w:rsidRPr="003C5630">
        <w:rPr>
          <w:rFonts w:ascii="Arial" w:hAnsi="Arial" w:cs="Arial"/>
          <w:sz w:val="22"/>
          <w:szCs w:val="22"/>
        </w:rPr>
        <w:t>.</w:t>
      </w:r>
    </w:p>
    <w:p w:rsidR="00647D57" w:rsidRDefault="00423E5E" w:rsidP="00F106D5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za fakturu bude provedena bankovním převodem na účet zhotovitele.</w:t>
      </w:r>
    </w:p>
    <w:p w:rsidR="00647D57" w:rsidRDefault="00423E5E" w:rsidP="00F106D5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Fakturace i platba budou prováděny v české měně v souladu s platnými daňovými předpisy.</w:t>
      </w:r>
    </w:p>
    <w:p w:rsidR="00647D57" w:rsidRDefault="00423E5E" w:rsidP="00F106D5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Zálohy objednatel neposkytuje.</w:t>
      </w:r>
    </w:p>
    <w:p w:rsidR="00647D57" w:rsidRDefault="00423E5E" w:rsidP="00F106D5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V.</w:t>
      </w:r>
    </w:p>
    <w:p w:rsidR="00647D57" w:rsidRDefault="00423E5E" w:rsidP="00F106D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Předání a převzetí díla</w:t>
      </w:r>
    </w:p>
    <w:p w:rsidR="00647D57" w:rsidRDefault="00423E5E" w:rsidP="00F106D5">
      <w:pPr>
        <w:pStyle w:val="Prosttext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komplexního </w:t>
      </w:r>
      <w:r>
        <w:rPr>
          <w:rFonts w:ascii="Arial" w:hAnsi="Arial" w:cs="Arial"/>
          <w:sz w:val="22"/>
          <w:szCs w:val="22"/>
        </w:rPr>
        <w:t xml:space="preserve">dokončení díla bude ze strany zhotovitele splněna a dílo bude předáno objednateli až po odstranění všech zjištěných vad a nedodělků, a to dnem podpisu objednatele do protokolu o převzetí díla bez vad a nedodělků. </w:t>
      </w:r>
    </w:p>
    <w:p w:rsidR="00647D57" w:rsidRDefault="00423E5E" w:rsidP="00F106D5">
      <w:pPr>
        <w:pStyle w:val="Prosttext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protokol o převzetí </w:t>
      </w:r>
      <w:r>
        <w:rPr>
          <w:rFonts w:ascii="Arial" w:hAnsi="Arial" w:cs="Arial"/>
          <w:sz w:val="22"/>
          <w:szCs w:val="22"/>
        </w:rPr>
        <w:t xml:space="preserve">díla podepsat nejpozději následující pracovní den po dni, ve kterém se přesvědčil o řádném odstranění všech vad či nedodělků a provedení všech předepsaných zkoušek a revizí. </w:t>
      </w:r>
    </w:p>
    <w:p w:rsidR="00647D57" w:rsidRDefault="00423E5E" w:rsidP="00F106D5">
      <w:pPr>
        <w:pStyle w:val="Prosttext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podpisu protokolu o převzetí díla bez vad a nedodělků je zhotovitel povinen n</w:t>
      </w:r>
      <w:r>
        <w:rPr>
          <w:rFonts w:ascii="Arial" w:hAnsi="Arial" w:cs="Arial"/>
          <w:sz w:val="22"/>
          <w:szCs w:val="22"/>
        </w:rPr>
        <w:t xml:space="preserve">a použité materiály předat veškeré atesty sledovaných parametrů, záruční listy a návody k údržbě. </w:t>
      </w:r>
    </w:p>
    <w:p w:rsidR="00647D57" w:rsidRDefault="00423E5E" w:rsidP="00F106D5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Až do předání díla nese zhotovitel nebezpečí škody na zhotovovaném díle.</w:t>
      </w:r>
    </w:p>
    <w:p w:rsidR="00647D57" w:rsidRDefault="00423E5E" w:rsidP="00F106D5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VI.</w:t>
      </w:r>
    </w:p>
    <w:p w:rsidR="00647D57" w:rsidRDefault="00423E5E" w:rsidP="00F106D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Záruka za jakost</w:t>
      </w:r>
    </w:p>
    <w:p w:rsidR="00647D57" w:rsidRDefault="00423E5E" w:rsidP="00F106D5">
      <w:pPr>
        <w:pStyle w:val="Prosttext"/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poskytuje na veškeré části </w:t>
      </w:r>
      <w:r w:rsidRPr="00382876">
        <w:rPr>
          <w:rFonts w:ascii="Arial" w:hAnsi="Arial" w:cs="Arial"/>
          <w:b/>
          <w:sz w:val="22"/>
          <w:szCs w:val="22"/>
        </w:rPr>
        <w:t>díla záruku v délce 4</w:t>
      </w:r>
      <w:r w:rsidRPr="00382876">
        <w:rPr>
          <w:rFonts w:ascii="Arial" w:hAnsi="Arial" w:cs="Arial"/>
          <w:b/>
          <w:sz w:val="22"/>
          <w:szCs w:val="22"/>
        </w:rPr>
        <w:t>8 měsíců.</w:t>
      </w:r>
      <w:r>
        <w:rPr>
          <w:rFonts w:ascii="Arial" w:hAnsi="Arial" w:cs="Arial"/>
          <w:sz w:val="22"/>
          <w:szCs w:val="22"/>
        </w:rPr>
        <w:t xml:space="preserve"> Záruční lhůta běží ode dne předání řádně dokončeného díla bez vad a nedodělků objednateli.</w:t>
      </w:r>
    </w:p>
    <w:p w:rsidR="00647D57" w:rsidRDefault="00423E5E" w:rsidP="00F106D5">
      <w:pPr>
        <w:pStyle w:val="Prosttext"/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lhůta neběží po dobu, po kterou objednatel nemohl předmět díla užívat pro vady díla, za které zhotovitel odpovídá.</w:t>
      </w:r>
    </w:p>
    <w:p w:rsidR="00647D57" w:rsidRDefault="00423E5E" w:rsidP="00F106D5">
      <w:pPr>
        <w:pStyle w:val="Prosttext"/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Zjistí-li objednatel v záruční době vadu díla, je povinen ji bez zbytečného odkladu písemně u zhotovitele reklamovat. V reklamaci musí být vada díla řádně popsána.</w:t>
      </w:r>
    </w:p>
    <w:p w:rsidR="00647D57" w:rsidRDefault="00423E5E" w:rsidP="00F106D5">
      <w:pPr>
        <w:pStyle w:val="Prosttext"/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včas uplatněnou reklamaci díla se považuje reklamace odeslaná objednatelem nejpozději v p</w:t>
      </w:r>
      <w:r>
        <w:rPr>
          <w:rFonts w:ascii="Arial" w:hAnsi="Arial" w:cs="Arial"/>
          <w:sz w:val="22"/>
          <w:szCs w:val="22"/>
        </w:rPr>
        <w:t xml:space="preserve">oslední den v této smlouvě sjednané záruční lhůty. </w:t>
      </w:r>
    </w:p>
    <w:p w:rsidR="00647D57" w:rsidRPr="002F17A8" w:rsidRDefault="00423E5E" w:rsidP="00F106D5">
      <w:pPr>
        <w:pStyle w:val="Prosttext"/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F17A8">
        <w:rPr>
          <w:rFonts w:ascii="Arial" w:hAnsi="Arial" w:cs="Arial"/>
          <w:sz w:val="22"/>
          <w:szCs w:val="22"/>
        </w:rPr>
        <w:t>Nejpozději pátý den po doručení písemné reklamace objednatele je zhotovitel povinen dostavit se k protokolárnímu ohledání a posouzení vady reklamovaného díla. Tento protokol musí obsahovat stanovisko zhot</w:t>
      </w:r>
      <w:r w:rsidRPr="002F17A8">
        <w:rPr>
          <w:rFonts w:ascii="Arial" w:hAnsi="Arial" w:cs="Arial"/>
          <w:sz w:val="22"/>
          <w:szCs w:val="22"/>
        </w:rPr>
        <w:t xml:space="preserve">ovitele, zda reklamovanou vadu uznává a termín jejího bezplatného odstranění dohodnutý s objednatelem či zda reklamovanou vadu neuznává. </w:t>
      </w:r>
    </w:p>
    <w:p w:rsidR="00647D57" w:rsidRPr="002F17A8" w:rsidRDefault="00423E5E" w:rsidP="00F106D5">
      <w:pPr>
        <w:pStyle w:val="Prosttext"/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F17A8">
        <w:rPr>
          <w:rFonts w:ascii="Arial" w:hAnsi="Arial" w:cs="Arial"/>
          <w:sz w:val="22"/>
          <w:szCs w:val="22"/>
        </w:rPr>
        <w:t>Práce na odstranění objednatelem řádně reklamované a zhotovitelem uznané vady díla je zhotovitel povinen zahájit nejpo</w:t>
      </w:r>
      <w:r w:rsidRPr="002F17A8">
        <w:rPr>
          <w:rFonts w:ascii="Arial" w:hAnsi="Arial" w:cs="Arial"/>
          <w:sz w:val="22"/>
          <w:szCs w:val="22"/>
        </w:rPr>
        <w:t>zději druhý pracovní den po jejím uznání.</w:t>
      </w:r>
    </w:p>
    <w:p w:rsidR="00647D57" w:rsidRPr="002F17A8" w:rsidRDefault="00423E5E" w:rsidP="00F106D5">
      <w:pPr>
        <w:pStyle w:val="Prosttext"/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F17A8">
        <w:rPr>
          <w:rFonts w:ascii="Arial" w:hAnsi="Arial" w:cs="Arial"/>
          <w:sz w:val="22"/>
          <w:szCs w:val="22"/>
        </w:rPr>
        <w:t>Nedostaví-li se zhotovitel k protokolárnímu ohledání a posouzení reklamované vady do pěti dnů po doručení reklamace nebo práce na odstranění objednatelem řádně reklamované a zhotovitelem uznané vady nezahájí do des</w:t>
      </w:r>
      <w:r w:rsidRPr="002F17A8">
        <w:rPr>
          <w:rFonts w:ascii="Arial" w:hAnsi="Arial" w:cs="Arial"/>
          <w:sz w:val="22"/>
          <w:szCs w:val="22"/>
        </w:rPr>
        <w:t xml:space="preserve">eti dnů po jejím uznání, je objednatel oprávněn zajistit odstranění vady jiným subjektem a vyúčtovat vzniklé náklady zhotoviteli. Smluvní pokutu je zhotovitel povinen hradit do dne zahájení prací </w:t>
      </w:r>
      <w:r>
        <w:rPr>
          <w:rFonts w:ascii="Arial" w:hAnsi="Arial" w:cs="Arial"/>
          <w:sz w:val="22"/>
          <w:szCs w:val="22"/>
        </w:rPr>
        <w:t>jinou osobou</w:t>
      </w:r>
      <w:r w:rsidRPr="002F17A8">
        <w:rPr>
          <w:rFonts w:ascii="Arial" w:hAnsi="Arial" w:cs="Arial"/>
          <w:sz w:val="22"/>
          <w:szCs w:val="22"/>
        </w:rPr>
        <w:t>.</w:t>
      </w:r>
    </w:p>
    <w:p w:rsidR="00647D57" w:rsidRDefault="00423E5E" w:rsidP="00F106D5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VII.</w:t>
      </w:r>
    </w:p>
    <w:p w:rsidR="00647D57" w:rsidRDefault="00423E5E" w:rsidP="00F106D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zhotovitele a sankce</w:t>
      </w:r>
    </w:p>
    <w:p w:rsidR="00647D57" w:rsidRDefault="00423E5E" w:rsidP="00F106D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</w:t>
      </w:r>
      <w:r>
        <w:rPr>
          <w:rFonts w:ascii="Arial" w:hAnsi="Arial" w:cs="Arial"/>
          <w:sz w:val="22"/>
          <w:szCs w:val="22"/>
        </w:rPr>
        <w:t>vitel se zavazuje provést dílo vlastním jménem a na vlastní odpovědnost, v nejvyšší kvalitě, odpovídající účelu smlouvy a právním předpisům.</w:t>
      </w:r>
    </w:p>
    <w:p w:rsidR="00647D57" w:rsidRDefault="00423E5E" w:rsidP="00F106D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Zhotovitel se zavazuje po celou dobu plnění smlouvy respektovat ustanovení této smlouvy, dodržovat příslušné právní</w:t>
      </w:r>
      <w:r>
        <w:rPr>
          <w:rFonts w:ascii="Arial" w:hAnsi="Arial" w:cs="Arial"/>
          <w:sz w:val="22"/>
          <w:szCs w:val="22"/>
        </w:rPr>
        <w:t xml:space="preserve"> předpisy, normy a technologické postupy. Zhotovitel odpovídá při realizaci akce za dodržení všech předpisů, týkajících se bezpečnosti práce a ochrany zdraví při práci a požární ochrany. Zhotovitel je povinen v případech, kdy to bude vyžadovat bezpečnost p</w:t>
      </w:r>
      <w:r>
        <w:rPr>
          <w:rFonts w:ascii="Arial" w:hAnsi="Arial" w:cs="Arial"/>
          <w:sz w:val="22"/>
          <w:szCs w:val="22"/>
        </w:rPr>
        <w:t>ráce nebo ochrana života, zdraví a majetku, zajistit před zahájením díla potřebné úkony pro jejich zabezpečení.</w:t>
      </w:r>
    </w:p>
    <w:p w:rsidR="00647D57" w:rsidRDefault="00423E5E" w:rsidP="00F106D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na své náklady a na svou odpovědnost v průběhu realizace předmětu smlouvy udržovat čistotu a pořádek ve všech prostorách a</w:t>
      </w:r>
      <w:r>
        <w:rPr>
          <w:rFonts w:ascii="Arial" w:hAnsi="Arial" w:cs="Arial"/>
          <w:sz w:val="22"/>
          <w:szCs w:val="22"/>
        </w:rPr>
        <w:t xml:space="preserve"> prostranstvích, které budou v souvislosti s plněním díla znečištěny, a dále se zavazuje provést závěrečný úklid těchto dotčených prostor a prostranství. </w:t>
      </w:r>
    </w:p>
    <w:p w:rsidR="00647D57" w:rsidRDefault="00423E5E" w:rsidP="00F106D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odvést a zajistit likvidaci všech odpadů a nečistot vzniklých jeho pracemi při</w:t>
      </w:r>
      <w:r>
        <w:rPr>
          <w:rFonts w:ascii="Arial" w:hAnsi="Arial" w:cs="Arial"/>
          <w:sz w:val="22"/>
          <w:szCs w:val="22"/>
        </w:rPr>
        <w:t xml:space="preserve"> plnění předmětu této smlouvy v souladu s příslušnými právními předpisy. Původcem odpadu, který při plnění předmětu této smlouvy vznikne, je zhotovitel. Zhotovitel odpovídá za třídění odpadů dle Katalogu odpadů, stanoveného právním předpisem a je povinen z</w:t>
      </w:r>
      <w:r>
        <w:rPr>
          <w:rFonts w:ascii="Arial" w:hAnsi="Arial" w:cs="Arial"/>
          <w:sz w:val="22"/>
          <w:szCs w:val="22"/>
        </w:rPr>
        <w:t>ajistit likvidaci tohoto odpadu postupem dle příslušných právních předpisů.</w:t>
      </w:r>
    </w:p>
    <w:p w:rsidR="00647D57" w:rsidRDefault="00423E5E" w:rsidP="00F106D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prohlašuje, že se v plném rozsahu seznámil s rozsahem a povahou díla, že jsou mu známy veškeré technické, kvalitativní a jiné podmínky nezbytné k realizaci díla a že dis</w:t>
      </w:r>
      <w:r>
        <w:rPr>
          <w:rFonts w:ascii="Arial" w:hAnsi="Arial" w:cs="Arial"/>
          <w:sz w:val="22"/>
          <w:szCs w:val="22"/>
        </w:rPr>
        <w:t xml:space="preserve">ponuje takovými kapacitami a odbornými znalostmi, které jsou k provedení díla nezbytné. </w:t>
      </w:r>
    </w:p>
    <w:p w:rsidR="00647D57" w:rsidRDefault="00423E5E" w:rsidP="00F106D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zajistit si pro provedení díla nezbytný materiál a zavazuje se provést dílo za použití pouze nového materiálu.</w:t>
      </w:r>
    </w:p>
    <w:p w:rsidR="00647D57" w:rsidRDefault="00423E5E" w:rsidP="00F106D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potřebné nářadí si je povi</w:t>
      </w:r>
      <w:r>
        <w:rPr>
          <w:rFonts w:ascii="Arial" w:hAnsi="Arial" w:cs="Arial"/>
          <w:sz w:val="22"/>
          <w:szCs w:val="22"/>
        </w:rPr>
        <w:t>nen zajistit zhotovitel sám v potřebné kvalitě.</w:t>
      </w:r>
    </w:p>
    <w:p w:rsidR="00647D57" w:rsidRDefault="00423E5E" w:rsidP="00F106D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odpovídá za škody způsobené vadností díla.</w:t>
      </w:r>
    </w:p>
    <w:p w:rsidR="00647D57" w:rsidRDefault="00423E5E" w:rsidP="00F106D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případě, že zhotovitel použije, byť i jen k plnění určité části díla poddodavatele, odpovídá objednateli za plnění poskytnuté poddodavatelem, jako by to</w:t>
      </w:r>
      <w:r>
        <w:rPr>
          <w:rFonts w:ascii="Arial" w:hAnsi="Arial" w:cs="Arial"/>
          <w:sz w:val="22"/>
          <w:szCs w:val="22"/>
        </w:rPr>
        <w:t>to plnění poskytoval zhotovitel sám.</w:t>
      </w:r>
    </w:p>
    <w:p w:rsidR="00647D57" w:rsidRPr="003C5630" w:rsidRDefault="00423E5E" w:rsidP="00F106D5">
      <w:pPr>
        <w:pStyle w:val="Odstavecseseznamem"/>
        <w:numPr>
          <w:ilvl w:val="0"/>
          <w:numId w:val="8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C5630">
        <w:rPr>
          <w:rFonts w:ascii="Arial" w:hAnsi="Arial" w:cs="Arial"/>
          <w:sz w:val="22"/>
          <w:szCs w:val="22"/>
        </w:rPr>
        <w:t xml:space="preserve">Zhotovitel se zavazuje mít po celou dobu platnosti smlouvy sjednáno pojištění povinnosti zhotovitele nahradit škodu třetí osobě, a to s limitem pojistného plnění minimálně ve výši </w:t>
      </w:r>
      <w:r w:rsidRPr="00243FD7">
        <w:rPr>
          <w:rFonts w:ascii="Arial" w:hAnsi="Arial" w:cs="Arial"/>
          <w:sz w:val="22"/>
          <w:szCs w:val="22"/>
        </w:rPr>
        <w:t>1 000 000 Kč</w:t>
      </w:r>
      <w:r w:rsidRPr="003C5630">
        <w:rPr>
          <w:rFonts w:ascii="Arial" w:hAnsi="Arial" w:cs="Arial"/>
          <w:sz w:val="22"/>
          <w:szCs w:val="22"/>
        </w:rPr>
        <w:t xml:space="preserve"> a mít zaplacené pojistné. V případě, že dojde k porušení této smluvní povinnosti, zhotovitel se zavazuje uhradit objednateli smluvní pokutu ve výši </w:t>
      </w:r>
      <w:r w:rsidRPr="00243FD7">
        <w:rPr>
          <w:rFonts w:ascii="Arial" w:hAnsi="Arial" w:cs="Arial"/>
          <w:sz w:val="22"/>
          <w:szCs w:val="22"/>
        </w:rPr>
        <w:t>50 000 Kč.</w:t>
      </w:r>
      <w:r w:rsidRPr="003C5630">
        <w:rPr>
          <w:rFonts w:ascii="Arial" w:hAnsi="Arial" w:cs="Arial"/>
          <w:sz w:val="22"/>
          <w:szCs w:val="22"/>
        </w:rPr>
        <w:t xml:space="preserve"> Úhradou smluvní pokuty není dotčeno právo objednatele na náhradu škody v plné výši, tedy i ve vý</w:t>
      </w:r>
      <w:r w:rsidRPr="003C5630">
        <w:rPr>
          <w:rFonts w:ascii="Arial" w:hAnsi="Arial" w:cs="Arial"/>
          <w:sz w:val="22"/>
          <w:szCs w:val="22"/>
        </w:rPr>
        <w:t>ši přesahující smluvní pokutu.</w:t>
      </w:r>
    </w:p>
    <w:p w:rsidR="00647D57" w:rsidRDefault="00423E5E" w:rsidP="00F106D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plně odpovědný za zvolený postup a dodržení kvality a bezpečnosti plnění a dodržení termínu pro komplexní dokončení předmětu této smlouvy (díla) a jejího protokolárního předání objednateli bez vad a nedodělků.</w:t>
      </w:r>
    </w:p>
    <w:p w:rsidR="00647D57" w:rsidRDefault="00423E5E" w:rsidP="00F106D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 nese plnou odpovědnost za škodu způsobenou objednateli v souvislosti s plněním předmětu této smlouvy a je povinen jakoukoliv škodu objednateli uhradit. Výše náhrady škody nebo výše sankce není omezena.</w:t>
      </w:r>
    </w:p>
    <w:p w:rsidR="00647D57" w:rsidRDefault="00423E5E" w:rsidP="00F106D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prodlení zhotovitele s povinností </w:t>
      </w:r>
      <w:r>
        <w:rPr>
          <w:rFonts w:ascii="Arial" w:hAnsi="Arial" w:cs="Arial"/>
          <w:sz w:val="22"/>
          <w:szCs w:val="22"/>
        </w:rPr>
        <w:t>zpracovat celé dílo bez vad a nedodělků a předat jej objednateli ve sjednané lhůtě, a to z důvodů ležících na straně zhotovitele, se zhotovitel zavazuje uhradit objednateli smluvní pokutu ve výši 500</w:t>
      </w:r>
      <w:r w:rsidRPr="00243FD7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, a to za každý kalendářní den prodlení až do řádného </w:t>
      </w:r>
      <w:r>
        <w:rPr>
          <w:rFonts w:ascii="Arial" w:hAnsi="Arial" w:cs="Arial"/>
          <w:sz w:val="22"/>
          <w:szCs w:val="22"/>
        </w:rPr>
        <w:t xml:space="preserve">splnění závazku, nejvýše však </w:t>
      </w:r>
      <w:r w:rsidRPr="00243FD7">
        <w:rPr>
          <w:rFonts w:ascii="Arial" w:hAnsi="Arial" w:cs="Arial"/>
          <w:sz w:val="22"/>
          <w:szCs w:val="22"/>
        </w:rPr>
        <w:t>100 000 Kč.</w:t>
      </w:r>
      <w:r>
        <w:rPr>
          <w:rFonts w:ascii="Arial" w:hAnsi="Arial" w:cs="Arial"/>
          <w:sz w:val="22"/>
          <w:szCs w:val="22"/>
        </w:rPr>
        <w:t xml:space="preserve"> Zaplacením smluvní pokuty nezaniká nárok objednatele na náhradu škody v plné výši. </w:t>
      </w:r>
    </w:p>
    <w:p w:rsidR="00647D57" w:rsidRDefault="00423E5E" w:rsidP="00F106D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pokuty jsou splatné ve lhůtě, která bude zhotoviteli oznámena ve výzvě objednatele k zaplacení, přičemž tato lhůta nebude </w:t>
      </w:r>
      <w:r>
        <w:rPr>
          <w:rFonts w:ascii="Arial" w:hAnsi="Arial" w:cs="Arial"/>
          <w:sz w:val="22"/>
          <w:szCs w:val="22"/>
        </w:rPr>
        <w:t>kratší než 15 dnů ode dne odeslání výzvy k úhradě zhotoviteli.</w:t>
      </w:r>
    </w:p>
    <w:p w:rsidR="00647D57" w:rsidRDefault="00423E5E" w:rsidP="00F106D5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VIII.</w:t>
      </w:r>
    </w:p>
    <w:p w:rsidR="00647D57" w:rsidRDefault="00423E5E" w:rsidP="00F106D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objednatele</w:t>
      </w:r>
    </w:p>
    <w:p w:rsidR="00647D57" w:rsidRDefault="00423E5E" w:rsidP="00F106D5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povinen zaplatit zhotoviteli smluvní cenu ve výši a způsobem sjednaným v této smlouvě a převzít hotové dílo bez vad a nedodělků.</w:t>
      </w:r>
    </w:p>
    <w:p w:rsidR="00647D57" w:rsidRDefault="00423E5E" w:rsidP="00F106D5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povinen zajistit přístup na místo plnění dle dohody se zhotovitelem a umožnit připojení elektrické energie a zdroje vody z rozvodů objednatele a na náklady objednatele.</w:t>
      </w:r>
    </w:p>
    <w:p w:rsidR="00647D57" w:rsidRDefault="00423E5E" w:rsidP="00F106D5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povinen bez zbytečného odkladu sdělit zhotoviteli na jeho v</w:t>
      </w:r>
      <w:r>
        <w:rPr>
          <w:rFonts w:ascii="Arial" w:hAnsi="Arial" w:cs="Arial"/>
          <w:sz w:val="22"/>
          <w:szCs w:val="22"/>
        </w:rPr>
        <w:t>yžádání veškeré další informace nezbytné pro splnění předmětu této smlouvy.</w:t>
      </w:r>
    </w:p>
    <w:p w:rsidR="00647D57" w:rsidRDefault="00423E5E" w:rsidP="00F106D5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se zavazuje uhradit zhotoviteli z jakékoli neoprávněně neuhrazené části faktury zhotovitele (včetně daně z přidané hodnoty) úrok z prodlení ve výši stanovené příslušným </w:t>
      </w:r>
      <w:r>
        <w:rPr>
          <w:rFonts w:ascii="Arial" w:hAnsi="Arial" w:cs="Arial"/>
          <w:sz w:val="22"/>
          <w:szCs w:val="22"/>
        </w:rPr>
        <w:t>nařízením vlády, kterým se stanoví výše úroků z prodlení.</w:t>
      </w:r>
    </w:p>
    <w:p w:rsidR="00647D57" w:rsidRDefault="00423E5E" w:rsidP="00F106D5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IX.</w:t>
      </w:r>
    </w:p>
    <w:p w:rsidR="00647D57" w:rsidRDefault="00423E5E" w:rsidP="00F106D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647D57" w:rsidRDefault="00423E5E" w:rsidP="00F106D5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souvislosti s možnými úpravami státního rozpočtu je objednatel oprávněn zastavit průběh plnění díla anebo smlouvu vypovědět, a to bez jakékoliv sankce či náhrady za ne</w:t>
      </w:r>
      <w:r>
        <w:rPr>
          <w:rFonts w:ascii="Arial" w:hAnsi="Arial" w:cs="Arial"/>
          <w:sz w:val="22"/>
          <w:szCs w:val="22"/>
        </w:rPr>
        <w:t>dokončené plnění. Výpověď je účinná okamžikem jejího doručení zhotoviteli. Objednatel se zavazuje, že dílčí plnění poskytnuté před dnem ukončení smlouvy uhradí v souladu se smlouvou.</w:t>
      </w:r>
    </w:p>
    <w:p w:rsidR="00647D57" w:rsidRDefault="00423E5E" w:rsidP="00F106D5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může smlouvu vypovědět z jakéhokoliv důvodu, resp. bez udání d</w:t>
      </w:r>
      <w:r>
        <w:rPr>
          <w:rFonts w:ascii="Arial" w:hAnsi="Arial" w:cs="Arial"/>
          <w:sz w:val="22"/>
          <w:szCs w:val="22"/>
        </w:rPr>
        <w:t>ůvodu, a to s výpovědní dobou 1 měsíc ode dne doručení výpovědi zhotoviteli. Objednatel se zavazuje, že dílčí plnění poskytnuté před dnem ukončení smlouvy uhradí v souladu se smlouvou.</w:t>
      </w:r>
    </w:p>
    <w:p w:rsidR="00647D57" w:rsidRDefault="00423E5E" w:rsidP="00F106D5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Neshodnou-li se smluvní strany na výši dílčího plnění podle předchozích</w:t>
      </w:r>
      <w:r>
        <w:rPr>
          <w:rFonts w:ascii="Arial" w:hAnsi="Arial" w:cs="Arial"/>
          <w:sz w:val="22"/>
          <w:szCs w:val="22"/>
        </w:rPr>
        <w:t xml:space="preserve"> odstavců, bude stanovena soudním znalcem. Náklady na znalečné uhradí zhotovitel. Movité věci, u něhož neproběhla výměna (oprava), předá zhotovitel objednateli v původním stavu.</w:t>
      </w:r>
    </w:p>
    <w:p w:rsidR="00647D57" w:rsidRPr="00100D41" w:rsidRDefault="00423E5E" w:rsidP="00F106D5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Prodlení zhotovitele se splněním povinnosti předmětu plnění, a to o více jak 1</w:t>
      </w:r>
      <w:r>
        <w:rPr>
          <w:rFonts w:ascii="Arial" w:hAnsi="Arial" w:cs="Arial"/>
          <w:sz w:val="22"/>
          <w:szCs w:val="22"/>
        </w:rPr>
        <w:t>0 pracovních dnů, bude považováno za podstatné porušení smlouvy ze strany zhotovitele; v takovém případě je objednatel oprávněn odstoupit od této smlouvy. Odstoupení od smlouvy je účinné okamžikem doručení písemného odstoupení od smlouvy zhotoviteli. Odsto</w:t>
      </w:r>
      <w:r>
        <w:rPr>
          <w:rFonts w:ascii="Arial" w:hAnsi="Arial" w:cs="Arial"/>
          <w:sz w:val="22"/>
          <w:szCs w:val="22"/>
        </w:rPr>
        <w:t>upení od smlouvy se nedotýká povinnosti zhotovitele hradit smluvní pokutu ve výši stanovené ke dni odstoupení.</w:t>
      </w:r>
    </w:p>
    <w:p w:rsidR="00647D57" w:rsidRDefault="00423E5E" w:rsidP="00F106D5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uzavřena a nabývá platnosti dnem jejího podpisu oběma smluvními stranami.</w:t>
      </w:r>
    </w:p>
    <w:p w:rsidR="00647D57" w:rsidRDefault="00423E5E" w:rsidP="00F106D5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smlouva neobsahuje údaje,</w:t>
      </w:r>
      <w:r>
        <w:rPr>
          <w:rFonts w:ascii="Arial" w:hAnsi="Arial" w:cs="Arial"/>
          <w:sz w:val="22"/>
          <w:szCs w:val="22"/>
        </w:rPr>
        <w:t xml:space="preserve"> které by naplňovaly pojmové znaky obchodního tajemství.</w:t>
      </w:r>
    </w:p>
    <w:p w:rsidR="00647D57" w:rsidRDefault="00423E5E" w:rsidP="00F106D5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účinnosti dnem zveřejnění v registru smluv podle zákona č. 340/2015 Sb., o zvláštních podmínkách účinnosti některých smluv, uveřejňování těchto smluv a o registru smluv (zákon o r</w:t>
      </w:r>
      <w:r>
        <w:rPr>
          <w:rFonts w:ascii="Arial" w:hAnsi="Arial" w:cs="Arial"/>
          <w:sz w:val="22"/>
          <w:szCs w:val="22"/>
        </w:rPr>
        <w:t>egistru smluv), ve znění pozdějších předpisů. Zveřejnění smlouvy v registru smluv zajistí objednatel.</w:t>
      </w:r>
    </w:p>
    <w:p w:rsidR="00647D57" w:rsidRDefault="00423E5E" w:rsidP="00F106D5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vyslovuje souhlas s tím, že objednatel v rámci transparentnosti zveřejní smlouvu (včetně případných dodatků) na internetových stránkách objedna</w:t>
      </w:r>
      <w:r>
        <w:rPr>
          <w:rFonts w:ascii="Arial" w:hAnsi="Arial" w:cs="Arial"/>
          <w:sz w:val="22"/>
          <w:szCs w:val="22"/>
        </w:rPr>
        <w:t>tele.</w:t>
      </w:r>
    </w:p>
    <w:p w:rsidR="00647D57" w:rsidRDefault="00423E5E" w:rsidP="00F106D5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či doplnění smlouvy je možné činit výhradně formou písemných, vzestupně číslovaných dodatků ke smlouvě podepsaných zástupci smluvních stran.</w:t>
      </w:r>
    </w:p>
    <w:p w:rsidR="00647D57" w:rsidRDefault="00423E5E" w:rsidP="00F106D5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vyhotovena ve čtyřech stejnopisech s platností originálů, z nichž tři obdrží objednatel a je</w:t>
      </w:r>
      <w:r>
        <w:rPr>
          <w:rFonts w:ascii="Arial" w:hAnsi="Arial" w:cs="Arial"/>
          <w:sz w:val="22"/>
          <w:szCs w:val="22"/>
        </w:rPr>
        <w:t>den zhotovitel.</w:t>
      </w:r>
    </w:p>
    <w:p w:rsidR="00647D57" w:rsidRDefault="00423E5E" w:rsidP="00F106D5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Smluvní strany si smlouvu přečetly, jejímu obsahu rozumí a souhlasí s ním. Na důkaz svého souhlasu připojují své podpisy.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5525A9" w:rsidTr="006B3C89">
        <w:tc>
          <w:tcPr>
            <w:tcW w:w="4927" w:type="dxa"/>
            <w:hideMark/>
          </w:tcPr>
          <w:p w:rsidR="00647D57" w:rsidRDefault="00423E5E" w:rsidP="00F106D5">
            <w:pPr>
              <w:pStyle w:val="vnintext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 Ústí nad Labem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dne  2.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>6.2021</w:t>
            </w:r>
          </w:p>
        </w:tc>
        <w:tc>
          <w:tcPr>
            <w:tcW w:w="4927" w:type="dxa"/>
            <w:hideMark/>
          </w:tcPr>
          <w:p w:rsidR="00647D57" w:rsidRDefault="00423E5E" w:rsidP="00F106D5">
            <w:pPr>
              <w:pStyle w:val="vnintext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</w:t>
            </w:r>
            <w:r w:rsidR="00382876">
              <w:rPr>
                <w:rFonts w:ascii="Arial" w:hAnsi="Arial" w:cs="Arial"/>
                <w:sz w:val="22"/>
                <w:szCs w:val="22"/>
                <w:lang w:eastAsia="en-US"/>
              </w:rPr>
              <w:t>Brně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8.6.2021</w:t>
            </w:r>
            <w:bookmarkStart w:id="0" w:name="_GoBack"/>
            <w:bookmarkEnd w:id="0"/>
          </w:p>
        </w:tc>
      </w:tr>
      <w:tr w:rsidR="005525A9" w:rsidTr="006B3C89">
        <w:tc>
          <w:tcPr>
            <w:tcW w:w="4927" w:type="dxa"/>
            <w:hideMark/>
          </w:tcPr>
          <w:p w:rsidR="00647D57" w:rsidRDefault="00423E5E" w:rsidP="00F106D5">
            <w:pPr>
              <w:pStyle w:val="vnintext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27" w:type="dxa"/>
            <w:hideMark/>
          </w:tcPr>
          <w:p w:rsidR="00647D57" w:rsidRDefault="00647D57" w:rsidP="00F106D5">
            <w:pPr>
              <w:rPr>
                <w:sz w:val="20"/>
                <w:szCs w:val="20"/>
              </w:rPr>
            </w:pPr>
          </w:p>
        </w:tc>
      </w:tr>
      <w:tr w:rsidR="005525A9" w:rsidTr="006B3C89">
        <w:trPr>
          <w:trHeight w:val="80"/>
        </w:trPr>
        <w:tc>
          <w:tcPr>
            <w:tcW w:w="4927" w:type="dxa"/>
            <w:hideMark/>
          </w:tcPr>
          <w:p w:rsidR="00647D57" w:rsidRDefault="00423E5E" w:rsidP="00F106D5">
            <w:pPr>
              <w:pStyle w:val="vnintext"/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Česká republika-Úřad pro zastupování státu </w:t>
            </w:r>
            <w:r w:rsidR="008934D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ve věcech majetkových</w:t>
            </w:r>
          </w:p>
        </w:tc>
        <w:tc>
          <w:tcPr>
            <w:tcW w:w="4927" w:type="dxa"/>
            <w:hideMark/>
          </w:tcPr>
          <w:p w:rsidR="00647D57" w:rsidRDefault="00423E5E" w:rsidP="00F106D5">
            <w:pPr>
              <w:pStyle w:val="vnintext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VV TOP s.r.o.</w:t>
            </w:r>
          </w:p>
        </w:tc>
      </w:tr>
      <w:tr w:rsidR="005525A9" w:rsidTr="006B3C89">
        <w:trPr>
          <w:trHeight w:val="1717"/>
        </w:trPr>
        <w:tc>
          <w:tcPr>
            <w:tcW w:w="4927" w:type="dxa"/>
          </w:tcPr>
          <w:p w:rsidR="00647D57" w:rsidRDefault="00647D57" w:rsidP="00F106D5">
            <w:pPr>
              <w:pStyle w:val="vnintext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</w:tcPr>
          <w:p w:rsidR="00647D57" w:rsidRDefault="00647D57" w:rsidP="00F106D5">
            <w:pPr>
              <w:pStyle w:val="vnintext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525A9" w:rsidTr="006B3C89">
        <w:trPr>
          <w:trHeight w:val="61"/>
        </w:trPr>
        <w:tc>
          <w:tcPr>
            <w:tcW w:w="4927" w:type="dxa"/>
            <w:hideMark/>
          </w:tcPr>
          <w:p w:rsidR="00647D57" w:rsidRDefault="00423E5E" w:rsidP="00F106D5">
            <w:pPr>
              <w:pStyle w:val="vnintext"/>
              <w:ind w:left="0"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…………………………….……………………….</w:t>
            </w:r>
          </w:p>
        </w:tc>
        <w:tc>
          <w:tcPr>
            <w:tcW w:w="4927" w:type="dxa"/>
            <w:hideMark/>
          </w:tcPr>
          <w:p w:rsidR="00647D57" w:rsidRDefault="00423E5E" w:rsidP="00F106D5">
            <w:pPr>
              <w:pStyle w:val="vnintext"/>
              <w:ind w:left="0"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…………………………….……………………….</w:t>
            </w:r>
          </w:p>
        </w:tc>
      </w:tr>
      <w:tr w:rsidR="005525A9" w:rsidTr="006B3C89">
        <w:trPr>
          <w:trHeight w:val="80"/>
        </w:trPr>
        <w:tc>
          <w:tcPr>
            <w:tcW w:w="4927" w:type="dxa"/>
            <w:hideMark/>
          </w:tcPr>
          <w:p w:rsidR="00647D57" w:rsidRDefault="00423E5E" w:rsidP="00F106D5">
            <w:pPr>
              <w:pStyle w:val="vnintext"/>
              <w:ind w:left="0" w:firstLine="0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PhDr. Marie Ševelová</w:t>
            </w:r>
          </w:p>
        </w:tc>
        <w:tc>
          <w:tcPr>
            <w:tcW w:w="4927" w:type="dxa"/>
            <w:hideMark/>
          </w:tcPr>
          <w:p w:rsidR="00647D57" w:rsidRDefault="00423E5E" w:rsidP="00F106D5">
            <w:pPr>
              <w:pStyle w:val="vnintext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Ctibor Pokorný</w:t>
            </w:r>
          </w:p>
        </w:tc>
      </w:tr>
      <w:tr w:rsidR="005525A9" w:rsidTr="006B3C89">
        <w:trPr>
          <w:trHeight w:val="80"/>
        </w:trPr>
        <w:tc>
          <w:tcPr>
            <w:tcW w:w="4927" w:type="dxa"/>
            <w:hideMark/>
          </w:tcPr>
          <w:p w:rsidR="00647D57" w:rsidRDefault="00423E5E" w:rsidP="00F106D5">
            <w:pPr>
              <w:pStyle w:val="vnintex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ředitelka Územního pracoviště</w:t>
            </w:r>
          </w:p>
          <w:p w:rsidR="00647D57" w:rsidRDefault="00423E5E" w:rsidP="00F106D5">
            <w:pPr>
              <w:pStyle w:val="vnintex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Ústí nad Labem</w:t>
            </w:r>
          </w:p>
        </w:tc>
        <w:tc>
          <w:tcPr>
            <w:tcW w:w="4927" w:type="dxa"/>
          </w:tcPr>
          <w:p w:rsidR="00647D57" w:rsidRPr="001A1CB0" w:rsidRDefault="00423E5E" w:rsidP="00F106D5">
            <w:pPr>
              <w:pStyle w:val="vnintex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1CB0">
              <w:rPr>
                <w:rFonts w:ascii="Arial" w:hAnsi="Arial" w:cs="Arial"/>
                <w:sz w:val="22"/>
                <w:szCs w:val="22"/>
                <w:lang w:eastAsia="en-US"/>
              </w:rPr>
              <w:t>jednatel</w:t>
            </w:r>
          </w:p>
        </w:tc>
      </w:tr>
    </w:tbl>
    <w:p w:rsidR="00647D57" w:rsidRPr="007E2ACA" w:rsidRDefault="00647D57" w:rsidP="00F106D5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</w:p>
    <w:p w:rsidR="00647D57" w:rsidRPr="00A43C1C" w:rsidRDefault="00647D57" w:rsidP="00F106D5">
      <w:pPr>
        <w:spacing w:after="240"/>
        <w:rPr>
          <w:rFonts w:ascii="Arial" w:hAnsi="Arial" w:cs="Arial"/>
          <w:sz w:val="22"/>
          <w:szCs w:val="22"/>
        </w:rPr>
      </w:pPr>
    </w:p>
    <w:sectPr w:rsidR="00647D57" w:rsidRPr="00A43C1C" w:rsidSect="00F106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FFA"/>
    <w:multiLevelType w:val="hybridMultilevel"/>
    <w:tmpl w:val="C728BBAE"/>
    <w:lvl w:ilvl="0" w:tplc="3F5E7614">
      <w:start w:val="1"/>
      <w:numFmt w:val="decimal"/>
      <w:lvlText w:val="%1."/>
      <w:lvlJc w:val="left"/>
      <w:pPr>
        <w:ind w:left="360" w:hanging="360"/>
      </w:pPr>
    </w:lvl>
    <w:lvl w:ilvl="1" w:tplc="5C64CC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F21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864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C75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DAE0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EE4E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61A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B65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E1A42"/>
    <w:multiLevelType w:val="hybridMultilevel"/>
    <w:tmpl w:val="201C56EE"/>
    <w:lvl w:ilvl="0" w:tplc="6F6CD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856A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FCA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02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0C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CC4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8C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C1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1E6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C46E0"/>
    <w:multiLevelType w:val="hybridMultilevel"/>
    <w:tmpl w:val="8A7C3BB4"/>
    <w:lvl w:ilvl="0" w:tplc="AC942526">
      <w:start w:val="1"/>
      <w:numFmt w:val="decimal"/>
      <w:lvlText w:val="%1."/>
      <w:lvlJc w:val="left"/>
      <w:pPr>
        <w:ind w:left="360" w:hanging="360"/>
      </w:pPr>
    </w:lvl>
    <w:lvl w:ilvl="1" w:tplc="766CA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46B1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703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4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0EE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F6B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2D6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8A8A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A3084E"/>
    <w:multiLevelType w:val="hybridMultilevel"/>
    <w:tmpl w:val="8F7C01DC"/>
    <w:lvl w:ilvl="0" w:tplc="CB3EB1EC">
      <w:start w:val="1"/>
      <w:numFmt w:val="decimal"/>
      <w:lvlText w:val="%1."/>
      <w:lvlJc w:val="left"/>
      <w:pPr>
        <w:ind w:left="360" w:hanging="360"/>
      </w:pPr>
    </w:lvl>
    <w:lvl w:ilvl="1" w:tplc="5C9A0414" w:tentative="1">
      <w:start w:val="1"/>
      <w:numFmt w:val="lowerLetter"/>
      <w:lvlText w:val="%2."/>
      <w:lvlJc w:val="left"/>
      <w:pPr>
        <w:ind w:left="1080" w:hanging="360"/>
      </w:pPr>
    </w:lvl>
    <w:lvl w:ilvl="2" w:tplc="E406542C" w:tentative="1">
      <w:start w:val="1"/>
      <w:numFmt w:val="lowerRoman"/>
      <w:lvlText w:val="%3."/>
      <w:lvlJc w:val="right"/>
      <w:pPr>
        <w:ind w:left="1800" w:hanging="180"/>
      </w:pPr>
    </w:lvl>
    <w:lvl w:ilvl="3" w:tplc="75FA931E" w:tentative="1">
      <w:start w:val="1"/>
      <w:numFmt w:val="decimal"/>
      <w:lvlText w:val="%4."/>
      <w:lvlJc w:val="left"/>
      <w:pPr>
        <w:ind w:left="2520" w:hanging="360"/>
      </w:pPr>
    </w:lvl>
    <w:lvl w:ilvl="4" w:tplc="84A08940" w:tentative="1">
      <w:start w:val="1"/>
      <w:numFmt w:val="lowerLetter"/>
      <w:lvlText w:val="%5."/>
      <w:lvlJc w:val="left"/>
      <w:pPr>
        <w:ind w:left="3240" w:hanging="360"/>
      </w:pPr>
    </w:lvl>
    <w:lvl w:ilvl="5" w:tplc="D090A694" w:tentative="1">
      <w:start w:val="1"/>
      <w:numFmt w:val="lowerRoman"/>
      <w:lvlText w:val="%6."/>
      <w:lvlJc w:val="right"/>
      <w:pPr>
        <w:ind w:left="3960" w:hanging="180"/>
      </w:pPr>
    </w:lvl>
    <w:lvl w:ilvl="6" w:tplc="28AEFE52" w:tentative="1">
      <w:start w:val="1"/>
      <w:numFmt w:val="decimal"/>
      <w:lvlText w:val="%7."/>
      <w:lvlJc w:val="left"/>
      <w:pPr>
        <w:ind w:left="4680" w:hanging="360"/>
      </w:pPr>
    </w:lvl>
    <w:lvl w:ilvl="7" w:tplc="1F288C66" w:tentative="1">
      <w:start w:val="1"/>
      <w:numFmt w:val="lowerLetter"/>
      <w:lvlText w:val="%8."/>
      <w:lvlJc w:val="left"/>
      <w:pPr>
        <w:ind w:left="5400" w:hanging="360"/>
      </w:pPr>
    </w:lvl>
    <w:lvl w:ilvl="8" w:tplc="B52C0D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2613DA"/>
    <w:multiLevelType w:val="hybridMultilevel"/>
    <w:tmpl w:val="999A42CC"/>
    <w:lvl w:ilvl="0" w:tplc="79A664D2">
      <w:start w:val="1"/>
      <w:numFmt w:val="decimal"/>
      <w:lvlText w:val="%1."/>
      <w:lvlJc w:val="left"/>
      <w:pPr>
        <w:ind w:left="360" w:hanging="360"/>
      </w:pPr>
    </w:lvl>
    <w:lvl w:ilvl="1" w:tplc="26C01B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1E18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40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6D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AC67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629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88F2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C2E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842373"/>
    <w:multiLevelType w:val="hybridMultilevel"/>
    <w:tmpl w:val="5F2A6108"/>
    <w:lvl w:ilvl="0" w:tplc="97C01962">
      <w:start w:val="1"/>
      <w:numFmt w:val="decimal"/>
      <w:lvlText w:val="%1."/>
      <w:lvlJc w:val="left"/>
      <w:pPr>
        <w:ind w:left="360" w:hanging="360"/>
      </w:pPr>
    </w:lvl>
    <w:lvl w:ilvl="1" w:tplc="334068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EF8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E8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296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61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6A8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2AC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E085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F26D61"/>
    <w:multiLevelType w:val="hybridMultilevel"/>
    <w:tmpl w:val="01EE4B80"/>
    <w:lvl w:ilvl="0" w:tplc="C6B0DD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D52F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B6D3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8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0C5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AD0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2CE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A7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0CB5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B402CC"/>
    <w:multiLevelType w:val="hybridMultilevel"/>
    <w:tmpl w:val="08867064"/>
    <w:lvl w:ilvl="0" w:tplc="D21C07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3722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C67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624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6441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5490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788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4D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254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A77DF1"/>
    <w:multiLevelType w:val="hybridMultilevel"/>
    <w:tmpl w:val="AFBE9B5C"/>
    <w:lvl w:ilvl="0" w:tplc="8CD0A2E6">
      <w:start w:val="1"/>
      <w:numFmt w:val="decimal"/>
      <w:lvlText w:val="%1."/>
      <w:lvlJc w:val="left"/>
      <w:pPr>
        <w:ind w:left="360" w:hanging="360"/>
      </w:pPr>
    </w:lvl>
    <w:lvl w:ilvl="1" w:tplc="F4142D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E05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8F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28D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068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1048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A8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CA38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100D41"/>
    <w:rsid w:val="00140CDA"/>
    <w:rsid w:val="001440AB"/>
    <w:rsid w:val="00150919"/>
    <w:rsid w:val="00181D76"/>
    <w:rsid w:val="001A1CB0"/>
    <w:rsid w:val="001E5FA4"/>
    <w:rsid w:val="001F7A01"/>
    <w:rsid w:val="00201A27"/>
    <w:rsid w:val="002228BE"/>
    <w:rsid w:val="00243FD7"/>
    <w:rsid w:val="00245AA4"/>
    <w:rsid w:val="002F17A8"/>
    <w:rsid w:val="00340C2E"/>
    <w:rsid w:val="00345881"/>
    <w:rsid w:val="003810A5"/>
    <w:rsid w:val="00382876"/>
    <w:rsid w:val="00397BA0"/>
    <w:rsid w:val="003A32E9"/>
    <w:rsid w:val="003C27D2"/>
    <w:rsid w:val="003C5630"/>
    <w:rsid w:val="003E45C2"/>
    <w:rsid w:val="00423D91"/>
    <w:rsid w:val="00423E5E"/>
    <w:rsid w:val="0043735F"/>
    <w:rsid w:val="00442699"/>
    <w:rsid w:val="00442F87"/>
    <w:rsid w:val="00465355"/>
    <w:rsid w:val="00470BDF"/>
    <w:rsid w:val="00471557"/>
    <w:rsid w:val="00486F1B"/>
    <w:rsid w:val="004C4F20"/>
    <w:rsid w:val="004E3209"/>
    <w:rsid w:val="004F0D3F"/>
    <w:rsid w:val="00514E1D"/>
    <w:rsid w:val="005525A9"/>
    <w:rsid w:val="00555134"/>
    <w:rsid w:val="00572A14"/>
    <w:rsid w:val="00574BA1"/>
    <w:rsid w:val="00583BEB"/>
    <w:rsid w:val="005E7EA1"/>
    <w:rsid w:val="006119F4"/>
    <w:rsid w:val="00630907"/>
    <w:rsid w:val="00647D57"/>
    <w:rsid w:val="00652748"/>
    <w:rsid w:val="006B3C89"/>
    <w:rsid w:val="006B5A0C"/>
    <w:rsid w:val="00710088"/>
    <w:rsid w:val="0071682A"/>
    <w:rsid w:val="00742876"/>
    <w:rsid w:val="007A662F"/>
    <w:rsid w:val="007B5E91"/>
    <w:rsid w:val="007E2ACA"/>
    <w:rsid w:val="00805892"/>
    <w:rsid w:val="008214AA"/>
    <w:rsid w:val="00860F94"/>
    <w:rsid w:val="00861145"/>
    <w:rsid w:val="008706FC"/>
    <w:rsid w:val="0087674F"/>
    <w:rsid w:val="00885F6E"/>
    <w:rsid w:val="008934D7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AF2BCC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32A67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B3FEF"/>
    <w:rsid w:val="00DC7C40"/>
    <w:rsid w:val="00DD17A3"/>
    <w:rsid w:val="00DF12DF"/>
    <w:rsid w:val="00E07B64"/>
    <w:rsid w:val="00E1670F"/>
    <w:rsid w:val="00E22C86"/>
    <w:rsid w:val="00E23836"/>
    <w:rsid w:val="00E42E14"/>
    <w:rsid w:val="00E52E69"/>
    <w:rsid w:val="00E57DD7"/>
    <w:rsid w:val="00E834F4"/>
    <w:rsid w:val="00EB45EB"/>
    <w:rsid w:val="00EB78F9"/>
    <w:rsid w:val="00F04730"/>
    <w:rsid w:val="00F07477"/>
    <w:rsid w:val="00F106D5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6E09"/>
  <w15:docId w15:val="{A06DEE06-38F6-47E6-90A5-32011CB5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647D5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647D5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D57"/>
    <w:rPr>
      <w:rFonts w:ascii="Consolas" w:eastAsia="Calibri" w:hAnsi="Consolas" w:cs="Times New Roman"/>
      <w:sz w:val="21"/>
      <w:szCs w:val="21"/>
    </w:rPr>
  </w:style>
  <w:style w:type="paragraph" w:customStyle="1" w:styleId="vnintext">
    <w:name w:val="vniřnítext"/>
    <w:basedOn w:val="Normln"/>
    <w:rsid w:val="00647D57"/>
    <w:pPr>
      <w:tabs>
        <w:tab w:val="left" w:pos="709"/>
      </w:tabs>
      <w:ind w:left="284" w:firstLine="426"/>
      <w:jc w:val="both"/>
    </w:pPr>
    <w:rPr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647D5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1977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Medáčková Zlata</cp:lastModifiedBy>
  <cp:revision>2</cp:revision>
  <dcterms:created xsi:type="dcterms:W3CDTF">2021-06-10T06:07:00Z</dcterms:created>
  <dcterms:modified xsi:type="dcterms:W3CDTF">2021-06-10T06:07:00Z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Smlouva o dílo č.100/2021 - „Oprava vchodových dveří (výměnou) na administrativní budově ÚZSVM OOP Louny"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Medáčková Zlata</vt:lpwstr>
  </property>
  <property fmtid="{D5CDD505-2E9C-101B-9397-08002B2CF9AE}" pid="41" name="CUSTOM.VLASTNIK_JMENO_TISK">
    <vt:lpwstr/>
  </property>
  <property fmtid="{D5CDD505-2E9C-101B-9397-08002B2CF9AE}" pid="42" name="CUSTOM.VLASTNIK_MAIL">
    <vt:lpwstr>Zlata.Medackova@uzsvm.cz</vt:lpwstr>
  </property>
  <property fmtid="{D5CDD505-2E9C-101B-9397-08002B2CF9AE}" pid="43" name="CUSTOM.VLASTNIK_TELEFON">
    <vt:lpwstr>+420 416 921 412</vt:lpwstr>
  </property>
  <property fmtid="{D5CDD505-2E9C-101B-9397-08002B2CF9AE}" pid="44" name="CUSTOM.VYTVOREN_DNE">
    <vt:lpwstr>19.05.2021</vt:lpwstr>
  </property>
  <property fmtid="{D5CDD505-2E9C-101B-9397-08002B2CF9AE}" pid="45" name="KOD.KOD_CJ">
    <vt:lpwstr>UZSVM/U/8521/2021-HSPH</vt:lpwstr>
  </property>
  <property fmtid="{D5CDD505-2E9C-101B-9397-08002B2CF9AE}" pid="46" name="KOD.KOD_EVC">
    <vt:lpwstr>11666/U/2021-HSPH</vt:lpwstr>
  </property>
  <property fmtid="{D5CDD505-2E9C-101B-9397-08002B2CF9AE}" pid="47" name="KOD.KOD_EVC_BARCODE">
    <vt:lpwstr>µ#11666/U/2021-HSPH@X¸</vt:lpwstr>
  </property>
  <property fmtid="{D5CDD505-2E9C-101B-9397-08002B2CF9AE}" pid="48" name="KOD.KOD_IU_CODE">
    <vt:lpwstr>4012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e5f80bd1-8cdc-488a-877e-a32b320f836f</vt:lpwstr>
  </property>
  <property fmtid="{D5CDD505-2E9C-101B-9397-08002B2CF9AE}" pid="52" name="KrbDmsIdForm">
    <vt:lpwstr>e5f80bd1-8cdc-488a-877e-a32b320f836f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