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0242" w:rsidRDefault="009E14A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RÁ</w:t>
      </w:r>
      <w:r>
        <w:rPr>
          <w:b/>
          <w:bCs/>
          <w:sz w:val="36"/>
          <w:szCs w:val="36"/>
          <w:lang w:val="nl-NL"/>
        </w:rPr>
        <w:t>MCOV</w:t>
      </w:r>
      <w:r>
        <w:rPr>
          <w:b/>
          <w:bCs/>
          <w:sz w:val="36"/>
          <w:szCs w:val="36"/>
        </w:rPr>
        <w:t xml:space="preserve">Á </w:t>
      </w:r>
      <w:r>
        <w:rPr>
          <w:b/>
          <w:bCs/>
          <w:sz w:val="36"/>
          <w:szCs w:val="36"/>
          <w:lang w:val="en-US"/>
        </w:rPr>
        <w:t>KUPN</w:t>
      </w:r>
      <w:r>
        <w:rPr>
          <w:b/>
          <w:bCs/>
          <w:sz w:val="36"/>
          <w:szCs w:val="36"/>
        </w:rPr>
        <w:t xml:space="preserve">Í </w:t>
      </w:r>
      <w:r>
        <w:rPr>
          <w:b/>
          <w:bCs/>
          <w:sz w:val="36"/>
          <w:szCs w:val="36"/>
          <w:lang w:val="en-US"/>
        </w:rPr>
        <w:t>SMLOUVA</w:t>
      </w:r>
    </w:p>
    <w:p w:rsidR="00400242" w:rsidRDefault="00400242">
      <w:pPr>
        <w:jc w:val="center"/>
        <w:rPr>
          <w:sz w:val="23"/>
          <w:szCs w:val="23"/>
        </w:rPr>
      </w:pPr>
    </w:p>
    <w:p w:rsidR="00400242" w:rsidRDefault="009E14A6">
      <w:pPr>
        <w:jc w:val="center"/>
      </w:pPr>
      <w:r>
        <w:t>uzavřená dle § 2079 zákona č. 89/2012 Sb., obč</w:t>
      </w:r>
      <w:r>
        <w:rPr>
          <w:lang w:val="da-DK"/>
        </w:rPr>
        <w:t>ansk</w:t>
      </w:r>
      <w:r>
        <w:t>ý zákoník, ve znění pozdějších předpisů (dále jen „</w:t>
      </w:r>
      <w:r>
        <w:rPr>
          <w:b/>
          <w:bCs/>
        </w:rPr>
        <w:t>obč</w:t>
      </w:r>
      <w:r>
        <w:rPr>
          <w:b/>
          <w:bCs/>
          <w:lang w:val="da-DK"/>
        </w:rPr>
        <w:t>ansk</w:t>
      </w:r>
      <w:r>
        <w:rPr>
          <w:b/>
          <w:bCs/>
        </w:rPr>
        <w:t>ý zákoník</w:t>
      </w:r>
      <w:r>
        <w:rPr>
          <w:rtl/>
          <w:lang w:val="ar-SA"/>
        </w:rPr>
        <w:t>“</w:t>
      </w:r>
      <w:r>
        <w:t>), níže uveden</w:t>
      </w:r>
      <w:r>
        <w:rPr>
          <w:lang w:val="fr-FR"/>
        </w:rPr>
        <w:t>é</w:t>
      </w:r>
      <w:r>
        <w:t>ho dne, měsíce a roku mezi těmito smluvními stranami:</w:t>
      </w:r>
    </w:p>
    <w:p w:rsidR="00400242" w:rsidRDefault="00400242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</w:p>
    <w:p w:rsidR="00400242" w:rsidRPr="009E14A6" w:rsidRDefault="009E14A6">
      <w:pPr>
        <w:pStyle w:val="Nadpis4"/>
        <w:keepNext w:val="0"/>
        <w:spacing w:before="0" w:after="60" w:line="240" w:lineRule="auto"/>
        <w:jc w:val="left"/>
        <w:rPr>
          <w:sz w:val="23"/>
          <w:szCs w:val="23"/>
        </w:rPr>
      </w:pPr>
      <w:r w:rsidRPr="009E14A6">
        <w:rPr>
          <w:bCs w:val="0"/>
        </w:rPr>
        <w:t>DN FORMED Brno s.r.o.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IČO: 46982604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DIČ: CZ46982604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se sídlem: Brno, Hudcova 76a, PSČ 612 00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zapsaná v obchodním rejstříku vedeném krajským soudem v Brně, oddíl C, vložka 8289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zastoupena: Bc. Jiřím Bartoňkem, jednatel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bankovní spojení: Československá obchodní banka, a. s.</w:t>
      </w:r>
    </w:p>
    <w:p w:rsidR="00400242" w:rsidRDefault="009E14A6">
      <w:pPr>
        <w:pStyle w:val="Nadpis4"/>
        <w:keepNext w:val="0"/>
        <w:spacing w:before="0" w:after="60" w:line="240" w:lineRule="auto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číslo bankovního účtu: </w:t>
      </w:r>
      <w:r>
        <w:rPr>
          <w:b w:val="0"/>
          <w:bCs w:val="0"/>
        </w:rPr>
        <w:t>377365413/0300</w:t>
      </w:r>
    </w:p>
    <w:p w:rsidR="00400242" w:rsidRDefault="00400242"/>
    <w:p w:rsidR="00400242" w:rsidRDefault="00400242"/>
    <w:p w:rsidR="00400242" w:rsidRDefault="009E14A6">
      <w:r>
        <w:t>jako prodávajícím (dále jen „</w:t>
      </w:r>
      <w:r>
        <w:rPr>
          <w:b/>
          <w:bCs/>
          <w:lang w:val="de-DE"/>
        </w:rPr>
        <w:t>Prod</w:t>
      </w:r>
      <w:r>
        <w:rPr>
          <w:b/>
          <w:bCs/>
        </w:rPr>
        <w:t>ávající</w:t>
      </w:r>
      <w:r>
        <w:rPr>
          <w:rtl/>
          <w:lang w:val="ar-SA"/>
        </w:rPr>
        <w:t>“</w:t>
      </w:r>
      <w:r>
        <w:t>) na straně jedn</w:t>
      </w:r>
      <w:r>
        <w:rPr>
          <w:lang w:val="fr-FR"/>
        </w:rPr>
        <w:t>é</w:t>
      </w:r>
    </w:p>
    <w:p w:rsidR="00400242" w:rsidRDefault="00400242"/>
    <w:p w:rsidR="00400242" w:rsidRDefault="009E14A6">
      <w:r>
        <w:t>a</w:t>
      </w:r>
    </w:p>
    <w:p w:rsidR="00400242" w:rsidRDefault="00400242"/>
    <w:p w:rsidR="00400242" w:rsidRDefault="009E14A6">
      <w:pPr>
        <w:rPr>
          <w:b/>
          <w:bCs/>
        </w:rPr>
      </w:pPr>
      <w:r>
        <w:rPr>
          <w:b/>
          <w:bCs/>
        </w:rPr>
        <w:t xml:space="preserve">Fakultní nemocnice Brno </w:t>
      </w:r>
    </w:p>
    <w:p w:rsidR="00400242" w:rsidRDefault="009E14A6">
      <w:r>
        <w:t>IČ: 65269705</w:t>
      </w:r>
    </w:p>
    <w:p w:rsidR="00400242" w:rsidRDefault="009E14A6">
      <w:r>
        <w:t>DIČ: CZ65269705</w:t>
      </w:r>
    </w:p>
    <w:p w:rsidR="00400242" w:rsidRDefault="009E14A6">
      <w:r>
        <w:t xml:space="preserve">se sídlem: Brno, Jihlavská </w:t>
      </w:r>
      <w:r>
        <w:rPr>
          <w:lang w:val="fr-FR"/>
        </w:rPr>
        <w:t>20, PS</w:t>
      </w:r>
      <w:r>
        <w:t xml:space="preserve">Č 625 00 </w:t>
      </w:r>
    </w:p>
    <w:p w:rsidR="00400242" w:rsidRDefault="009E14A6">
      <w:r>
        <w:t xml:space="preserve">zastoupena: prof. MUDr. Jaroslav Štěrba, Ph.D., ředitel </w:t>
      </w:r>
    </w:p>
    <w:p w:rsidR="00400242" w:rsidRDefault="009E14A6">
      <w:r>
        <w:t>bankovní spojení: Česká národní banka</w:t>
      </w:r>
    </w:p>
    <w:p w:rsidR="00400242" w:rsidRDefault="009E14A6">
      <w:r>
        <w:t>číslo bankovního účtu: 71234621/0710</w:t>
      </w:r>
    </w:p>
    <w:p w:rsidR="00400242" w:rsidRDefault="00400242"/>
    <w:p w:rsidR="00400242" w:rsidRDefault="009E14A6">
      <w:r>
        <w:t>FN Brno je státní příspěvková organizace zřízená rozhodnutím Ministerstva zdravotnictví. Nemá zákonnou povinnost zápisu do obchodní</w:t>
      </w:r>
      <w:r>
        <w:rPr>
          <w:lang w:val="da-DK"/>
        </w:rPr>
        <w:t>ho rejst</w:t>
      </w:r>
      <w:r>
        <w:t>říku, je zapsána v živnostensk</w:t>
      </w:r>
      <w:r>
        <w:rPr>
          <w:lang w:val="fr-FR"/>
        </w:rPr>
        <w:t>é</w:t>
      </w:r>
      <w:r>
        <w:rPr>
          <w:lang w:val="da-DK"/>
        </w:rPr>
        <w:t>m rejst</w:t>
      </w:r>
      <w:r>
        <w:t>říku veden</w:t>
      </w:r>
      <w:r>
        <w:rPr>
          <w:lang w:val="fr-FR"/>
        </w:rPr>
        <w:t>é</w:t>
      </w:r>
      <w:r>
        <w:t>m Živnostenským úřadem města Brna,</w:t>
      </w:r>
    </w:p>
    <w:p w:rsidR="00400242" w:rsidRDefault="00400242"/>
    <w:p w:rsidR="00400242" w:rsidRDefault="009E14A6">
      <w:r>
        <w:t>jako kupujícím (dále jen „</w:t>
      </w:r>
      <w:r>
        <w:rPr>
          <w:b/>
          <w:bCs/>
        </w:rPr>
        <w:t>Kupující</w:t>
      </w:r>
      <w:r>
        <w:rPr>
          <w:rtl/>
          <w:lang w:val="ar-SA"/>
        </w:rPr>
        <w:t>“</w:t>
      </w:r>
      <w:r>
        <w:t>) na straně druh</w:t>
      </w:r>
      <w:r>
        <w:rPr>
          <w:lang w:val="fr-FR"/>
        </w:rPr>
        <w:t>é</w:t>
      </w:r>
      <w:r>
        <w:t>,</w:t>
      </w:r>
    </w:p>
    <w:p w:rsidR="00400242" w:rsidRDefault="00400242"/>
    <w:p w:rsidR="00400242" w:rsidRDefault="009E14A6">
      <w:r>
        <w:t>a to v následujícím znění:</w:t>
      </w:r>
    </w:p>
    <w:p w:rsidR="00400242" w:rsidRDefault="00400242">
      <w:pPr>
        <w:spacing w:after="60"/>
      </w:pPr>
    </w:p>
    <w:p w:rsidR="00400242" w:rsidRDefault="009E14A6">
      <w:pPr>
        <w:pStyle w:val="Nadpis1"/>
        <w:numPr>
          <w:ilvl w:val="0"/>
          <w:numId w:val="2"/>
        </w:numPr>
      </w:pPr>
      <w:r>
        <w:t>Účel smlouvy</w:t>
      </w:r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1" w:name="_Ref526843050"/>
      <w:r>
        <w:rPr>
          <w:rFonts w:eastAsia="Arial Unicode MS" w:cs="Arial Unicode MS"/>
        </w:rPr>
        <w:t>Účelem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en-US"/>
        </w:rPr>
        <w:t>to r</w:t>
      </w:r>
      <w:r>
        <w:rPr>
          <w:rFonts w:eastAsia="Arial Unicode MS" w:cs="Arial Unicode MS"/>
        </w:rPr>
        <w:t>ámcov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kupní smlouvy (dále též jen „</w:t>
      </w:r>
      <w:r>
        <w:rPr>
          <w:rFonts w:eastAsia="Arial Unicode MS" w:cs="Arial Unicode MS"/>
          <w:b/>
          <w:bCs/>
        </w:rPr>
        <w:t>smlouva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 je sjednání podmínek plnění objednávek spotřebního materiálu v rámci veřejn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zakázky </w:t>
      </w:r>
      <w:r>
        <w:rPr>
          <w:rFonts w:eastAsia="Arial Unicode MS" w:cs="Arial Unicode MS"/>
          <w:u w:val="single"/>
        </w:rPr>
        <w:t>„Izolátory pro ředění cytotoxický</w:t>
      </w:r>
      <w:r>
        <w:rPr>
          <w:rFonts w:eastAsia="Arial Unicode MS" w:cs="Arial Unicode MS"/>
          <w:u w:val="single"/>
          <w:lang w:val="de-DE"/>
        </w:rPr>
        <w:t>ch l</w:t>
      </w:r>
      <w:r>
        <w:rPr>
          <w:rFonts w:eastAsia="Arial Unicode MS" w:cs="Arial Unicode MS"/>
          <w:u w:val="single"/>
        </w:rPr>
        <w:t>éčiv</w:t>
      </w:r>
      <w:r>
        <w:rPr>
          <w:rFonts w:eastAsia="Arial Unicode MS" w:cs="Arial Unicode MS"/>
          <w:u w:val="single"/>
          <w:rtl/>
          <w:lang w:val="ar-SA"/>
        </w:rPr>
        <w:t>“</w:t>
      </w:r>
      <w:r>
        <w:rPr>
          <w:rFonts w:eastAsia="Arial Unicode MS" w:cs="Arial Unicode MS"/>
        </w:rPr>
        <w:t xml:space="preserve"> (dále jen „</w:t>
      </w:r>
      <w:r>
        <w:rPr>
          <w:rFonts w:eastAsia="Arial Unicode MS" w:cs="Arial Unicode MS"/>
          <w:b/>
          <w:bCs/>
        </w:rPr>
        <w:t>Veřejná zakázka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budou na základě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zasílány Prodávajícímu.</w:t>
      </w:r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pStyle w:val="Nadpis1"/>
        <w:numPr>
          <w:ilvl w:val="0"/>
          <w:numId w:val="2"/>
        </w:numPr>
      </w:pPr>
      <w:r>
        <w:t>Předmět smlouvy</w:t>
      </w:r>
    </w:p>
    <w:p w:rsidR="00400242" w:rsidRDefault="00400242">
      <w:pPr>
        <w:pStyle w:val="Odstavecsmlouvy"/>
        <w:ind w:left="720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Jednotlivá ustanovení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budou vykládána v souladu se zadávací dokumentací k Veřejn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zakázce, případně v souladu s výzvou k podání nabídek nebo obdobným dokumentem, jde-li o veřejnou zakázku mal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rozsahu (dále pro oba případy jen „</w:t>
      </w:r>
      <w:r>
        <w:rPr>
          <w:rFonts w:eastAsia="Arial Unicode MS" w:cs="Arial Unicode MS"/>
          <w:b/>
          <w:bCs/>
        </w:rPr>
        <w:t>Zadávací dokumentace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Předmě</w:t>
      </w:r>
      <w:r>
        <w:rPr>
          <w:rFonts w:eastAsia="Arial Unicode MS" w:cs="Arial Unicode MS"/>
          <w:lang w:val="pt-PT"/>
        </w:rPr>
        <w:t>tem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jsou podmínky dodávek zboží specifikovan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v 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(dále též pouze „</w:t>
      </w:r>
      <w:r>
        <w:rPr>
          <w:rFonts w:eastAsia="Arial Unicode MS" w:cs="Arial Unicode MS"/>
          <w:b/>
          <w:bCs/>
        </w:rPr>
        <w:t>Zboží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 za kupní ceny uveden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a to podle potřeb Kupujícího. Zboží bude dodáváno za podmínek sjednaný</w:t>
      </w:r>
      <w:r>
        <w:rPr>
          <w:rFonts w:eastAsia="Arial Unicode MS" w:cs="Arial Unicode MS"/>
          <w:lang w:val="de-DE"/>
        </w:rPr>
        <w:t>ch v</w:t>
      </w:r>
      <w:r>
        <w:rPr>
          <w:rFonts w:eastAsia="Arial Unicode MS" w:cs="Arial Unicode MS"/>
        </w:rPr>
        <w:t>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 na základě objednávek,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jsou jednostranným právním jednáním Kupujícího, zasílaných Kupující</w:t>
      </w:r>
      <w:r>
        <w:rPr>
          <w:rFonts w:eastAsia="Arial Unicode MS" w:cs="Arial Unicode MS"/>
          <w:lang w:val="de-DE"/>
        </w:rPr>
        <w:t>m Prod</w:t>
      </w:r>
      <w:r>
        <w:rPr>
          <w:rFonts w:eastAsia="Arial Unicode MS" w:cs="Arial Unicode MS"/>
        </w:rPr>
        <w:t>ávajícímu postupem dle čl. III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(dále jen „</w:t>
      </w:r>
      <w:r>
        <w:rPr>
          <w:rFonts w:eastAsia="Arial Unicode MS" w:cs="Arial Unicode MS"/>
          <w:b/>
          <w:bCs/>
        </w:rPr>
        <w:t>Objednávky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 je povinen s odbornou péčí </w:t>
      </w:r>
      <w:r>
        <w:rPr>
          <w:rFonts w:eastAsia="Arial Unicode MS" w:cs="Arial Unicode MS"/>
          <w:lang w:val="es-ES_tradnl"/>
        </w:rPr>
        <w:t>profesion</w:t>
      </w:r>
      <w:r>
        <w:rPr>
          <w:rFonts w:eastAsia="Arial Unicode MS" w:cs="Arial Unicode MS"/>
        </w:rPr>
        <w:t>ála dodávat Kupujícímu Zboží v počtech kusů a druhov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složení podle Objednávek,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jsou pro Prodávajícího závaznými pokyny Kupujícího k plnění, tj. k dodávkám Zboží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Při plnění těchto dodávek je Prodávající povinen dodržovat ujednání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podmínky obsažen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Objednávce a požadavky Kupujícího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Zadávací dokumentaci. Prodávající se zavazuje dodávat pouze Zboží splňující požadavky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 Zboží tohoto druhu v Česk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republice včetně požadavků na nakládání s takovým Zbožím.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Kupující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>í povinen vystavit byť jedinou Objednávku.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Kupující </w:t>
      </w:r>
      <w:r>
        <w:rPr>
          <w:rFonts w:eastAsia="Arial Unicode MS" w:cs="Arial Unicode MS"/>
          <w:lang w:val="nl-NL"/>
        </w:rPr>
        <w:t>se v</w:t>
      </w:r>
      <w:r>
        <w:rPr>
          <w:rFonts w:eastAsia="Arial Unicode MS" w:cs="Arial Unicode MS"/>
        </w:rPr>
        <w:t> rámci každ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Objednávky zavazuje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dodan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 převzít a uhradit za něj Prodávajícímu Kupní cenu stanovenou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bookmarkEnd w:id="1"/>
    <w:p w:rsidR="00400242" w:rsidRDefault="00400242">
      <w:pPr>
        <w:jc w:val="center"/>
        <w:rPr>
          <w:b/>
          <w:bCs/>
        </w:rPr>
      </w:pPr>
    </w:p>
    <w:p w:rsidR="009E14A6" w:rsidRDefault="009E14A6">
      <w:pPr>
        <w:jc w:val="center"/>
        <w:rPr>
          <w:b/>
          <w:bCs/>
        </w:rPr>
      </w:pPr>
    </w:p>
    <w:p w:rsidR="00400242" w:rsidRDefault="009E14A6">
      <w:pPr>
        <w:pStyle w:val="Nadpis1"/>
        <w:numPr>
          <w:ilvl w:val="0"/>
          <w:numId w:val="2"/>
        </w:numPr>
      </w:pPr>
      <w:bookmarkStart w:id="2" w:name="_Ref534806146"/>
      <w:r>
        <w:t>Objednávky</w:t>
      </w:r>
      <w:bookmarkEnd w:id="2"/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3" w:name="_Ref501111900"/>
      <w:r>
        <w:rPr>
          <w:rFonts w:eastAsia="Arial Unicode MS" w:cs="Arial Unicode MS"/>
        </w:rPr>
        <w:t>Dodávky Zboží budou realizovány na základě Objednávek doručený</w:t>
      </w:r>
      <w:r>
        <w:rPr>
          <w:rFonts w:eastAsia="Arial Unicode MS" w:cs="Arial Unicode MS"/>
          <w:lang w:val="de-DE"/>
        </w:rPr>
        <w:t>ch Prod</w:t>
      </w:r>
      <w:r>
        <w:rPr>
          <w:rFonts w:eastAsia="Arial Unicode MS" w:cs="Arial Unicode MS"/>
        </w:rPr>
        <w:t xml:space="preserve">ávajícímu </w:t>
      </w:r>
      <w:bookmarkEnd w:id="3"/>
      <w:r>
        <w:rPr>
          <w:rFonts w:eastAsia="Arial Unicode MS" w:cs="Arial Unicode MS"/>
        </w:rPr>
        <w:t>e-mailem na adresu: servis@dnformed.cz.</w:t>
      </w:r>
    </w:p>
    <w:p w:rsidR="00400242" w:rsidRDefault="00400242">
      <w:pPr>
        <w:pStyle w:val="Psmenoodstavce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 nal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en-US"/>
        </w:rPr>
        <w:t>hav</w:t>
      </w:r>
      <w:r>
        <w:rPr>
          <w:rFonts w:eastAsia="Arial Unicode MS" w:cs="Arial Unicode MS"/>
        </w:rPr>
        <w:t xml:space="preserve">ých případech je Kupující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 xml:space="preserve">ávněn učinit Objednávku rovněž telefonicky na čísle +420 770 121 077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Kupující je oprávněn zaslat Objednávku Prodávajícímu kdykoliv. V případě, že je Objednávka Prodávajícímu doručena mimo pracovní dny od 8.00 do 15.00 h, považuje se za okamžik doručení 8.00 h nejbližšího pracovního dne následujícího po doručení Objednávky.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Minimální (finanční) objem jednotlivý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 xml:space="preserve">ílčích plnění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>í stanoven.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je povinen doručení Objednávky Kupujícímu písemně potvrdit, a to e-mailem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přijetí Objednávky na adresu, z níž byla Objednávka odeslána, případně rovněž na jinou, mezi smluvními stranami dohodnutou, adresu. V případě Objednávky učiněn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telefonicky nebo faxem je Prodávající povinen doručení Objednávky Kupujícímu potvrdit e-mailem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odkladu na adresu </w:t>
      </w:r>
      <w:r>
        <w:rPr>
          <w:rFonts w:eastAsia="Arial Unicode MS" w:cs="Arial Unicode MS"/>
          <w:b/>
          <w:bCs/>
        </w:rPr>
        <w:t>nl-cyto@fnbrno.cz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4" w:name="_Ref501120386"/>
      <w:r>
        <w:rPr>
          <w:rFonts w:eastAsia="Arial Unicode MS" w:cs="Arial Unicode MS"/>
        </w:rPr>
        <w:t>Každá Objednávka musí obsahovat alespoň následující údaje:</w:t>
      </w:r>
      <w:bookmarkEnd w:id="4"/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identifikační údaje Kupující</w:t>
      </w:r>
      <w:r>
        <w:rPr>
          <w:rFonts w:eastAsia="Arial Unicode MS" w:cs="Arial Unicode MS"/>
          <w:lang w:val="pt-PT"/>
        </w:rPr>
        <w:t>ho a Prod</w:t>
      </w:r>
      <w:r>
        <w:rPr>
          <w:rFonts w:eastAsia="Arial Unicode MS" w:cs="Arial Unicode MS"/>
        </w:rPr>
        <w:t>ávající</w:t>
      </w:r>
      <w:r>
        <w:rPr>
          <w:rFonts w:eastAsia="Arial Unicode MS" w:cs="Arial Unicode MS"/>
          <w:lang w:val="it-IT"/>
        </w:rPr>
        <w:t>ho;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množství a druhy Zboží;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místo dodání.</w:t>
      </w:r>
    </w:p>
    <w:p w:rsidR="00400242" w:rsidRDefault="00400242">
      <w:pPr>
        <w:pStyle w:val="Psmenoodstavce"/>
        <w:ind w:left="1418"/>
      </w:pPr>
    </w:p>
    <w:p w:rsidR="00400242" w:rsidRDefault="009E14A6">
      <w:pPr>
        <w:pStyle w:val="Psmenoodstavce"/>
        <w:ind w:left="567" w:hanging="567"/>
      </w:pPr>
      <w:r>
        <w:rPr>
          <w:b/>
          <w:bCs/>
        </w:rPr>
        <w:t>III.7</w:t>
      </w:r>
      <w:r>
        <w:tab/>
        <w:t>V případě že</w:t>
      </w:r>
      <w:r>
        <w:rPr>
          <w:rFonts w:ascii="Cambria" w:hAnsi="Cambria"/>
        </w:rPr>
        <w:t xml:space="preserve"> P</w:t>
      </w:r>
      <w:r>
        <w:t xml:space="preserve">rodávající </w:t>
      </w:r>
      <w:r>
        <w:rPr>
          <w:lang w:val="de-DE"/>
        </w:rPr>
        <w:t>nen</w:t>
      </w:r>
      <w:r>
        <w:t xml:space="preserve">í </w:t>
      </w:r>
      <w:r>
        <w:rPr>
          <w:lang w:val="nl-NL"/>
        </w:rPr>
        <w:t>schopen (p</w:t>
      </w:r>
      <w:r>
        <w:t xml:space="preserve">ři splnění podmínek smlouvy) dílčí plnění dodat či jej není </w:t>
      </w:r>
      <w:r>
        <w:rPr>
          <w:lang w:val="nl-NL"/>
        </w:rPr>
        <w:t>schopen dodat v</w:t>
      </w:r>
      <w:r>
        <w:t> cel</w:t>
      </w:r>
      <w:r>
        <w:rPr>
          <w:lang w:val="fr-FR"/>
        </w:rPr>
        <w:t>é</w:t>
      </w:r>
      <w:r>
        <w:t>m rozsahu, je povinen o t</w:t>
      </w:r>
      <w:r>
        <w:rPr>
          <w:lang w:val="fr-FR"/>
        </w:rPr>
        <w:t>é</w:t>
      </w:r>
      <w:r>
        <w:t xml:space="preserve">to skutečnosti Kupujícího informovat formou tzv. </w:t>
      </w:r>
      <w:r>
        <w:rPr>
          <w:b/>
          <w:bCs/>
        </w:rPr>
        <w:t>„Defektního listu</w:t>
      </w:r>
      <w:r>
        <w:rPr>
          <w:b/>
          <w:bCs/>
          <w:rtl/>
          <w:lang w:val="ar-SA"/>
        </w:rPr>
        <w:t>“</w:t>
      </w:r>
      <w:r>
        <w:t xml:space="preserve"> zaslan</w:t>
      </w:r>
      <w:r>
        <w:rPr>
          <w:lang w:val="fr-FR"/>
        </w:rPr>
        <w:t>é</w:t>
      </w:r>
      <w:r>
        <w:t xml:space="preserve">ho </w:t>
      </w:r>
      <w:r>
        <w:lastRenderedPageBreak/>
        <w:t>do dvou hodin od doručení Objednávky. Z Defektního listu musí vyplývat, v jak</w:t>
      </w:r>
      <w:r>
        <w:rPr>
          <w:lang w:val="fr-FR"/>
        </w:rPr>
        <w:t>é</w:t>
      </w:r>
      <w:r>
        <w:t xml:space="preserve">m rozsahu není </w:t>
      </w:r>
      <w:r>
        <w:rPr>
          <w:lang w:val="de-DE"/>
        </w:rPr>
        <w:t>Prod</w:t>
      </w:r>
      <w:r>
        <w:t xml:space="preserve">ávající dílčí plnění </w:t>
      </w:r>
      <w:r>
        <w:rPr>
          <w:lang w:val="nl-NL"/>
        </w:rPr>
        <w:t>schopen dodat. V</w:t>
      </w:r>
      <w:r>
        <w:t> rozsahu vymezen</w:t>
      </w:r>
      <w:r>
        <w:rPr>
          <w:lang w:val="fr-FR"/>
        </w:rPr>
        <w:t>é</w:t>
      </w:r>
      <w:r>
        <w:t>m Defektním listem pak Prodávající dílčí plnění nedodá.</w:t>
      </w:r>
    </w:p>
    <w:p w:rsidR="00400242" w:rsidRDefault="00400242">
      <w:pPr>
        <w:pStyle w:val="Psmenoodstavce"/>
        <w:ind w:left="1418"/>
      </w:pPr>
    </w:p>
    <w:p w:rsidR="009E14A6" w:rsidRDefault="009E14A6">
      <w:pPr>
        <w:pStyle w:val="Psmenoodstavce"/>
        <w:ind w:left="1418"/>
      </w:pPr>
    </w:p>
    <w:p w:rsidR="009E14A6" w:rsidRDefault="009E14A6">
      <w:pPr>
        <w:pStyle w:val="Psmenoodstavce"/>
        <w:ind w:left="1418"/>
      </w:pPr>
    </w:p>
    <w:p w:rsidR="00400242" w:rsidRDefault="00400242">
      <w:pPr>
        <w:pStyle w:val="Psmenoodstavce"/>
        <w:ind w:left="1418"/>
      </w:pPr>
    </w:p>
    <w:p w:rsidR="00400242" w:rsidRDefault="009E14A6">
      <w:pPr>
        <w:pStyle w:val="Nadpis3"/>
        <w:numPr>
          <w:ilvl w:val="0"/>
          <w:numId w:val="2"/>
        </w:numPr>
      </w:pPr>
      <w:bookmarkStart w:id="5" w:name="_Ref477351956"/>
      <w:r>
        <w:rPr>
          <w:rFonts w:eastAsia="Arial Unicode MS" w:cs="Arial Unicode MS"/>
        </w:rPr>
        <w:t>Dodací podmínky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Místem dodání je Nemocniční 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kárna Fakultní nemocnice Brno, pracoviště Nemocnice Bohunice a Porodnice, Jihlavská 20, 625 00 Brno.</w:t>
      </w:r>
    </w:p>
    <w:bookmarkEnd w:id="5"/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6" w:name="_Ref525635743"/>
      <w:r>
        <w:rPr>
          <w:rFonts w:eastAsia="Arial Unicode MS" w:cs="Arial Unicode MS"/>
        </w:rPr>
        <w:t>P</w:t>
      </w:r>
      <w:bookmarkStart w:id="7" w:name="_Ref8729760"/>
      <w:bookmarkEnd w:id="6"/>
      <w:r>
        <w:rPr>
          <w:rFonts w:eastAsia="Arial Unicode MS" w:cs="Arial Unicode MS"/>
        </w:rPr>
        <w:t xml:space="preserve">rodávající je povinen dodat Zboží dle Objednávky </w:t>
      </w:r>
      <w:r>
        <w:rPr>
          <w:rFonts w:eastAsia="Arial Unicode MS" w:cs="Arial Unicode MS"/>
          <w:b/>
          <w:bCs/>
        </w:rPr>
        <w:t>do 48 hodin</w:t>
      </w:r>
      <w:r>
        <w:rPr>
          <w:rFonts w:eastAsia="Arial Unicode MS" w:cs="Arial Unicode MS"/>
        </w:rPr>
        <w:t xml:space="preserve"> od její</w:t>
      </w:r>
      <w:r>
        <w:rPr>
          <w:rFonts w:eastAsia="Arial Unicode MS" w:cs="Arial Unicode MS"/>
          <w:lang w:val="pt-PT"/>
        </w:rPr>
        <w:t>ho doru</w:t>
      </w:r>
      <w:r>
        <w:rPr>
          <w:rFonts w:eastAsia="Arial Unicode MS" w:cs="Arial Unicode MS"/>
        </w:rPr>
        <w:t xml:space="preserve">čení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</w:t>
      </w:r>
      <w:r>
        <w:rPr>
          <w:rFonts w:eastAsia="Arial Unicode MS" w:cs="Arial Unicode MS"/>
          <w:lang w:val="sv-SE"/>
        </w:rPr>
        <w:t>mu, leda</w:t>
      </w:r>
      <w:r>
        <w:rPr>
          <w:rFonts w:eastAsia="Arial Unicode MS" w:cs="Arial Unicode MS"/>
        </w:rPr>
        <w:t>že si smluvní strany dohodly rozvozový plán. V případě, že si smluvní strany dohodly rozvozový plán, je Prodávající povinen Zboží dodat po doručení Objednávky nejbližším následujícím rozvozem dle tohoto rozvozov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plánu. Zboží však vždy musí bý</w:t>
      </w:r>
      <w:r>
        <w:rPr>
          <w:rFonts w:eastAsia="Arial Unicode MS" w:cs="Arial Unicode MS"/>
          <w:lang w:val="nl-NL"/>
        </w:rPr>
        <w:t>t dod</w:t>
      </w:r>
      <w:r>
        <w:rPr>
          <w:rFonts w:eastAsia="Arial Unicode MS" w:cs="Arial Unicode MS"/>
        </w:rPr>
        <w:t>áno v pracovních dnech v době od 7:00 hodin do 15:00 hodin nebo v sobotu v době od 8:00 hodin do 12:00 hodin, ledaže se smluvní strany dohodnou jinak</w:t>
      </w:r>
      <w:bookmarkEnd w:id="7"/>
      <w:r>
        <w:rPr>
          <w:rFonts w:eastAsia="Arial Unicode MS" w:cs="Arial Unicode MS"/>
        </w:rPr>
        <w:t>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8" w:name="_Ref530751629"/>
      <w:r>
        <w:rPr>
          <w:rFonts w:eastAsia="Arial Unicode MS" w:cs="Arial Unicode MS"/>
        </w:rPr>
        <w:t>Zboží může bý</w:t>
      </w:r>
      <w:r>
        <w:rPr>
          <w:rFonts w:eastAsia="Arial Unicode MS" w:cs="Arial Unicode MS"/>
          <w:lang w:val="nl-NL"/>
        </w:rPr>
        <w:t>t dod</w:t>
      </w:r>
      <w:r>
        <w:rPr>
          <w:rFonts w:eastAsia="Arial Unicode MS" w:cs="Arial Unicode MS"/>
        </w:rPr>
        <w:t>áno pouze po balení</w:t>
      </w:r>
      <w:r>
        <w:rPr>
          <w:rFonts w:eastAsia="Arial Unicode MS" w:cs="Arial Unicode MS"/>
          <w:lang w:val="pt-PT"/>
        </w:rPr>
        <w:t>ch o maxim</w:t>
      </w:r>
      <w:r>
        <w:rPr>
          <w:rFonts w:eastAsia="Arial Unicode MS" w:cs="Arial Unicode MS"/>
        </w:rPr>
        <w:t>ální hmotnosti 15 kg.</w:t>
      </w:r>
      <w:bookmarkEnd w:id="8"/>
      <w:r>
        <w:rPr>
          <w:rFonts w:eastAsia="Arial Unicode MS" w:cs="Arial Unicode MS"/>
        </w:rPr>
        <w:t xml:space="preserve"> V odůvodněných případech a s výslovným souhlasem Kupujícího může být Zboží dodáno po baleních o hmotnosti až 20 kg.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ke každ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Objednávce vyhotoví písemný dodací list (dále jen „</w:t>
      </w:r>
      <w:r>
        <w:rPr>
          <w:rFonts w:eastAsia="Arial Unicode MS" w:cs="Arial Unicode MS"/>
          <w:b/>
          <w:bCs/>
        </w:rPr>
        <w:t>Dodací list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a to v elektronick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 listinn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en-US"/>
        </w:rPr>
        <w:t>form</w:t>
      </w:r>
      <w:r>
        <w:rPr>
          <w:rFonts w:eastAsia="Arial Unicode MS" w:cs="Arial Unicode MS"/>
        </w:rPr>
        <w:t xml:space="preserve">ě. Dodací </w:t>
      </w:r>
      <w:r>
        <w:rPr>
          <w:rFonts w:eastAsia="Arial Unicode MS" w:cs="Arial Unicode MS"/>
          <w:lang w:val="de-DE"/>
        </w:rPr>
        <w:t>list v</w:t>
      </w:r>
      <w:r>
        <w:rPr>
          <w:rFonts w:eastAsia="Arial Unicode MS" w:cs="Arial Unicode MS"/>
        </w:rPr>
        <w:t> elektronick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en-US"/>
        </w:rPr>
        <w:t>form</w:t>
      </w:r>
      <w:r>
        <w:rPr>
          <w:rFonts w:eastAsia="Arial Unicode MS" w:cs="Arial Unicode MS"/>
        </w:rPr>
        <w:t xml:space="preserve">ě musí být vyhotoven ve formátu PDK verze 10 nebo vyšší, případně </w:t>
      </w:r>
      <w:r>
        <w:rPr>
          <w:rFonts w:eastAsia="Arial Unicode MS" w:cs="Arial Unicode MS"/>
          <w:lang w:val="en-US"/>
        </w:rPr>
        <w:t>ve form</w:t>
      </w:r>
      <w:r>
        <w:rPr>
          <w:rFonts w:eastAsia="Arial Unicode MS" w:cs="Arial Unicode MS"/>
        </w:rPr>
        <w:t xml:space="preserve">átech XML nebo CSV sestavený tak, aby umožnil automatizovanou konverzi do formátu PDK verze 10, nebo vyšší. Dodací </w:t>
      </w:r>
      <w:r>
        <w:rPr>
          <w:rFonts w:eastAsia="Arial Unicode MS" w:cs="Arial Unicode MS"/>
          <w:lang w:val="de-DE"/>
        </w:rPr>
        <w:t>list v</w:t>
      </w:r>
      <w:r>
        <w:rPr>
          <w:rFonts w:eastAsia="Arial Unicode MS" w:cs="Arial Unicode MS"/>
        </w:rPr>
        <w:t> elektronick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en-US"/>
        </w:rPr>
        <w:t>form</w:t>
      </w:r>
      <w:r>
        <w:rPr>
          <w:rFonts w:eastAsia="Arial Unicode MS" w:cs="Arial Unicode MS"/>
        </w:rPr>
        <w:t>ě musí být Kupujícímu doručen na stejn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adresy, stejným způsobem a ve stejn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pt-PT"/>
        </w:rPr>
        <w:t>lh</w:t>
      </w:r>
      <w:r>
        <w:rPr>
          <w:rFonts w:eastAsia="Arial Unicode MS" w:cs="Arial Unicode MS"/>
        </w:rPr>
        <w:t xml:space="preserve">ůtě jako potvrzení Objednávky. Dodací </w:t>
      </w:r>
      <w:r>
        <w:rPr>
          <w:rFonts w:eastAsia="Arial Unicode MS" w:cs="Arial Unicode MS"/>
          <w:lang w:val="de-DE"/>
        </w:rPr>
        <w:t>list mus</w:t>
      </w:r>
      <w:r>
        <w:rPr>
          <w:rFonts w:eastAsia="Arial Unicode MS" w:cs="Arial Unicode MS"/>
        </w:rPr>
        <w:t>í obsahovat alespoň následující údaje: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identifikační údaje Kupující</w:t>
      </w:r>
      <w:r>
        <w:rPr>
          <w:rFonts w:eastAsia="Arial Unicode MS" w:cs="Arial Unicode MS"/>
          <w:lang w:val="pt-PT"/>
        </w:rPr>
        <w:t>ho a Prod</w:t>
      </w:r>
      <w:r>
        <w:rPr>
          <w:rFonts w:eastAsia="Arial Unicode MS" w:cs="Arial Unicode MS"/>
        </w:rPr>
        <w:t>ávající</w:t>
      </w:r>
      <w:r>
        <w:rPr>
          <w:rFonts w:eastAsia="Arial Unicode MS" w:cs="Arial Unicode MS"/>
          <w:lang w:val="it-IT"/>
        </w:rPr>
        <w:t>ho;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číslo Objednávky Kupující</w:t>
      </w:r>
      <w:r>
        <w:rPr>
          <w:rFonts w:eastAsia="Arial Unicode MS" w:cs="Arial Unicode MS"/>
          <w:lang w:val="it-IT"/>
        </w:rPr>
        <w:t>ho;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  <w:lang w:val="it-IT"/>
        </w:rPr>
        <w:t>eviden</w:t>
      </w:r>
      <w:r>
        <w:rPr>
          <w:rFonts w:eastAsia="Arial Unicode MS" w:cs="Arial Unicode MS"/>
        </w:rPr>
        <w:t>ční číslo Dodacího listu;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  <w:lang w:val="it-IT"/>
        </w:rPr>
        <w:t>eviden</w:t>
      </w:r>
      <w:r>
        <w:rPr>
          <w:rFonts w:eastAsia="Arial Unicode MS" w:cs="Arial Unicode MS"/>
        </w:rPr>
        <w:t>ční číslo veřejn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zakázky dle Věstníku veřejných zakázek a není-li takové číslo, pak číslo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dle číslování Kupující</w:t>
      </w:r>
      <w:r>
        <w:rPr>
          <w:rFonts w:eastAsia="Arial Unicode MS" w:cs="Arial Unicode MS"/>
          <w:lang w:val="it-IT"/>
        </w:rPr>
        <w:t>ho;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datum uskutečnění dodávky;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specifikace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a množství;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(bez DPH a včetně DPH);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údaje o šarži a exspiraci Zboží;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údaje o k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dech SÚ</w:t>
      </w:r>
      <w:r>
        <w:rPr>
          <w:rFonts w:eastAsia="Arial Unicode MS" w:cs="Arial Unicode MS"/>
          <w:lang w:val="nl-NL"/>
        </w:rPr>
        <w:t>KL;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u zdravotnick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materiálu i třídy bezpečnosti;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u zdravotnick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materiálu, diagnostik a labochemikálií katalogová čísla.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 je povinen předat Kupujícímu společně </w:t>
      </w:r>
      <w:r>
        <w:rPr>
          <w:rFonts w:eastAsia="Arial Unicode MS" w:cs="Arial Unicode MS"/>
          <w:lang w:val="nl-NL"/>
        </w:rPr>
        <w:t>s dod</w:t>
      </w:r>
      <w:r>
        <w:rPr>
          <w:rFonts w:eastAsia="Arial Unicode MS" w:cs="Arial Unicode MS"/>
        </w:rPr>
        <w:t>ávkou Zboží veškerou dokumentaci nutnou k převzetí a řádn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užívání Zboží, kterou vyžadují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obecně závazn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právní předpisy,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zákon č. 378/2007 Sb., o léčivech, ve znění pozdějších předpisů, a související předpisy prováděcí (dále souhrnně jen „</w:t>
      </w:r>
      <w:r>
        <w:rPr>
          <w:rFonts w:eastAsia="Arial Unicode MS" w:cs="Arial Unicode MS"/>
          <w:b/>
          <w:bCs/>
        </w:rPr>
        <w:t>Doklady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), a to včetně </w:t>
      </w:r>
      <w:r>
        <w:rPr>
          <w:rFonts w:eastAsia="Arial Unicode MS" w:cs="Arial Unicode MS"/>
          <w:b/>
          <w:bCs/>
        </w:rPr>
        <w:t>Dodacího listu</w:t>
      </w:r>
      <w:r>
        <w:rPr>
          <w:rFonts w:eastAsia="Arial Unicode MS" w:cs="Arial Unicode MS"/>
        </w:rPr>
        <w:t xml:space="preserve"> v listinn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a elektronick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en-US"/>
        </w:rPr>
        <w:t>form</w:t>
      </w:r>
      <w:r>
        <w:rPr>
          <w:rFonts w:eastAsia="Arial Unicode MS" w:cs="Arial Unicode MS"/>
        </w:rPr>
        <w:t xml:space="preserve">ě a </w:t>
      </w:r>
      <w:r>
        <w:rPr>
          <w:rFonts w:eastAsia="Arial Unicode MS" w:cs="Arial Unicode MS"/>
          <w:b/>
          <w:bCs/>
        </w:rPr>
        <w:t>faktury</w:t>
      </w:r>
      <w:r>
        <w:rPr>
          <w:rFonts w:eastAsia="Arial Unicode MS" w:cs="Arial Unicode MS"/>
        </w:rPr>
        <w:t>.</w:t>
      </w:r>
      <w:r>
        <w:rPr>
          <w:rFonts w:ascii="Cambria" w:hAnsi="Cambria"/>
        </w:rPr>
        <w:t xml:space="preserve"> P</w:t>
      </w:r>
      <w:r>
        <w:rPr>
          <w:rFonts w:eastAsia="Arial Unicode MS" w:cs="Arial Unicode MS"/>
        </w:rPr>
        <w:t>ři první dodávce dotčen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Zboží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Kupujícímu předloží rovněž prohlášení o shodě (CE).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Zboží musí být označ</w:t>
      </w:r>
      <w:r>
        <w:rPr>
          <w:rFonts w:eastAsia="Arial Unicode MS" w:cs="Arial Unicode MS"/>
          <w:lang w:val="it-IT"/>
        </w:rPr>
        <w:t xml:space="preserve">eno </w:t>
      </w:r>
      <w:r>
        <w:rPr>
          <w:rFonts w:eastAsia="Arial Unicode MS" w:cs="Arial Unicode MS"/>
        </w:rPr>
        <w:t>šarží na vnějším i vnitřním obalu. Zboží s dobou použitelnosti (exspirační dobou) musí být opatřeno také údajem o exspiraci. V případě, že je v rámci jedn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dodávky dodáno zboží různý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šarží, je prodávající povinen uvádět na dodacích listech počty kusů zboží s každou šarží samostatně.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lastRenderedPageBreak/>
        <w:t>Prod</w:t>
      </w:r>
      <w:r>
        <w:rPr>
          <w:rFonts w:eastAsia="Arial Unicode MS" w:cs="Arial Unicode MS"/>
        </w:rPr>
        <w:t>ávající je oprávněn dodat Kupujícímu Zboží i s dobou použitelnosti kratší než 9 měsíců</w:t>
      </w:r>
      <w:r>
        <w:rPr>
          <w:rFonts w:eastAsia="Arial Unicode MS" w:cs="Arial Unicode MS"/>
          <w:lang w:val="fr-FR"/>
        </w:rPr>
        <w:t>, ne v</w:t>
      </w:r>
      <w:r>
        <w:rPr>
          <w:rFonts w:eastAsia="Arial Unicode MS" w:cs="Arial Unicode MS"/>
        </w:rPr>
        <w:t>šak kratší než 6 měsíců. V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případě je Kupující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neupotřebenou část takto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Zboží vrátit Prodávajícímu, nejpozději však do 14 dní od vypršení </w:t>
      </w:r>
      <w:r>
        <w:rPr>
          <w:rFonts w:eastAsia="Arial Unicode MS" w:cs="Arial Unicode MS"/>
          <w:lang w:val="en-US"/>
        </w:rPr>
        <w:t>exspira</w:t>
      </w:r>
      <w:r>
        <w:rPr>
          <w:rFonts w:eastAsia="Arial Unicode MS" w:cs="Arial Unicode MS"/>
        </w:rPr>
        <w:t>ční doby. Prodávající je povinen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 převzít (např. při dodávání dílčího plnění). V případě vrácení Zboží dle tohoto odstavce je Prodávající povinen Kupujícímu vrátit částku, kterou za dotčen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 zaplatil, a to nejpozději do 10 kalendářních dnů ode dne vrácení Zboží (příp. dne, kdy Prodávající bezdůvodně odmítl převzít vracen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Zboží).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Závazek Prodávajícího dodat Zboží je splněn řádný</w:t>
      </w:r>
      <w:r>
        <w:rPr>
          <w:rFonts w:eastAsia="Arial Unicode MS" w:cs="Arial Unicode MS"/>
          <w:lang w:val="pt-PT"/>
        </w:rPr>
        <w:t>m a v</w:t>
      </w:r>
      <w:r>
        <w:rPr>
          <w:rFonts w:eastAsia="Arial Unicode MS" w:cs="Arial Unicode MS"/>
        </w:rPr>
        <w:t xml:space="preserve">časným dodáním Zboží </w:t>
      </w:r>
      <w:r>
        <w:rPr>
          <w:rFonts w:eastAsia="Arial Unicode MS" w:cs="Arial Unicode MS"/>
          <w:lang w:val="es-ES_tradnl"/>
        </w:rPr>
        <w:t>do m</w:t>
      </w:r>
      <w:r>
        <w:rPr>
          <w:rFonts w:eastAsia="Arial Unicode MS" w:cs="Arial Unicode MS"/>
        </w:rPr>
        <w:t>ísta dodání a jeho převzetím Kupujícím. Při dodání Zboží potvrdí pověřená osoba Kupujícího svým podpisem na balicím, případně Dodacím listě, výhradně uskutečnění dodávky, neporušenost obalů, ve kterých je Zboží dodáno, a jejich počet.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dodání je Kupující povinen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kontrolu řádnosti dodávky a na základě toho rozhodnout, zda Zboží převezme.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Kupující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>í povinen Zboží převzít, nebude-li dodá</w:t>
      </w:r>
      <w:r>
        <w:rPr>
          <w:rFonts w:eastAsia="Arial Unicode MS" w:cs="Arial Unicode MS"/>
          <w:lang w:val="it-IT"/>
        </w:rPr>
        <w:t>no v</w:t>
      </w:r>
      <w:r>
        <w:rPr>
          <w:rFonts w:eastAsia="Arial Unicode MS" w:cs="Arial Unicode MS"/>
        </w:rPr>
        <w:t> souladu s touto smlouvou,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pokud Prodávající nedodá Zboží v určen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místě dodání, v objednan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množství nebo druhov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složení, pokud Zboží nebude v předepsan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kvalitě a jakosti, pokud bude Zboží jakýmkoli způsobem poš</w:t>
      </w:r>
      <w:r>
        <w:rPr>
          <w:rFonts w:eastAsia="Arial Unicode MS" w:cs="Arial Unicode MS"/>
          <w:lang w:val="nl-NL"/>
        </w:rPr>
        <w:t>kozen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, pokud Zboží nebude splňovat ujednání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nebo právní předpisy, pokud Prodávající nedodá Doklady, pokud Doklady nebudou odpovídat skutečně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Zboží nebo pokud Doklady nebudou splňovat tuto smlouvu. Kupující je povinen uplatnit právo Zboží nepřevzít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zjištění shora uvedených nedostatků. Uplatní-li Kupující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právo Zboží nepřevzít, je Prodávající povinen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vady plnění odstranit. Pokud má Zboží vady obalu a nemá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vady, mohou se smluvní strany dohodnout na slevě z Kupní ceny. Nedohodnouli se, není Kupující povinen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 převzít.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Kupující nabývá vlastnick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právo ke Zboží okamžikem převzetí Zboží.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Nebezpečí škody na Zboží př</w:t>
      </w:r>
      <w:r>
        <w:rPr>
          <w:rFonts w:eastAsia="Arial Unicode MS" w:cs="Arial Unicode MS"/>
          <w:lang w:val="de-DE"/>
        </w:rPr>
        <w:t>ech</w:t>
      </w:r>
      <w:r>
        <w:rPr>
          <w:rFonts w:eastAsia="Arial Unicode MS" w:cs="Arial Unicode MS"/>
        </w:rPr>
        <w:t>ází z Prodávajícího na Kupujícího okamžikem podpisu pověřen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osoby Kupujícího na balicím, případně Dodacím listě dle věty druh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odst. IV.8 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Škoda na Zboží, která vznikla po přechodu jejího nebezpečí na Kupující</w:t>
      </w:r>
      <w:r>
        <w:rPr>
          <w:rFonts w:eastAsia="Arial Unicode MS" w:cs="Arial Unicode MS"/>
          <w:lang w:val="pt-PT"/>
        </w:rPr>
        <w:t>ho, nem</w:t>
      </w:r>
      <w:r>
        <w:rPr>
          <w:rFonts w:eastAsia="Arial Unicode MS" w:cs="Arial Unicode MS"/>
        </w:rPr>
        <w:t xml:space="preserve">á vliv na jeho povinnost zaplatit Kupní </w:t>
      </w:r>
      <w:r>
        <w:rPr>
          <w:rFonts w:eastAsia="Arial Unicode MS" w:cs="Arial Unicode MS"/>
          <w:lang w:val="sv-SE"/>
        </w:rPr>
        <w:t>cenu, leda</w:t>
      </w:r>
      <w:r>
        <w:rPr>
          <w:rFonts w:eastAsia="Arial Unicode MS" w:cs="Arial Unicode MS"/>
        </w:rPr>
        <w:t>že ke škodě na Zboží došlo v důsledku porušení povinnosti Prodávající</w:t>
      </w:r>
      <w:r>
        <w:rPr>
          <w:rFonts w:eastAsia="Arial Unicode MS" w:cs="Arial Unicode MS"/>
          <w:lang w:val="it-IT"/>
        </w:rPr>
        <w:t>ho.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se zavazuje informovat Kupující</w:t>
      </w:r>
      <w:r>
        <w:rPr>
          <w:rFonts w:eastAsia="Arial Unicode MS" w:cs="Arial Unicode MS"/>
          <w:lang w:val="pt-PT"/>
        </w:rPr>
        <w:t>ho o v</w:t>
      </w:r>
      <w:r>
        <w:rPr>
          <w:rFonts w:eastAsia="Arial Unicode MS" w:cs="Arial Unicode MS"/>
        </w:rPr>
        <w:t>ýpadcích ve výrobě či distribuci Zboží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, co se o nich dozvědě</w:t>
      </w:r>
      <w:r>
        <w:rPr>
          <w:rFonts w:eastAsia="Arial Unicode MS" w:cs="Arial Unicode MS"/>
          <w:lang w:val="pt-PT"/>
        </w:rPr>
        <w:t>l.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 případě nemožnosti plnění ze strany Prodávajícího je Prodávající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, co se o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nemožnosti plnění měl nebo mohl dovědět, povinen písemně Kupujícímu ozná</w:t>
      </w:r>
      <w:r>
        <w:rPr>
          <w:rFonts w:eastAsia="Arial Unicode MS" w:cs="Arial Unicode MS"/>
          <w:lang w:val="de-DE"/>
        </w:rPr>
        <w:t>mit 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  <w:lang w:val="de-DE"/>
        </w:rPr>
        <w:t>eru</w:t>
      </w:r>
      <w:r>
        <w:rPr>
          <w:rFonts w:eastAsia="Arial Unicode MS" w:cs="Arial Unicode MS"/>
        </w:rPr>
        <w:t>šení dodávek. Kupující je oprávněn po dobu př</w:t>
      </w:r>
      <w:r>
        <w:rPr>
          <w:rFonts w:eastAsia="Arial Unicode MS" w:cs="Arial Unicode MS"/>
          <w:lang w:val="de-DE"/>
        </w:rPr>
        <w:t>eru</w:t>
      </w:r>
      <w:r>
        <w:rPr>
          <w:rFonts w:eastAsia="Arial Unicode MS" w:cs="Arial Unicode MS"/>
        </w:rPr>
        <w:t>šení dodávek nakupovat Zboží nebo jeho část u jin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dodavatele za ceny obvykl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(dále jen „</w:t>
      </w:r>
      <w:r>
        <w:rPr>
          <w:rFonts w:eastAsia="Arial Unicode MS" w:cs="Arial Unicode MS"/>
          <w:b/>
          <w:bCs/>
        </w:rPr>
        <w:t>náhradní plnění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). Případný rozdíl v nákupních cenách, jež vznikne mezi cenami sjednanými touto smlouvou a cenami náhradního plnění, uhradí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 Kupujícímu do 14 dnů </w:t>
      </w:r>
      <w:r>
        <w:rPr>
          <w:rFonts w:eastAsia="Arial Unicode MS" w:cs="Arial Unicode MS"/>
          <w:lang w:val="pt-PT"/>
        </w:rPr>
        <w:t>po doru</w:t>
      </w:r>
      <w:r>
        <w:rPr>
          <w:rFonts w:eastAsia="Arial Unicode MS" w:cs="Arial Unicode MS"/>
        </w:rPr>
        <w:t>čení oznámení o zajištění náhradního plnění, a to v případě, ž</w:t>
      </w:r>
      <w:r>
        <w:rPr>
          <w:rFonts w:eastAsia="Arial Unicode MS" w:cs="Arial Unicode MS"/>
          <w:lang w:val="de-DE"/>
        </w:rPr>
        <w:t>e Prod</w:t>
      </w:r>
      <w:r>
        <w:rPr>
          <w:rFonts w:eastAsia="Arial Unicode MS" w:cs="Arial Unicode MS"/>
        </w:rPr>
        <w:t>ávající Kupujícímu př</w:t>
      </w:r>
      <w:r>
        <w:rPr>
          <w:rFonts w:eastAsia="Arial Unicode MS" w:cs="Arial Unicode MS"/>
          <w:lang w:val="de-DE"/>
        </w:rPr>
        <w:t>eru</w:t>
      </w:r>
      <w:r>
        <w:rPr>
          <w:rFonts w:eastAsia="Arial Unicode MS" w:cs="Arial Unicode MS"/>
        </w:rPr>
        <w:t>šení dodávek včas neozná</w:t>
      </w:r>
      <w:r>
        <w:rPr>
          <w:rFonts w:eastAsia="Arial Unicode MS" w:cs="Arial Unicode MS"/>
          <w:lang w:val="pt-PT"/>
        </w:rPr>
        <w:t>mil.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 případě, že orgán státního dohledu nařídí stažení někter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z oběhu,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již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dodal Kupujícímu, je Prodávající povinen toto Zboží od Kupujícího na vlastní náklady odebrat zpět a Kupní cenu tohoto zboží Kupujícímu vrátit, případně po dohodě s Kupujícím dodat Zboží náhradní.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Nadpis1"/>
        <w:numPr>
          <w:ilvl w:val="0"/>
          <w:numId w:val="2"/>
        </w:numPr>
      </w:pPr>
      <w:r>
        <w:t xml:space="preserve">Kupní </w:t>
      </w:r>
      <w:r>
        <w:rPr>
          <w:lang w:val="it-IT"/>
        </w:rPr>
        <w:t>cena</w:t>
      </w:r>
    </w:p>
    <w:p w:rsidR="00400242" w:rsidRDefault="00400242">
      <w:pPr>
        <w:pStyle w:val="Zkladntext3"/>
        <w:ind w:left="709"/>
        <w:rPr>
          <w:sz w:val="22"/>
          <w:szCs w:val="22"/>
        </w:rPr>
      </w:pPr>
    </w:p>
    <w:p w:rsidR="00400242" w:rsidRDefault="009E14A6">
      <w:pPr>
        <w:pStyle w:val="Odstavecsmlouvy"/>
        <w:numPr>
          <w:ilvl w:val="1"/>
          <w:numId w:val="2"/>
        </w:numPr>
      </w:pPr>
      <w:bookmarkStart w:id="9" w:name="_Ref501115214"/>
      <w:r>
        <w:rPr>
          <w:rFonts w:eastAsia="Arial Unicode MS" w:cs="Arial Unicode MS"/>
        </w:rPr>
        <w:t>Kupní cenou se rozumí kupní cena Zboží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na základě Objednávky určená podle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(takto spočtená kupní cena za Zboží dodan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na základě Objednávky dále a výše jen „</w:t>
      </w:r>
      <w:r>
        <w:rPr>
          <w:rFonts w:eastAsia="Arial Unicode MS" w:cs="Arial Unicode MS"/>
          <w:b/>
          <w:bCs/>
        </w:rPr>
        <w:t xml:space="preserve">Kupní </w:t>
      </w:r>
      <w:r>
        <w:rPr>
          <w:rFonts w:eastAsia="Arial Unicode MS" w:cs="Arial Unicode MS"/>
          <w:b/>
          <w:bCs/>
          <w:lang w:val="it-IT"/>
        </w:rPr>
        <w:t>cena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).</w:t>
      </w:r>
      <w:bookmarkEnd w:id="9"/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Kupní cena je sjednána jako maximální a zahrnuje kromě Zboží tak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náklady na jeho dopravu do místa plnění, naložení, složení, clo, kursov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rozdíly, obaly, Doklady, pojištění během dopravy, správní poplatky, daně, recyklační poplatek (pouze u zboží,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tomuto poplatku podle zákona č. 185/2001 Sb., o odpadech, ve znění pozdějších předpisů, podl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há</w:t>
      </w:r>
      <w:r>
        <w:rPr>
          <w:rFonts w:eastAsia="Arial Unicode MS" w:cs="Arial Unicode MS"/>
          <w:lang w:val="pt-PT"/>
        </w:rPr>
        <w:t>) a ve</w:t>
      </w:r>
      <w:r>
        <w:rPr>
          <w:rFonts w:eastAsia="Arial Unicode MS" w:cs="Arial Unicode MS"/>
        </w:rPr>
        <w:t>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it-IT"/>
        </w:rPr>
        <w:t>dal</w:t>
      </w:r>
      <w:r>
        <w:rPr>
          <w:rFonts w:eastAsia="Arial Unicode MS" w:cs="Arial Unicode MS"/>
        </w:rPr>
        <w:t xml:space="preserve">ší náklady související s řádným dodáním Zboží </w:t>
      </w:r>
      <w:r>
        <w:rPr>
          <w:rFonts w:eastAsia="Arial Unicode MS" w:cs="Arial Unicode MS"/>
          <w:lang w:val="es-ES_tradnl"/>
        </w:rPr>
        <w:t>do m</w:t>
      </w:r>
      <w:r>
        <w:rPr>
          <w:rFonts w:eastAsia="Arial Unicode MS" w:cs="Arial Unicode MS"/>
        </w:rPr>
        <w:t xml:space="preserve">ísta dodání.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Navýšení Kupní ceny je možn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pouze v případě legislativních změn,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mají prokazatelný vliv na výši Kupní ceny, a na základě písemn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návrhu Prodávající</w:t>
      </w:r>
      <w:r>
        <w:rPr>
          <w:rFonts w:eastAsia="Arial Unicode MS" w:cs="Arial Unicode MS"/>
          <w:lang w:val="it-IT"/>
        </w:rPr>
        <w:t xml:space="preserve">ho.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je oprávněn zvýšit 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kaž</w:t>
      </w:r>
      <w:r>
        <w:rPr>
          <w:rFonts w:eastAsia="Arial Unicode MS" w:cs="Arial Unicode MS"/>
          <w:lang w:val="es-ES_tradnl"/>
        </w:rPr>
        <w:t>doro</w:t>
      </w:r>
      <w:r>
        <w:rPr>
          <w:rFonts w:eastAsia="Arial Unicode MS" w:cs="Arial Unicode MS"/>
        </w:rPr>
        <w:t>čně o</w:t>
      </w:r>
      <w:r>
        <w:rPr>
          <w:rFonts w:eastAsia="Arial Unicode MS" w:cs="Arial Unicode MS"/>
          <w:b/>
          <w:bCs/>
        </w:rPr>
        <w:t xml:space="preserve"> průměrnou roční míru inflace za předchozí kalendářní rok </w:t>
      </w:r>
      <w:r>
        <w:rPr>
          <w:rFonts w:eastAsia="Arial Unicode MS" w:cs="Arial Unicode MS"/>
        </w:rPr>
        <w:t>zveřejněnou Českým statistickým úřadem, nejvýše však o 5 % (i v případě, že míra inflace za předchozí kalendářní rok bude vyšší) a to vždy k 1. 4.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roku, počínaje 1. 4. 2021. Zvýšení jednotkových cen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o inflaci je Prodávající povinen Kupujícímu oznámit nejpozději do 15. 3.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roku, jinak toto právo navýšit 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v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roce zaniká.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Ustanovení čl. V.4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se použije pouze v případě, že průměrná roční míra inflace za předchozí kalendářní rok bude vyšší nebo rovna 2 %. V případě záporn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míry inflace se kupní cena nesnižuje.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Nadpis3"/>
        <w:numPr>
          <w:ilvl w:val="0"/>
          <w:numId w:val="2"/>
        </w:numPr>
      </w:pPr>
      <w:r>
        <w:rPr>
          <w:rFonts w:eastAsia="Arial Unicode MS" w:cs="Arial Unicode MS"/>
        </w:rPr>
        <w:t>Platební podmínky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Platba bude prováděna bezhotovostním převodem na úč</w:t>
      </w:r>
      <w:r>
        <w:rPr>
          <w:rFonts w:eastAsia="Arial Unicode MS" w:cs="Arial Unicode MS"/>
          <w:lang w:val="de-DE"/>
        </w:rPr>
        <w:t>et Prod</w:t>
      </w:r>
      <w:r>
        <w:rPr>
          <w:rFonts w:eastAsia="Arial Unicode MS" w:cs="Arial Unicode MS"/>
        </w:rPr>
        <w:t>ávajícího na základě faktur – daňových dokladů vystavený</w:t>
      </w:r>
      <w:r>
        <w:rPr>
          <w:rFonts w:eastAsia="Arial Unicode MS" w:cs="Arial Unicode MS"/>
          <w:lang w:val="de-DE"/>
        </w:rPr>
        <w:t>ch Prod</w:t>
      </w:r>
      <w:r>
        <w:rPr>
          <w:rFonts w:eastAsia="Arial Unicode MS" w:cs="Arial Unicode MS"/>
        </w:rPr>
        <w:t xml:space="preserve">ávajícím a doručených Kupujícímu spolu s dodávkou Zboží na základě Objednávky.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Splatnost faktur je sjednána na 60 dní ode dne doručení faktury Kupujícímu. Lhůta splatnosti faktur počíná běž</w:t>
      </w:r>
      <w:r>
        <w:rPr>
          <w:rFonts w:eastAsia="Arial Unicode MS" w:cs="Arial Unicode MS"/>
          <w:lang w:val="da-DK"/>
        </w:rPr>
        <w:t>et p</w:t>
      </w:r>
      <w:r>
        <w:rPr>
          <w:rFonts w:eastAsia="Arial Unicode MS" w:cs="Arial Unicode MS"/>
        </w:rPr>
        <w:t>řevzetím Zboží Kupujícím.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Faktura musí splňovat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náležitosti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 xml:space="preserve">ho a </w:t>
      </w:r>
      <w:r>
        <w:rPr>
          <w:rFonts w:eastAsia="Arial Unicode MS" w:cs="Arial Unicode MS"/>
        </w:rPr>
        <w:t>účetního dokladu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na mus</w:t>
      </w:r>
      <w:r>
        <w:rPr>
          <w:rFonts w:eastAsia="Arial Unicode MS" w:cs="Arial Unicode MS"/>
        </w:rPr>
        <w:t>í splňovat ustanovení zákona č. 235/2004 Sb., o dani z př</w:t>
      </w:r>
      <w:r>
        <w:rPr>
          <w:rFonts w:eastAsia="Arial Unicode MS" w:cs="Arial Unicode MS"/>
          <w:lang w:val="pt-PT"/>
        </w:rPr>
        <w:t>idan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hodnoty, ve znění pozdějších předpisů (dále jen „</w:t>
      </w:r>
      <w:r>
        <w:rPr>
          <w:rFonts w:eastAsia="Arial Unicode MS" w:cs="Arial Unicode MS"/>
          <w:b/>
          <w:bCs/>
        </w:rPr>
        <w:t>ZDPH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pt-PT"/>
        </w:rPr>
        <w:t>), a mus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  <w:lang w:val="it-IT"/>
        </w:rPr>
        <w:t>na n</w:t>
      </w:r>
      <w:r>
        <w:rPr>
          <w:rFonts w:eastAsia="Arial Unicode MS" w:cs="Arial Unicode MS"/>
        </w:rPr>
        <w:t>í být uvedeno: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identifikační údaje Kupující</w:t>
      </w:r>
      <w:r>
        <w:rPr>
          <w:rFonts w:eastAsia="Arial Unicode MS" w:cs="Arial Unicode MS"/>
          <w:lang w:val="pt-PT"/>
        </w:rPr>
        <w:t>ho a Prod</w:t>
      </w:r>
      <w:r>
        <w:rPr>
          <w:rFonts w:eastAsia="Arial Unicode MS" w:cs="Arial Unicode MS"/>
        </w:rPr>
        <w:t>ávajícího včetně bankovního spojení;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číslo Objednávky Kupujícího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  <w:lang w:val="it-IT"/>
        </w:rPr>
        <w:t>eviden</w:t>
      </w:r>
      <w:r>
        <w:rPr>
          <w:rFonts w:eastAsia="Arial Unicode MS" w:cs="Arial Unicode MS"/>
        </w:rPr>
        <w:t>ční číslo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dokladu;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  <w:lang w:val="it-IT"/>
        </w:rPr>
        <w:t>eviden</w:t>
      </w:r>
      <w:r>
        <w:rPr>
          <w:rFonts w:eastAsia="Arial Unicode MS" w:cs="Arial Unicode MS"/>
        </w:rPr>
        <w:t>ční číslo veřejn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zakázky dle Věstníku veřejných zakázek a není-li takové číslo, pak číslo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dle číslování Kupující</w:t>
      </w:r>
      <w:r>
        <w:rPr>
          <w:rFonts w:eastAsia="Arial Unicode MS" w:cs="Arial Unicode MS"/>
          <w:lang w:val="it-IT"/>
        </w:rPr>
        <w:t>ho;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specifikace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a množství;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datum uskutečnění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datum splatnosti;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(bez DPH, včetně DPH, sazba a výše DPH);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u regulovaný</w:t>
      </w:r>
      <w:r>
        <w:rPr>
          <w:rFonts w:eastAsia="Arial Unicode MS" w:cs="Arial Unicode MS"/>
          <w:lang w:val="de-DE"/>
        </w:rPr>
        <w:t>ch l</w:t>
      </w:r>
      <w:r>
        <w:rPr>
          <w:rFonts w:eastAsia="Arial Unicode MS" w:cs="Arial Unicode MS"/>
        </w:rPr>
        <w:t>éčivých přípravků jednotkovou cenu původce;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celková fakturovaná částka (bez DPH, včetně DPH);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údaje o k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dech SÚ</w:t>
      </w:r>
      <w:r>
        <w:rPr>
          <w:rFonts w:eastAsia="Arial Unicode MS" w:cs="Arial Unicode MS"/>
          <w:lang w:val="nl-NL"/>
        </w:rPr>
        <w:t>KL;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u zdravotnick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materiálu třídy bezpečnosti;</w:t>
      </w:r>
    </w:p>
    <w:p w:rsidR="00400242" w:rsidRDefault="009E14A6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u zdravotnick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materiálu, diagnostik a labochemikálií katalogová čísla.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Platby budou probí</w:t>
      </w:r>
      <w:r>
        <w:rPr>
          <w:rFonts w:eastAsia="Arial Unicode MS" w:cs="Arial Unicode MS"/>
          <w:lang w:val="en-US"/>
        </w:rPr>
        <w:t>hat v</w:t>
      </w:r>
      <w:r>
        <w:rPr>
          <w:rFonts w:eastAsia="Arial Unicode MS" w:cs="Arial Unicode MS"/>
        </w:rPr>
        <w:t>ýhradně v českých korunách a rovněž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cenové údaje budou na faktuře –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dokladu uvedeny v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en-US"/>
        </w:rPr>
        <w:t>to m</w:t>
      </w:r>
      <w:r>
        <w:rPr>
          <w:rFonts w:eastAsia="Arial Unicode MS" w:cs="Arial Unicode MS"/>
        </w:rPr>
        <w:t>ěně.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Obsahuje-li faktura – daňový doklad nesprávn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cenové údaje, nesprávn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datum splatnosti nebo jiný nesprávný údaj, případně některá náležitost absentuje, je Kupující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ji vrátit Prodávajícímu k přepracování či doplnění. V 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případě běží nová </w:t>
      </w:r>
      <w:r>
        <w:rPr>
          <w:rFonts w:eastAsia="Arial Unicode MS" w:cs="Arial Unicode MS"/>
          <w:lang w:val="pt-PT"/>
        </w:rPr>
        <w:t>lh</w:t>
      </w:r>
      <w:r>
        <w:rPr>
          <w:rFonts w:eastAsia="Arial Unicode MS" w:cs="Arial Unicode MS"/>
        </w:rPr>
        <w:t>ůta splatnosti ode dne doručení opraven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faktury Kupujícímu.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Úhrada Kupní ceny bude provedena bezhotovostním převodem z bankovního účtu Kupujícího na bankovní úč</w:t>
      </w:r>
      <w:r>
        <w:rPr>
          <w:rFonts w:eastAsia="Arial Unicode MS" w:cs="Arial Unicode MS"/>
          <w:lang w:val="nl-NL"/>
        </w:rPr>
        <w:t xml:space="preserve">et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ávajícího uvedený v záhlaví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Dnem úhrady se rozumí den odepsání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šné částky z bankovního účtu Kupující</w:t>
      </w:r>
      <w:r>
        <w:rPr>
          <w:rFonts w:eastAsia="Arial Unicode MS" w:cs="Arial Unicode MS"/>
          <w:lang w:val="sv-SE"/>
        </w:rPr>
        <w:t>ho, leda</w:t>
      </w:r>
      <w:r>
        <w:rPr>
          <w:rFonts w:eastAsia="Arial Unicode MS" w:cs="Arial Unicode MS"/>
        </w:rPr>
        <w:t>že se smluvní strany dohodnou jinak.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 případě, že v okamžiku uskutečnění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plnění bude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zapsán v registru plá</w:t>
      </w:r>
      <w:r>
        <w:rPr>
          <w:rFonts w:eastAsia="Arial Unicode MS" w:cs="Arial Unicode MS"/>
          <w:lang w:val="en-US"/>
        </w:rPr>
        <w:t>tc</w:t>
      </w:r>
      <w:r>
        <w:rPr>
          <w:rFonts w:eastAsia="Arial Unicode MS" w:cs="Arial Unicode MS"/>
        </w:rPr>
        <w:t>ů daně z př</w:t>
      </w:r>
      <w:r>
        <w:rPr>
          <w:rFonts w:eastAsia="Arial Unicode MS" w:cs="Arial Unicode MS"/>
          <w:lang w:val="pt-PT"/>
        </w:rPr>
        <w:t>idan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hodnoty jako nespolehlivý plátce, případně budou naplněny další podmínky § 109 ZDPH, má Kupující právo uhradit za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ávajícího DPH z tohoto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plnění, aniž by byl vyzván jako ručitel správcem daně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ávajícího, a to postupem dle § 109a ZDPH. Stejným způsobem bude postupováno, pokud Prodávající uvede ve smlouvě bankovní účet, který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>í uveden v registru plá</w:t>
      </w:r>
      <w:r>
        <w:rPr>
          <w:rFonts w:eastAsia="Arial Unicode MS" w:cs="Arial Unicode MS"/>
          <w:lang w:val="en-US"/>
        </w:rPr>
        <w:t>tc</w:t>
      </w:r>
      <w:r>
        <w:rPr>
          <w:rFonts w:eastAsia="Arial Unicode MS" w:cs="Arial Unicode MS"/>
        </w:rPr>
        <w:t>ů daně z př</w:t>
      </w:r>
      <w:r>
        <w:rPr>
          <w:rFonts w:eastAsia="Arial Unicode MS" w:cs="Arial Unicode MS"/>
          <w:lang w:val="pt-PT"/>
        </w:rPr>
        <w:t>idan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hodnoty nebo bude evidován jako nespolehlivá osoba.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Pokud Kupující uhradí částku ve výši DPH na účet správce daně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ávajícího a zbývající část Kupní ceny (tj. relevantní část bez DPH)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ávajícímu, považuje se jeho závazek uhradit Kupní cenu plnění </w:t>
      </w:r>
      <w:r>
        <w:rPr>
          <w:rFonts w:eastAsia="Arial Unicode MS" w:cs="Arial Unicode MS"/>
          <w:lang w:val="it-IT"/>
        </w:rPr>
        <w:t xml:space="preserve">za </w:t>
      </w:r>
      <w:r>
        <w:rPr>
          <w:rFonts w:eastAsia="Arial Unicode MS" w:cs="Arial Unicode MS"/>
        </w:rPr>
        <w:t>řádně splněný. Dnem úhrady se rozumí den odepsání poslední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šné částky z bankovního účtu Kupujícího.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je oprávněn postoupit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peněžit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pohledávky za Kupujícím výhradně </w:t>
      </w:r>
      <w:r>
        <w:rPr>
          <w:rFonts w:eastAsia="Arial Unicode MS" w:cs="Arial Unicode MS"/>
          <w:lang w:val="it-IT"/>
        </w:rPr>
        <w:t>po p</w:t>
      </w:r>
      <w:r>
        <w:rPr>
          <w:rFonts w:eastAsia="Arial Unicode MS" w:cs="Arial Unicode MS"/>
        </w:rPr>
        <w:t>ředchozím písemn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souhlasu Kupujícího, jinak je postoupení vůči Kupujícímu neúčinn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je oprávněn započítat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peněžit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pohledávky za Kupujícím výhradně na základě písemn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dohody obou smluvních stran, jinak je započtení pohledávek neplatn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.</w:t>
      </w:r>
    </w:p>
    <w:p w:rsidR="00400242" w:rsidRDefault="00400242">
      <w:pPr>
        <w:rPr>
          <w:b/>
          <w:bCs/>
        </w:rPr>
      </w:pPr>
    </w:p>
    <w:p w:rsidR="00400242" w:rsidRDefault="009E14A6">
      <w:pPr>
        <w:pStyle w:val="Nadpis1"/>
        <w:numPr>
          <w:ilvl w:val="0"/>
          <w:numId w:val="2"/>
        </w:numPr>
      </w:pPr>
      <w:r>
        <w:t>Kvalita zboží a odpovědnost za vady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je povinen dodat Zboží Kupujícímu v množství, jakosti a provedení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Zadávací dokumentace a podle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se zavazuje, že v okamžiku převodu vlastnick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práva ke Zboží nebudou na Zboží váznout žádná práva třetích osob, a to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předkupní právo nebo zástavní prá</w:t>
      </w:r>
      <w:r>
        <w:rPr>
          <w:rFonts w:eastAsia="Arial Unicode MS" w:cs="Arial Unicode MS"/>
          <w:lang w:val="it-IT"/>
        </w:rPr>
        <w:t>vo.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prohlašuje, že dodan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Zboží je způsobil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k užití v souladu s jeho určením a odpovídá všem požadavkům obecně závazných právních předpisů,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 zákona č. 378/2007 Sb., o léčivech, ve znění pozdějších předpisů, a souvisejících předpisů prováděcích, a že je bez vad faktických i právních.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poskytuje záruku za jakost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Zboží po celou dobu jeho použitelnosti, která musí od okamžiku dodání Zboží Kupujícímu činit </w:t>
      </w:r>
      <w:r>
        <w:rPr>
          <w:rFonts w:eastAsia="Arial Unicode MS" w:cs="Arial Unicode MS"/>
          <w:b/>
          <w:bCs/>
        </w:rPr>
        <w:t xml:space="preserve">minimálně </w:t>
      </w:r>
      <w:r>
        <w:rPr>
          <w:rFonts w:eastAsia="Arial Unicode MS" w:cs="Arial Unicode MS"/>
        </w:rPr>
        <w:t>6 měsíců (dále též jen „</w:t>
      </w:r>
      <w:r>
        <w:rPr>
          <w:rFonts w:eastAsia="Arial Unicode MS" w:cs="Arial Unicode MS"/>
          <w:b/>
          <w:bCs/>
        </w:rPr>
        <w:t>Záruční doba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de-DE"/>
        </w:rPr>
        <w:t>). Prod</w:t>
      </w:r>
      <w:r>
        <w:rPr>
          <w:rFonts w:eastAsia="Arial Unicode MS" w:cs="Arial Unicode MS"/>
        </w:rPr>
        <w:t xml:space="preserve">ávající </w:t>
      </w:r>
      <w:r>
        <w:rPr>
          <w:rFonts w:eastAsia="Arial Unicode MS" w:cs="Arial Unicode MS"/>
          <w:lang w:val="nl-NL"/>
        </w:rPr>
        <w:t>se v</w:t>
      </w:r>
      <w:r>
        <w:rPr>
          <w:rFonts w:eastAsia="Arial Unicode MS" w:cs="Arial Unicode MS"/>
        </w:rPr>
        <w:t> rámci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záruky zavazuje, že Zboží bude po celou Záruční dobu způsobil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 obvyklý účel a že si zachová obvykl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vlastnosti. Prodávající je povinen Kupujícího neprodleně informovat o případných zjištěný</w:t>
      </w:r>
      <w:r>
        <w:rPr>
          <w:rFonts w:eastAsia="Arial Unicode MS" w:cs="Arial Unicode MS"/>
          <w:lang w:val="sv-SE"/>
        </w:rPr>
        <w:t>ch vad</w:t>
      </w:r>
      <w:r>
        <w:rPr>
          <w:rFonts w:eastAsia="Arial Unicode MS" w:cs="Arial Unicode MS"/>
        </w:rPr>
        <w:t>ách již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Kupující je povinen případn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vady Zboží písemně ozná</w:t>
      </w:r>
      <w:r>
        <w:rPr>
          <w:rFonts w:eastAsia="Arial Unicode MS" w:cs="Arial Unicode MS"/>
          <w:lang w:val="de-DE"/>
        </w:rPr>
        <w:t>mit Prod</w:t>
      </w:r>
      <w:r>
        <w:rPr>
          <w:rFonts w:eastAsia="Arial Unicode MS" w:cs="Arial Unicode MS"/>
        </w:rPr>
        <w:t>ávajícímu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jejich zjištění a uplatnit svůj požadavek na jejich odstranění.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Má-li Zboží vady jakosti, je Prodávající povinen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odkladu, nejpozději však do 48 h po oznámení vad Kupujícím dodat Kupujícímu náhradní Zboží za Zboží vadn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nebo vrátit Kupujícímu cenu vadn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Zboží. Volba nároku náleží Kupujícímu.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Kupující je oprávněn vedle nároků z vad zboží uplatňovat i 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nároky související s dodáním vadn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zboží (např. nárok na náhradu škody).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Nadpis1"/>
        <w:numPr>
          <w:ilvl w:val="0"/>
          <w:numId w:val="2"/>
        </w:numPr>
      </w:pPr>
      <w:r>
        <w:t>Sankce a odstoupení od smlouvy</w:t>
      </w:r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se zavazuje nahradit Kupujícímu veškerou újmu, která mu vznikne v případě, kdy třetí osoba úspěšně uplatní autorskoprávní nebo jiný nárok vyplývající z právní vady Zboží nebo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 jeho části.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Bude-li Prodávající v prodlení s dodáním Zboží řádně a vč</w:t>
      </w:r>
      <w:r>
        <w:rPr>
          <w:rFonts w:eastAsia="Arial Unicode MS" w:cs="Arial Unicode MS"/>
          <w:lang w:val="pt-PT"/>
        </w:rPr>
        <w:t>as, m</w:t>
      </w:r>
      <w:r>
        <w:rPr>
          <w:rFonts w:eastAsia="Arial Unicode MS" w:cs="Arial Unicode MS"/>
        </w:rPr>
        <w:t xml:space="preserve">á Kupující nárok na smluvní pokutu ve výši 0,2 % z finančního objemu Objednávky, jíž se prodlení týká, včetně DPH, a to za každý započatý den prodlení.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 případě třetího (a každ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ho dal</w:t>
      </w:r>
      <w:r>
        <w:rPr>
          <w:rFonts w:eastAsia="Arial Unicode MS" w:cs="Arial Unicode MS"/>
        </w:rPr>
        <w:t>ší</w:t>
      </w:r>
      <w:r>
        <w:rPr>
          <w:rFonts w:eastAsia="Arial Unicode MS" w:cs="Arial Unicode MS"/>
          <w:lang w:val="it-IT"/>
        </w:rPr>
        <w:t>ho) p</w:t>
      </w:r>
      <w:r>
        <w:rPr>
          <w:rFonts w:eastAsia="Arial Unicode MS" w:cs="Arial Unicode MS"/>
        </w:rPr>
        <w:t xml:space="preserve">ředložení Defektního listu v rámci jednoho kalendářního čtvrtletí </w:t>
      </w:r>
      <w:r>
        <w:rPr>
          <w:rFonts w:eastAsia="Arial Unicode MS" w:cs="Arial Unicode MS"/>
          <w:lang w:val="de-DE"/>
        </w:rPr>
        <w:t>se Prod</w:t>
      </w:r>
      <w:r>
        <w:rPr>
          <w:rFonts w:eastAsia="Arial Unicode MS" w:cs="Arial Unicode MS"/>
        </w:rPr>
        <w:t>ávající zavazuje uhradit Kupujícímu smluvní pokutu ve výši 10.000 Kč.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V případě prodlení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ávajícího s vyřízením reklamace se Prodávající zavazuje uhradit Kupujícímu smluvní pokutu ve výši 1.000 Kč za každý započatý den prodlení.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Uplatněná či již uhrazená smluvní pokuta nemá vliv na uplatnění nároku Kupujícího na náhradu škody, kterou lze vymáhat samostatně vedle smluvní pokuty v cel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rozsahu, tj. částka smluvní pokuty se do výše náhrady škody nezapočítává. Zaplacením smluvní pokuty není </w:t>
      </w:r>
      <w:r>
        <w:rPr>
          <w:rFonts w:eastAsia="Arial Unicode MS" w:cs="Arial Unicode MS"/>
          <w:lang w:val="it-IT"/>
        </w:rPr>
        <w:t>dot</w:t>
      </w:r>
      <w:r>
        <w:rPr>
          <w:rFonts w:eastAsia="Arial Unicode MS" w:cs="Arial Unicode MS"/>
        </w:rPr>
        <w:t>čena povinnost Prodávajícího splnit závazky vyplývající z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Splatnost smluvních pokut je 21 kalendářních dnů </w:t>
      </w:r>
      <w:r>
        <w:rPr>
          <w:rFonts w:eastAsia="Arial Unicode MS" w:cs="Arial Unicode MS"/>
          <w:lang w:val="pt-PT"/>
        </w:rPr>
        <w:t>po doru</w:t>
      </w:r>
      <w:r>
        <w:rPr>
          <w:rFonts w:eastAsia="Arial Unicode MS" w:cs="Arial Unicode MS"/>
        </w:rPr>
        <w:t>čení oznámení o uložení smluvní pokuty Prodávajícímu. Kupující si vyhrazuje právo na určení způsobu úhrady smluvní pokuty, a to i formou zápočtu proti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splatn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pohledávce Prodávajícího za Kupujícím.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Za podstatn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porušení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opravňuje Kupujícího k odstoupení </w:t>
      </w:r>
      <w:r>
        <w:rPr>
          <w:rFonts w:eastAsia="Arial Unicode MS" w:cs="Arial Unicode MS"/>
          <w:lang w:val="en-US"/>
        </w:rPr>
        <w:t>od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smlouvy, se považuje prodlení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ávajícího se splněním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 jeho povinnosti sjednan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smlouvě </w:t>
      </w:r>
      <w:r>
        <w:rPr>
          <w:rFonts w:eastAsia="Arial Unicode MS" w:cs="Arial Unicode MS"/>
          <w:lang w:val="it-IT"/>
        </w:rPr>
        <w:t>del</w:t>
      </w:r>
      <w:r>
        <w:rPr>
          <w:rFonts w:eastAsia="Arial Unicode MS" w:cs="Arial Unicode MS"/>
        </w:rPr>
        <w:t>ší než třicet kalendářních dnů.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Nadpis1"/>
        <w:numPr>
          <w:ilvl w:val="0"/>
          <w:numId w:val="2"/>
        </w:numPr>
      </w:pPr>
      <w:r>
        <w:t>Závěrečná ujednání</w:t>
      </w:r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s ohledem na povinnosti Kupujícího vyplývající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ze zákona č. 340/2015 Sb., zákon o registru smluv, ve znění pozdějších předpisů (dále jen „</w:t>
      </w:r>
      <w:r>
        <w:rPr>
          <w:rFonts w:eastAsia="Arial Unicode MS" w:cs="Arial Unicode MS"/>
          <w:b/>
          <w:bCs/>
        </w:rPr>
        <w:t>zákon o registru smluv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souhlasí se zveřejněním veškerých informací týkajících se závazkov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vztahu založen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mezi Prodávajícím a Kupujícím touto smlouvou,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vlastního obsahu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Zveřejnění provede Kupující. Tato smlouva se však v registru smluv neuveřejní v rozsahu, ve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je její obsah obchodním tajemstvím.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Tato smlouva nabývá účinnosti </w:t>
      </w:r>
      <w:r>
        <w:rPr>
          <w:rFonts w:eastAsia="Arial Unicode MS" w:cs="Arial Unicode MS"/>
          <w:b/>
          <w:bCs/>
        </w:rPr>
        <w:t>desátý pracovní den po uveřejnění</w:t>
      </w:r>
      <w:r>
        <w:rPr>
          <w:rFonts w:eastAsia="Arial Unicode MS" w:cs="Arial Unicode MS"/>
        </w:rPr>
        <w:t xml:space="preserve"> v registru smluv podle zákona o registru smluv a je uzavřena </w:t>
      </w:r>
      <w:r>
        <w:rPr>
          <w:rFonts w:eastAsia="Arial Unicode MS" w:cs="Arial Unicode MS"/>
          <w:b/>
          <w:bCs/>
        </w:rPr>
        <w:t xml:space="preserve">na dobu 10 let </w:t>
      </w:r>
      <w:r>
        <w:rPr>
          <w:rFonts w:eastAsia="Arial Unicode MS" w:cs="Arial Unicode MS"/>
        </w:rPr>
        <w:t>od účinnosti smlouvy.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Smluvní strany jsou oprávněny tuto smlouvu kdykoli vypovědět, a to i bez udání důvodu. Výpovědní doba je 6 měsíců a počíná běžet dnem doručení výpovědi druh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smluvní straně. V první</w:t>
      </w:r>
      <w:r>
        <w:rPr>
          <w:rFonts w:eastAsia="Arial Unicode MS" w:cs="Arial Unicode MS"/>
          <w:lang w:val="en-US"/>
        </w:rPr>
        <w:t>ch t</w:t>
      </w:r>
      <w:r>
        <w:rPr>
          <w:rFonts w:eastAsia="Arial Unicode MS" w:cs="Arial Unicode MS"/>
        </w:rPr>
        <w:t>řech měsících od účinnosti smlouvy má Kupující právo smlouvu vypovědět s výpovědní dobou 14 dní, která počíná běžet dnem doručení výpově</w:t>
      </w:r>
      <w:r>
        <w:rPr>
          <w:rFonts w:eastAsia="Arial Unicode MS" w:cs="Arial Unicode MS"/>
          <w:lang w:val="it-IT"/>
        </w:rPr>
        <w:t>di Prod</w:t>
      </w:r>
      <w:r>
        <w:rPr>
          <w:rFonts w:eastAsia="Arial Unicode MS" w:cs="Arial Unicode MS"/>
        </w:rPr>
        <w:t>ávajícímu.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na sebe přebírá nebezpečí změny okolností dle § 1765 odst. 2 obč</w:t>
      </w:r>
      <w:r>
        <w:rPr>
          <w:rFonts w:eastAsia="Arial Unicode MS" w:cs="Arial Unicode MS"/>
          <w:lang w:val="da-DK"/>
        </w:rPr>
        <w:t>ansk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zákoníku. 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Ukončením účinnosti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z 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hokoli důvodu nejsou dotčena ujednání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týkající </w:t>
      </w:r>
      <w:r>
        <w:rPr>
          <w:rFonts w:eastAsia="Arial Unicode MS" w:cs="Arial Unicode MS"/>
          <w:lang w:val="fr-FR"/>
        </w:rPr>
        <w:t>se licence, z</w:t>
      </w:r>
      <w:r>
        <w:rPr>
          <w:rFonts w:eastAsia="Arial Unicode MS" w:cs="Arial Unicode MS"/>
        </w:rPr>
        <w:t>áruky, nároků z odpovědnosti za vady, nároky z odpovědnosti za újmu a nároky ze smluvních pokut, ani další ustanovení a nároky, z jejichž povahy vyplývá, že mají trvat i po skončení účinnosti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Osoby podepisující tuto smlouvu 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de-DE"/>
        </w:rPr>
        <w:t>nem Prod</w:t>
      </w:r>
      <w:r>
        <w:rPr>
          <w:rFonts w:eastAsia="Arial Unicode MS" w:cs="Arial Unicode MS"/>
        </w:rPr>
        <w:t>ávajícího prohlašují, že podle stanov společnosti, společensk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smlouvy nebo jin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obdobn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>ho organiza</w:t>
      </w:r>
      <w:r>
        <w:rPr>
          <w:rFonts w:eastAsia="Arial Unicode MS" w:cs="Arial Unicode MS"/>
        </w:rPr>
        <w:t>čního předpisu jsou oprávněny tuto smlouvu podepsat a k platnosti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není třeba podpisu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osoby.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 xml:space="preserve">ávající prohlašuje, že se nenachází v úpadku ve smyslu zákona </w:t>
      </w:r>
      <w:r>
        <w:rPr>
          <w:rFonts w:eastAsia="Arial Unicode MS" w:cs="Arial Unicode MS"/>
        </w:rPr>
        <w:br/>
        <w:t xml:space="preserve">č. 182/2006 Sb., o úpadku a způsobech jeho řešení </w:t>
      </w:r>
      <w:r>
        <w:rPr>
          <w:rFonts w:eastAsia="Arial Unicode MS" w:cs="Arial Unicode MS"/>
          <w:lang w:val="it-IT"/>
        </w:rPr>
        <w:t>(insolven</w:t>
      </w:r>
      <w:r>
        <w:rPr>
          <w:rFonts w:eastAsia="Arial Unicode MS" w:cs="Arial Unicode MS"/>
        </w:rPr>
        <w:t>ční zákon), ve znění pozdějších předpisů,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není předlužen a je schopen plnit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splatn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závazky, přičemž jeho hospodářská situace nevykazuje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známky hrozícího úpadku. Prodávající dále prohlašuje, že na jeho majetek nebyl prohlášen konkurs, ani mu nebyla povolena reorganizace, ani vůči němu není </w:t>
      </w:r>
      <w:r>
        <w:rPr>
          <w:rFonts w:eastAsia="Arial Unicode MS" w:cs="Arial Unicode MS"/>
          <w:lang w:val="it-IT"/>
        </w:rPr>
        <w:t>vedeno insolven</w:t>
      </w:r>
      <w:r>
        <w:rPr>
          <w:rFonts w:eastAsia="Arial Unicode MS" w:cs="Arial Unicode MS"/>
        </w:rPr>
        <w:t>ční řízení.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prohlašuje, že vůči němu není vedena exekuce a ani nemá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dluhy po splatnosti, jejichž splnění by mohlo být vymáháno v exekuci podle zákona č. 120/2001 Sb., o soudních exekutorech a exekuční činnosti (exekuční řád) a o změně </w:t>
      </w:r>
      <w:r>
        <w:rPr>
          <w:rFonts w:eastAsia="Arial Unicode MS" w:cs="Arial Unicode MS"/>
          <w:lang w:val="it-IT"/>
        </w:rPr>
        <w:t>dal</w:t>
      </w:r>
      <w:r>
        <w:rPr>
          <w:rFonts w:eastAsia="Arial Unicode MS" w:cs="Arial Unicode MS"/>
        </w:rPr>
        <w:t>ší</w:t>
      </w:r>
      <w:r>
        <w:rPr>
          <w:rFonts w:eastAsia="Arial Unicode MS" w:cs="Arial Unicode MS"/>
          <w:lang w:val="de-DE"/>
        </w:rPr>
        <w:t>ch z</w:t>
      </w:r>
      <w:r>
        <w:rPr>
          <w:rFonts w:eastAsia="Arial Unicode MS" w:cs="Arial Unicode MS"/>
        </w:rPr>
        <w:t>ákonů, ve znění pozdějších předpisů, ani vůči němu není veden výkon rozhodnutí a ani nemá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dluhy po splatnosti, jejichž splnění by mohlo být vymáháno ve výkonu rozhodnutí podle zákona č. 99/1963 Sb., obč</w:t>
      </w:r>
      <w:r>
        <w:rPr>
          <w:rFonts w:eastAsia="Arial Unicode MS" w:cs="Arial Unicode MS"/>
          <w:lang w:val="da-DK"/>
        </w:rPr>
        <w:t>ansk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soudního řádu, ve znění pozdějších předpisů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ákona č. 500/2004 Sb., správního řádu, ve znění pozdějších předpisů, či podle zákona č. 280/2009 Sb.,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řádu, ve znění pozdějších předpisů.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změny či doplňky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lze činit pouze formou písemný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 xml:space="preserve">číslovaných dodatků podepsaných oběma smluvními stranami. Odstoupení </w:t>
      </w:r>
      <w:r>
        <w:rPr>
          <w:rFonts w:eastAsia="Arial Unicode MS" w:cs="Arial Unicode MS"/>
          <w:lang w:val="en-US"/>
        </w:rPr>
        <w:t>od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lze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pouze písemnou formou. Kupující si jakožto Zadavatel Veřejn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zakázky v Zadávací dokumentaci vyhradil změny závazku z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Tato smlouva je sepsána ve třech vyhotoveních stejn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platnosti a závaznosti, přičemž </w:t>
      </w:r>
      <w:r>
        <w:rPr>
          <w:rFonts w:eastAsia="Arial Unicode MS" w:cs="Arial Unicode MS"/>
          <w:lang w:val="de-DE"/>
        </w:rPr>
        <w:t>Prod</w:t>
      </w:r>
      <w:r>
        <w:rPr>
          <w:rFonts w:eastAsia="Arial Unicode MS" w:cs="Arial Unicode MS"/>
        </w:rPr>
        <w:t>ávající obdrží jedno vyhotovení a Kupující obdrží dvě vyhotovení.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nl-NL"/>
        </w:rPr>
        <w:t>Ned</w:t>
      </w:r>
      <w:r>
        <w:rPr>
          <w:rFonts w:eastAsia="Arial Unicode MS" w:cs="Arial Unicode MS"/>
        </w:rPr>
        <w:t>ílnou součástí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jsou tyto její přílohy:</w:t>
      </w:r>
    </w:p>
    <w:p w:rsidR="00400242" w:rsidRDefault="009E14A6">
      <w:pPr>
        <w:pStyle w:val="Odstavecsmlouvy"/>
        <w:ind w:left="1416"/>
      </w:pPr>
      <w:r>
        <w:t>Příloha č. 1: Specifikace Zboží a jednotkov</w:t>
      </w:r>
      <w:r>
        <w:rPr>
          <w:lang w:val="fr-FR"/>
        </w:rPr>
        <w:t xml:space="preserve">é </w:t>
      </w:r>
      <w:r>
        <w:t>kupní ceny.</w:t>
      </w:r>
    </w:p>
    <w:p w:rsidR="00400242" w:rsidRDefault="00400242">
      <w:pPr>
        <w:pStyle w:val="Odstavecsmlouvy"/>
        <w:ind w:left="567"/>
      </w:pPr>
    </w:p>
    <w:p w:rsidR="00400242" w:rsidRDefault="009E14A6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Smluvní strany prohlašují, ž</w:t>
      </w:r>
      <w:r>
        <w:rPr>
          <w:rFonts w:eastAsia="Arial Unicode MS" w:cs="Arial Unicode MS"/>
          <w:lang w:val="es-ES_tradnl"/>
        </w:rPr>
        <w:t>e se d</w:t>
      </w:r>
      <w:r>
        <w:rPr>
          <w:rFonts w:eastAsia="Arial Unicode MS" w:cs="Arial Unicode MS"/>
        </w:rPr>
        <w:t>ůkladně sezná</w:t>
      </w:r>
      <w:r>
        <w:rPr>
          <w:rFonts w:eastAsia="Arial Unicode MS" w:cs="Arial Unicode MS"/>
          <w:lang w:val="en-US"/>
        </w:rPr>
        <w:t>mily s</w:t>
      </w:r>
      <w:r>
        <w:rPr>
          <w:rFonts w:eastAsia="Arial Unicode MS" w:cs="Arial Unicode MS"/>
        </w:rPr>
        <w:t> obsahem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zcela rozumí a plně vyjadřuje jejich svobodnou a vážnou vů</w:t>
      </w:r>
      <w:r>
        <w:rPr>
          <w:rFonts w:eastAsia="Arial Unicode MS" w:cs="Arial Unicode MS"/>
          <w:lang w:val="it-IT"/>
        </w:rPr>
        <w:t>li.</w:t>
      </w:r>
    </w:p>
    <w:p w:rsidR="00400242" w:rsidRDefault="00400242">
      <w:pPr>
        <w:pStyle w:val="Odstavecsmlouvy"/>
        <w:ind w:left="567"/>
      </w:pPr>
    </w:p>
    <w:tbl>
      <w:tblPr>
        <w:tblStyle w:val="TableNormal"/>
        <w:tblW w:w="10074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9"/>
        <w:gridCol w:w="1212"/>
        <w:gridCol w:w="4503"/>
      </w:tblGrid>
      <w:tr w:rsidR="00400242">
        <w:trPr>
          <w:trHeight w:val="23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9E14A6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left"/>
            </w:pPr>
            <w:r>
              <w:rPr>
                <w:sz w:val="22"/>
                <w:szCs w:val="22"/>
              </w:rPr>
              <w:t>V Brně dne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400242"/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9E14A6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</w:pPr>
            <w:r>
              <w:rPr>
                <w:sz w:val="22"/>
                <w:szCs w:val="22"/>
              </w:rPr>
              <w:t>V Brně dne</w:t>
            </w:r>
          </w:p>
        </w:tc>
      </w:tr>
      <w:tr w:rsidR="00400242">
        <w:trPr>
          <w:trHeight w:val="1358"/>
        </w:trPr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400242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00242" w:rsidRDefault="00400242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00242" w:rsidRDefault="00400242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00242" w:rsidRDefault="00400242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400242"/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400242"/>
        </w:tc>
      </w:tr>
      <w:tr w:rsidR="00400242">
        <w:trPr>
          <w:trHeight w:val="798"/>
        </w:trPr>
        <w:tc>
          <w:tcPr>
            <w:tcW w:w="4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A6" w:rsidRPr="009E14A6" w:rsidRDefault="009E14A6" w:rsidP="009E14A6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E14A6">
              <w:rPr>
                <w:b/>
                <w:sz w:val="23"/>
                <w:szCs w:val="23"/>
              </w:rPr>
              <w:t>DN FORMED Brno s.r.o.</w:t>
            </w:r>
          </w:p>
          <w:p w:rsidR="00400242" w:rsidRPr="009E14A6" w:rsidRDefault="009E14A6">
            <w:pPr>
              <w:spacing w:line="240" w:lineRule="auto"/>
              <w:jc w:val="left"/>
              <w:rPr>
                <w:rFonts w:eastAsia="Arial" w:cs="Arial"/>
                <w:sz w:val="23"/>
                <w:szCs w:val="23"/>
              </w:rPr>
            </w:pPr>
            <w:r w:rsidRPr="009E14A6">
              <w:rPr>
                <w:sz w:val="23"/>
                <w:szCs w:val="23"/>
              </w:rPr>
              <w:t xml:space="preserve">                   Bc. Jiří Bartoněk</w:t>
            </w:r>
          </w:p>
          <w:p w:rsidR="00400242" w:rsidRPr="009E14A6" w:rsidRDefault="009E14A6">
            <w:pPr>
              <w:spacing w:line="240" w:lineRule="auto"/>
              <w:jc w:val="center"/>
            </w:pPr>
            <w:r>
              <w:rPr>
                <w:sz w:val="23"/>
                <w:szCs w:val="23"/>
              </w:rPr>
              <w:t>j</w:t>
            </w:r>
            <w:r w:rsidRPr="009E14A6">
              <w:rPr>
                <w:sz w:val="23"/>
                <w:szCs w:val="23"/>
              </w:rPr>
              <w:t>ednatel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400242"/>
        </w:tc>
        <w:tc>
          <w:tcPr>
            <w:tcW w:w="4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242" w:rsidRDefault="009E14A6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Fakultní nemocnice Brno</w:t>
            </w:r>
          </w:p>
          <w:p w:rsidR="009E14A6" w:rsidRDefault="009E14A6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Jaroslav Štěrba, Ph.D.</w:t>
            </w:r>
          </w:p>
          <w:p w:rsidR="00400242" w:rsidRDefault="009E14A6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center"/>
            </w:pPr>
            <w:r>
              <w:rPr>
                <w:sz w:val="22"/>
                <w:szCs w:val="22"/>
              </w:rPr>
              <w:t xml:space="preserve"> ředitel</w:t>
            </w:r>
          </w:p>
        </w:tc>
      </w:tr>
    </w:tbl>
    <w:p w:rsidR="00400242" w:rsidRDefault="00400242">
      <w:pPr>
        <w:pStyle w:val="Odstavecsmlouvy"/>
        <w:widowControl w:val="0"/>
        <w:ind w:left="11" w:hanging="11"/>
      </w:pPr>
    </w:p>
    <w:p w:rsidR="00400242" w:rsidRDefault="00400242"/>
    <w:p w:rsidR="00400242" w:rsidRDefault="009E14A6">
      <w:pPr>
        <w:jc w:val="center"/>
      </w:pPr>
      <w:r>
        <w:rPr>
          <w:rFonts w:ascii="Arial Unicode MS" w:hAnsi="Arial Unicode MS"/>
        </w:rPr>
        <w:br w:type="page"/>
      </w:r>
    </w:p>
    <w:p w:rsidR="00400242" w:rsidRDefault="009E14A6">
      <w:pPr>
        <w:jc w:val="center"/>
        <w:rPr>
          <w:b/>
          <w:bCs/>
        </w:rPr>
      </w:pPr>
      <w:r>
        <w:rPr>
          <w:b/>
          <w:bCs/>
        </w:rPr>
        <w:lastRenderedPageBreak/>
        <w:t>PŘÍ</w:t>
      </w:r>
      <w:r>
        <w:rPr>
          <w:b/>
          <w:bCs/>
          <w:lang w:val="de-DE"/>
        </w:rPr>
        <w:t xml:space="preserve">LOHA </w:t>
      </w:r>
      <w:r>
        <w:rPr>
          <w:b/>
          <w:bCs/>
        </w:rPr>
        <w:t>Č. 1</w:t>
      </w:r>
    </w:p>
    <w:p w:rsidR="00400242" w:rsidRDefault="00400242">
      <w:pPr>
        <w:jc w:val="center"/>
        <w:rPr>
          <w:b/>
          <w:bCs/>
        </w:rPr>
      </w:pPr>
    </w:p>
    <w:p w:rsidR="00400242" w:rsidRDefault="009E14A6">
      <w:pPr>
        <w:jc w:val="center"/>
        <w:rPr>
          <w:b/>
          <w:bCs/>
        </w:rPr>
      </w:pPr>
      <w:r>
        <w:rPr>
          <w:b/>
          <w:bCs/>
        </w:rPr>
        <w:t>Specifikace Zboží a jednotkov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kupní ceny</w:t>
      </w:r>
    </w:p>
    <w:p w:rsidR="00400242" w:rsidRDefault="00400242">
      <w:pPr>
        <w:rPr>
          <w:b/>
          <w:bCs/>
        </w:rPr>
      </w:pPr>
    </w:p>
    <w:p w:rsidR="00400242" w:rsidRDefault="004002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eastAsia="Tahoma" w:hAnsi="Tahoma" w:cs="Tahoma"/>
          <w:sz w:val="21"/>
          <w:szCs w:val="21"/>
          <w:shd w:val="clear" w:color="auto" w:fill="FFFF00"/>
        </w:rPr>
      </w:pPr>
    </w:p>
    <w:p w:rsidR="00400242" w:rsidRDefault="004002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eastAsia="Tahoma" w:hAnsi="Tahoma" w:cs="Tahoma"/>
          <w:sz w:val="21"/>
          <w:szCs w:val="21"/>
          <w:shd w:val="clear" w:color="auto" w:fill="FFFF00"/>
        </w:rPr>
      </w:pPr>
    </w:p>
    <w:tbl>
      <w:tblPr>
        <w:tblStyle w:val="TableNormal"/>
        <w:tblW w:w="10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6"/>
        <w:gridCol w:w="3457"/>
        <w:gridCol w:w="1145"/>
        <w:gridCol w:w="776"/>
        <w:gridCol w:w="1424"/>
        <w:gridCol w:w="1516"/>
        <w:gridCol w:w="590"/>
      </w:tblGrid>
      <w:tr w:rsidR="00400242">
        <w:trPr>
          <w:trHeight w:val="540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Kód</w:t>
            </w: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Název zboží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Množství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MJ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Cena/MJ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Celkem</w:t>
            </w:r>
          </w:p>
          <w:p w:rsidR="00400242" w:rsidRDefault="009E14A6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0242" w:rsidRDefault="009E14A6">
            <w:pPr>
              <w:suppressAutoHyphens/>
              <w:spacing w:line="240" w:lineRule="auto"/>
              <w:jc w:val="right"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DPH</w:t>
            </w:r>
          </w:p>
        </w:tc>
      </w:tr>
    </w:tbl>
    <w:p w:rsidR="00400242" w:rsidRDefault="004002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eastAsia="Tahoma" w:hAnsi="Tahoma" w:cs="Tahoma"/>
          <w:sz w:val="21"/>
          <w:szCs w:val="21"/>
          <w:shd w:val="clear" w:color="auto" w:fill="FFFF00"/>
        </w:rPr>
      </w:pPr>
    </w:p>
    <w:tbl>
      <w:tblPr>
        <w:tblStyle w:val="TableNormal"/>
        <w:tblW w:w="10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6"/>
        <w:gridCol w:w="3457"/>
        <w:gridCol w:w="1145"/>
        <w:gridCol w:w="776"/>
        <w:gridCol w:w="1424"/>
        <w:gridCol w:w="1516"/>
        <w:gridCol w:w="590"/>
      </w:tblGrid>
      <w:tr w:rsidR="00400242">
        <w:trPr>
          <w:trHeight w:val="459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EISL-027</w:t>
            </w: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PVC Rukávec - 300 mm průměr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240,00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ks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6 897,00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1 655 280,00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21 %</w:t>
            </w:r>
          </w:p>
        </w:tc>
      </w:tr>
    </w:tbl>
    <w:p w:rsidR="00400242" w:rsidRDefault="004002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eastAsia="Tahoma" w:hAnsi="Tahoma" w:cs="Tahoma"/>
          <w:sz w:val="21"/>
          <w:szCs w:val="21"/>
          <w:shd w:val="clear" w:color="auto" w:fill="FFFF00"/>
        </w:rPr>
      </w:pPr>
    </w:p>
    <w:tbl>
      <w:tblPr>
        <w:tblStyle w:val="TableNormal"/>
        <w:tblW w:w="10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6"/>
        <w:gridCol w:w="3457"/>
        <w:gridCol w:w="1145"/>
        <w:gridCol w:w="776"/>
        <w:gridCol w:w="1424"/>
        <w:gridCol w:w="1516"/>
        <w:gridCol w:w="590"/>
      </w:tblGrid>
      <w:tr w:rsidR="00400242">
        <w:trPr>
          <w:trHeight w:val="459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EHPA-043</w:t>
            </w: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Hlavní HEPA filtr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4,00</w:t>
            </w:r>
          </w:p>
        </w:tc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ks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34 913,00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tabs>
                <w:tab w:val="left" w:pos="720"/>
                <w:tab w:val="left" w:pos="144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139 652,00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42" w:rsidRDefault="009E14A6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21 %</w:t>
            </w:r>
          </w:p>
        </w:tc>
      </w:tr>
    </w:tbl>
    <w:p w:rsidR="00400242" w:rsidRDefault="0040024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400242">
      <w:footerReference w:type="default" r:id="rId7"/>
      <w:headerReference w:type="first" r:id="rId8"/>
      <w:footerReference w:type="first" r:id="rId9"/>
      <w:pgSz w:w="11900" w:h="16840"/>
      <w:pgMar w:top="1417" w:right="926" w:bottom="1417" w:left="900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D7" w:rsidRDefault="009E14A6">
      <w:pPr>
        <w:spacing w:line="240" w:lineRule="auto"/>
      </w:pPr>
      <w:r>
        <w:separator/>
      </w:r>
    </w:p>
  </w:endnote>
  <w:endnote w:type="continuationSeparator" w:id="0">
    <w:p w:rsidR="00DC12D7" w:rsidRDefault="009E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42" w:rsidRDefault="009E14A6">
    <w:pPr>
      <w:pStyle w:val="Zpat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03BA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42" w:rsidRDefault="009E14A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03B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D7" w:rsidRDefault="009E14A6">
      <w:pPr>
        <w:spacing w:line="240" w:lineRule="auto"/>
      </w:pPr>
      <w:r>
        <w:separator/>
      </w:r>
    </w:p>
  </w:footnote>
  <w:footnote w:type="continuationSeparator" w:id="0">
    <w:p w:rsidR="00DC12D7" w:rsidRDefault="009E1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42" w:rsidRPr="009E14A6" w:rsidRDefault="009E14A6" w:rsidP="009E14A6">
    <w:pPr>
      <w:pStyle w:val="Zhlavazpat"/>
      <w:ind w:left="7513"/>
      <w:rPr>
        <w:rFonts w:ascii="Arial" w:hAnsi="Arial" w:cs="Arial"/>
        <w:sz w:val="20"/>
        <w:szCs w:val="20"/>
      </w:rPr>
    </w:pPr>
    <w:r w:rsidRPr="009E14A6">
      <w:rPr>
        <w:rFonts w:ascii="Arial" w:hAnsi="Arial" w:cs="Arial"/>
        <w:sz w:val="20"/>
        <w:szCs w:val="20"/>
      </w:rPr>
      <w:t>FN Brno</w:t>
    </w:r>
  </w:p>
  <w:p w:rsidR="009E14A6" w:rsidRPr="009E14A6" w:rsidRDefault="009E14A6" w:rsidP="009E14A6">
    <w:pPr>
      <w:pStyle w:val="Zhlavazpat"/>
      <w:ind w:left="7513"/>
      <w:rPr>
        <w:rFonts w:ascii="Arial" w:hAnsi="Arial" w:cs="Arial"/>
        <w:sz w:val="20"/>
        <w:szCs w:val="20"/>
      </w:rPr>
    </w:pPr>
    <w:r w:rsidRPr="009E14A6">
      <w:rPr>
        <w:rFonts w:ascii="Arial" w:hAnsi="Arial" w:cs="Arial"/>
        <w:sz w:val="20"/>
        <w:szCs w:val="20"/>
      </w:rPr>
      <w:t>Smlouva č. KP/1201/2021/Kl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E47"/>
    <w:multiLevelType w:val="multilevel"/>
    <w:tmpl w:val="4D8E9384"/>
    <w:numStyleLink w:val="Importovanstyl1"/>
  </w:abstractNum>
  <w:abstractNum w:abstractNumId="1" w15:restartNumberingAfterBreak="0">
    <w:nsid w:val="5E3E432A"/>
    <w:multiLevelType w:val="multilevel"/>
    <w:tmpl w:val="4D8E9384"/>
    <w:styleLink w:val="Importovanstyl1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141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138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858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578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298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018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38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2"/>
    <w:rsid w:val="00203BA8"/>
    <w:rsid w:val="00400242"/>
    <w:rsid w:val="009E14A6"/>
    <w:rsid w:val="00A56FC2"/>
    <w:rsid w:val="00D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352F-2801-4392-AFBF-70808261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280" w:lineRule="atLeast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spacing w:line="280" w:lineRule="atLeast"/>
      <w:ind w:left="598" w:hanging="598"/>
      <w:jc w:val="center"/>
      <w:outlineLvl w:val="0"/>
    </w:pPr>
    <w:rPr>
      <w:rFonts w:ascii="Arial" w:hAnsi="Arial" w:cs="Arial Unicode MS"/>
      <w:b/>
      <w:bCs/>
      <w:caps/>
      <w:color w:val="000000"/>
      <w:sz w:val="22"/>
      <w:szCs w:val="22"/>
      <w:u w:color="000000"/>
    </w:rPr>
  </w:style>
  <w:style w:type="paragraph" w:styleId="Nadpis3">
    <w:name w:val="heading 3"/>
    <w:next w:val="Normln"/>
    <w:pPr>
      <w:spacing w:line="280" w:lineRule="atLeast"/>
      <w:ind w:left="598" w:hanging="598"/>
      <w:jc w:val="center"/>
      <w:outlineLvl w:val="2"/>
    </w:pPr>
    <w:rPr>
      <w:rFonts w:ascii="Arial" w:eastAsia="Arial" w:hAnsi="Arial" w:cs="Arial"/>
      <w:b/>
      <w:bCs/>
      <w:caps/>
      <w:color w:val="000000"/>
      <w:sz w:val="22"/>
      <w:szCs w:val="22"/>
      <w:u w:color="000000"/>
    </w:rPr>
  </w:style>
  <w:style w:type="paragraph" w:styleId="Nadpis4">
    <w:name w:val="heading 4"/>
    <w:next w:val="Normln"/>
    <w:pPr>
      <w:keepNext/>
      <w:spacing w:before="480" w:line="280" w:lineRule="atLeast"/>
      <w:jc w:val="both"/>
      <w:outlineLvl w:val="3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0" w:lineRule="atLeast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Odstavecsmlouvy">
    <w:name w:val="Odstavec smlouvy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Psmenoodstavce">
    <w:name w:val="Písmeno odstavce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Zkladntext3">
    <w:name w:val="Body Text 3"/>
    <w:pPr>
      <w:spacing w:line="280" w:lineRule="atLeast"/>
      <w:jc w:val="both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customStyle="1" w:styleId="slovn">
    <w:name w:val="číslování"/>
    <w:pPr>
      <w:tabs>
        <w:tab w:val="left" w:pos="1647"/>
      </w:tabs>
      <w:spacing w:after="60"/>
      <w:jc w:val="both"/>
    </w:pPr>
    <w:rPr>
      <w:rFonts w:ascii="Arial" w:hAnsi="Arial" w:cs="Arial Unicode MS"/>
      <w:color w:val="000000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E14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4A6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3309</Words>
  <Characters>19527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Kaldová Petra</dc:creator>
  <cp:lastModifiedBy>Láníčková Kateřina</cp:lastModifiedBy>
  <cp:revision>2</cp:revision>
  <dcterms:created xsi:type="dcterms:W3CDTF">2021-06-07T07:09:00Z</dcterms:created>
  <dcterms:modified xsi:type="dcterms:W3CDTF">2021-06-07T07:09:00Z</dcterms:modified>
</cp:coreProperties>
</file>