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BE" w:rsidRDefault="001152BE">
      <w:pPr>
        <w:pStyle w:val="Nadpis1"/>
        <w:rPr>
          <w:sz w:val="24"/>
          <w:szCs w:val="24"/>
        </w:rPr>
      </w:pPr>
    </w:p>
    <w:p w:rsidR="008560E1" w:rsidRPr="00417A55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 w:rsidRPr="006C5227">
        <w:rPr>
          <w:rFonts w:asciiTheme="minorHAnsi" w:hAnsiTheme="minorHAnsi"/>
          <w:sz w:val="20"/>
          <w:szCs w:val="24"/>
        </w:rPr>
        <w:t xml:space="preserve">Příloha </w:t>
      </w:r>
      <w:proofErr w:type="gramStart"/>
      <w:r w:rsidRPr="006C5227">
        <w:rPr>
          <w:rFonts w:asciiTheme="minorHAnsi" w:hAnsiTheme="minorHAnsi"/>
          <w:sz w:val="20"/>
          <w:szCs w:val="24"/>
        </w:rPr>
        <w:t>č. 2</w:t>
      </w:r>
      <w:r>
        <w:rPr>
          <w:rFonts w:asciiTheme="minorHAnsi" w:hAnsiTheme="minorHAnsi"/>
          <w:sz w:val="24"/>
          <w:szCs w:val="24"/>
        </w:rPr>
        <w:tab/>
      </w:r>
      <w:r w:rsidR="0069637D">
        <w:rPr>
          <w:rFonts w:asciiTheme="minorHAnsi" w:hAnsiTheme="minorHAnsi"/>
          <w:sz w:val="24"/>
          <w:szCs w:val="24"/>
        </w:rPr>
        <w:t>Kupní</w:t>
      </w:r>
      <w:proofErr w:type="gramEnd"/>
      <w:r w:rsidR="008560E1" w:rsidRPr="00417A55">
        <w:rPr>
          <w:rFonts w:asciiTheme="minorHAnsi" w:hAnsiTheme="minorHAnsi"/>
          <w:sz w:val="24"/>
          <w:szCs w:val="24"/>
        </w:rPr>
        <w:t xml:space="preserve"> smlouv</w:t>
      </w:r>
      <w:r w:rsidR="00320059" w:rsidRPr="00417A55">
        <w:rPr>
          <w:rFonts w:asciiTheme="minorHAnsi" w:hAnsiTheme="minorHAnsi"/>
          <w:sz w:val="24"/>
          <w:szCs w:val="24"/>
        </w:rPr>
        <w:t xml:space="preserve">a na nákup </w:t>
      </w:r>
      <w:r w:rsidR="00646A08">
        <w:rPr>
          <w:rFonts w:asciiTheme="minorHAnsi" w:hAnsiTheme="minorHAnsi"/>
          <w:sz w:val="24"/>
          <w:szCs w:val="24"/>
        </w:rPr>
        <w:t>myčky č. KS</w:t>
      </w:r>
      <w:r w:rsidR="00AC121C">
        <w:rPr>
          <w:rFonts w:asciiTheme="minorHAnsi" w:hAnsiTheme="minorHAnsi"/>
          <w:sz w:val="24"/>
          <w:szCs w:val="24"/>
        </w:rPr>
        <w:t>/0</w:t>
      </w:r>
      <w:r w:rsidR="00646A08">
        <w:rPr>
          <w:rFonts w:asciiTheme="minorHAnsi" w:hAnsiTheme="minorHAnsi"/>
          <w:sz w:val="24"/>
          <w:szCs w:val="24"/>
        </w:rPr>
        <w:t>1</w:t>
      </w:r>
      <w:r w:rsidR="00AC121C">
        <w:rPr>
          <w:rFonts w:asciiTheme="minorHAnsi" w:hAnsiTheme="minorHAnsi"/>
          <w:sz w:val="24"/>
          <w:szCs w:val="24"/>
        </w:rPr>
        <w:t>/2021</w:t>
      </w:r>
      <w:r w:rsidR="007709B5" w:rsidRPr="00417A55">
        <w:rPr>
          <w:rFonts w:asciiTheme="minorHAnsi" w:hAnsiTheme="minorHAnsi"/>
          <w:sz w:val="24"/>
          <w:szCs w:val="24"/>
        </w:rPr>
        <w:t xml:space="preserve"> 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8560E1" w:rsidRDefault="008560E1">
      <w:pPr>
        <w:autoSpaceDE w:val="0"/>
        <w:autoSpaceDN w:val="0"/>
        <w:adjustRightInd w:val="0"/>
        <w:rPr>
          <w:rFonts w:cs="Arial"/>
          <w:color w:val="000000"/>
        </w:rPr>
      </w:pP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294BA8">
        <w:trPr>
          <w:trHeight w:val="176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294BA8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EUNET GASTRO s.r.o.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294BA8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Skalky 1231/21, 741 01 Nový Jičín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294BA8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07891903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294BA8" w:rsidRPr="00880ECE" w:rsidRDefault="00294BA8" w:rsidP="00294BA8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CZ07891903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417DE" w:rsidRDefault="00445D3E" w:rsidP="00445D3E">
      <w:pPr>
        <w:pStyle w:val="Zpat"/>
        <w:keepNext/>
        <w:jc w:val="both"/>
        <w:rPr>
          <w:rFonts w:ascii="Calibri" w:hAnsi="Calibri" w:cs="Calibri"/>
          <w:snapToGrid w:val="0"/>
        </w:rPr>
      </w:pP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proofErr w:type="gramStart"/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 </w:t>
      </w:r>
      <w:r w:rsidR="0069637D">
        <w:rPr>
          <w:rFonts w:asciiTheme="minorHAnsi" w:hAnsiTheme="minorHAnsi"/>
          <w:b/>
        </w:rPr>
        <w:t>Kupní</w:t>
      </w:r>
      <w:proofErr w:type="gramEnd"/>
      <w:r w:rsidR="00850B04" w:rsidRPr="00850B04">
        <w:rPr>
          <w:rFonts w:asciiTheme="minorHAnsi" w:hAnsiTheme="minorHAnsi"/>
          <w:b/>
        </w:rPr>
        <w:t xml:space="preserve"> smlouvu</w:t>
      </w:r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45D3E" w:rsidRPr="00352D1D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realizace veřejné zakázky s názvem </w:t>
      </w:r>
      <w:r w:rsidR="00AC121C">
        <w:rPr>
          <w:rFonts w:asciiTheme="minorHAnsi" w:hAnsiTheme="minorHAnsi"/>
          <w:b/>
        </w:rPr>
        <w:t>„Nákup myčky</w:t>
      </w:r>
      <w:r w:rsidRPr="00445D3E">
        <w:rPr>
          <w:rFonts w:asciiTheme="minorHAnsi" w:hAnsiTheme="minorHAnsi"/>
          <w:b/>
        </w:rPr>
        <w:t>“</w:t>
      </w:r>
      <w:r w:rsidRPr="00352D1D">
        <w:rPr>
          <w:rFonts w:ascii="Calibri" w:hAnsi="Calibri" w:cs="Calibri"/>
        </w:rPr>
        <w:t xml:space="preserve"> (dále jen „Zboží“</w:t>
      </w:r>
      <w:r w:rsidR="00352D1D" w:rsidRPr="00352D1D">
        <w:rPr>
          <w:rFonts w:ascii="Calibri" w:hAnsi="Calibri" w:cs="Calibri"/>
        </w:rPr>
        <w:t>.)</w:t>
      </w:r>
    </w:p>
    <w:p w:rsidR="00445D3E" w:rsidRPr="00445D3E" w:rsidRDefault="00445D3E" w:rsidP="00352D1D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výzvy -  </w:t>
      </w:r>
      <w:r w:rsidRPr="00445D3E">
        <w:rPr>
          <w:rFonts w:ascii="Calibri" w:hAnsi="Calibri" w:cs="Calibri"/>
        </w:rPr>
        <w:t xml:space="preserve">Specifikace předmětu </w:t>
      </w:r>
      <w:proofErr w:type="gramStart"/>
      <w:r w:rsidRPr="00445D3E">
        <w:rPr>
          <w:rFonts w:ascii="Calibri" w:hAnsi="Calibri" w:cs="Calibri"/>
        </w:rPr>
        <w:t xml:space="preserve">zakázky, </w:t>
      </w:r>
      <w:r>
        <w:rPr>
          <w:rFonts w:ascii="Calibri" w:hAnsi="Calibri" w:cs="Calibri"/>
        </w:rPr>
        <w:t xml:space="preserve">    </w:t>
      </w:r>
      <w:r w:rsidRPr="00445D3E">
        <w:rPr>
          <w:rFonts w:ascii="Calibri" w:hAnsi="Calibri" w:cs="Calibri"/>
        </w:rPr>
        <w:t>část</w:t>
      </w:r>
      <w:proofErr w:type="gramEnd"/>
      <w:r w:rsidR="00DA6E08">
        <w:rPr>
          <w:rFonts w:ascii="Calibri" w:hAnsi="Calibri" w:cs="Calibri"/>
        </w:rPr>
        <w:t>,</w:t>
      </w:r>
      <w:r w:rsidRPr="00445D3E">
        <w:rPr>
          <w:rFonts w:ascii="Calibri" w:hAnsi="Calibri" w:cs="Calibri"/>
        </w:rPr>
        <w:t xml:space="preserve"> která je zároveň součástí nabídky prodávajícího.</w:t>
      </w:r>
    </w:p>
    <w:p w:rsidR="00417A55" w:rsidRPr="00417A55" w:rsidRDefault="00417A55" w:rsidP="00417A55">
      <w:pPr>
        <w:pStyle w:val="Zkladntext"/>
        <w:numPr>
          <w:ilvl w:val="1"/>
          <w:numId w:val="1"/>
        </w:numPr>
        <w:tabs>
          <w:tab w:val="clear" w:pos="435"/>
          <w:tab w:val="num" w:pos="709"/>
        </w:tabs>
        <w:ind w:left="709" w:hanging="709"/>
        <w:rPr>
          <w:rFonts w:asciiTheme="minorHAnsi" w:hAnsiTheme="minorHAnsi"/>
        </w:rPr>
      </w:pPr>
      <w:r w:rsidRPr="00417A55">
        <w:rPr>
          <w:rFonts w:asciiTheme="minorHAnsi" w:hAnsiTheme="minorHAnsi"/>
        </w:rPr>
        <w:t>Touto smlouvou se dodavatel zavazuje, že objednateli dodá zboží dle zadávací dokumentace.</w:t>
      </w:r>
    </w:p>
    <w:p w:rsidR="00445D3E" w:rsidRDefault="00417A55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17A55">
        <w:rPr>
          <w:rFonts w:asciiTheme="minorHAnsi" w:hAnsiTheme="minorHAnsi" w:cs="Arial"/>
        </w:rPr>
        <w:t>Poskytovatel je po celou dobu účinnosti této Smlouvy vázán svoji nabídkou podanou ve veřejné zakázce, na jejímž základě je uzavírána tato Smlouva (dále jen „nabídka uchazeče“).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</w:t>
      </w:r>
      <w:r w:rsidRPr="001D1E6A">
        <w:rPr>
          <w:rFonts w:ascii="Calibri" w:hAnsi="Calibri" w:cs="Calibri"/>
        </w:rPr>
        <w:lastRenderedPageBreak/>
        <w:t xml:space="preserve">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900D2B" w:rsidRDefault="001D1E6A" w:rsidP="00417A5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Termín </w:t>
      </w:r>
      <w:r w:rsidRPr="005C60B2">
        <w:rPr>
          <w:rFonts w:ascii="Calibri" w:hAnsi="Calibri" w:cs="Calibri"/>
        </w:rPr>
        <w:t xml:space="preserve">plnění je </w:t>
      </w:r>
      <w:r w:rsidR="00900D2B" w:rsidRPr="00900D2B">
        <w:rPr>
          <w:rFonts w:ascii="Calibri" w:hAnsi="Calibri" w:cs="Calibri"/>
        </w:rPr>
        <w:t>1</w:t>
      </w:r>
      <w:r w:rsidR="00410774" w:rsidRPr="00900D2B">
        <w:rPr>
          <w:rFonts w:ascii="Calibri" w:hAnsi="Calibri" w:cs="Calibri"/>
        </w:rPr>
        <w:t xml:space="preserve">. </w:t>
      </w:r>
      <w:r w:rsidR="00900D2B" w:rsidRPr="00900D2B">
        <w:rPr>
          <w:rFonts w:ascii="Calibri" w:hAnsi="Calibri" w:cs="Calibri"/>
        </w:rPr>
        <w:t>7</w:t>
      </w:r>
      <w:r w:rsidR="00410774" w:rsidRPr="00900D2B">
        <w:rPr>
          <w:rFonts w:ascii="Calibri" w:hAnsi="Calibri" w:cs="Calibri"/>
        </w:rPr>
        <w:t>. 202</w:t>
      </w:r>
      <w:r w:rsidR="00900D2B" w:rsidRPr="00900D2B">
        <w:rPr>
          <w:rFonts w:ascii="Calibri" w:hAnsi="Calibri" w:cs="Calibri"/>
        </w:rPr>
        <w:t>1</w:t>
      </w:r>
      <w:r w:rsidRPr="00900D2B">
        <w:rPr>
          <w:rFonts w:ascii="Calibri" w:hAnsi="Calibri" w:cs="Calibri"/>
        </w:rPr>
        <w:t xml:space="preserve"> – </w:t>
      </w:r>
      <w:r w:rsidR="00900D2B" w:rsidRPr="00900D2B">
        <w:rPr>
          <w:rFonts w:ascii="Calibri" w:hAnsi="Calibri" w:cs="Calibri"/>
        </w:rPr>
        <w:t>1</w:t>
      </w:r>
      <w:r w:rsidRPr="00900D2B">
        <w:rPr>
          <w:rFonts w:ascii="Calibri" w:hAnsi="Calibri" w:cs="Calibri"/>
        </w:rPr>
        <w:t>3. 8. 20</w:t>
      </w:r>
      <w:r w:rsidR="00410774" w:rsidRPr="00900D2B">
        <w:rPr>
          <w:rFonts w:ascii="Calibri" w:hAnsi="Calibri" w:cs="Calibri"/>
        </w:rPr>
        <w:t>2</w:t>
      </w:r>
      <w:r w:rsidR="00900D2B" w:rsidRPr="00900D2B">
        <w:rPr>
          <w:rFonts w:ascii="Calibri" w:hAnsi="Calibri" w:cs="Calibri"/>
        </w:rPr>
        <w:t>1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P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 xml:space="preserve">Cena plnění byla sjednána podle cenové nabídky, kterou zpracoval v rámci </w:t>
      </w:r>
      <w:proofErr w:type="gramStart"/>
      <w:r w:rsidRPr="00417A55">
        <w:rPr>
          <w:rFonts w:asciiTheme="minorHAnsi" w:hAnsiTheme="minorHAnsi" w:cs="Arial"/>
        </w:rPr>
        <w:t xml:space="preserve">shora </w:t>
      </w:r>
      <w:r>
        <w:rPr>
          <w:rFonts w:asciiTheme="minorHAnsi" w:hAnsiTheme="minorHAnsi" w:cs="Arial"/>
        </w:rPr>
        <w:t xml:space="preserve">  </w:t>
      </w:r>
      <w:r w:rsidRPr="00417A55">
        <w:rPr>
          <w:rFonts w:asciiTheme="minorHAnsi" w:hAnsiTheme="minorHAnsi" w:cs="Arial"/>
        </w:rPr>
        <w:t>citované</w:t>
      </w:r>
      <w:proofErr w:type="gramEnd"/>
      <w:r w:rsidRPr="00417A55">
        <w:rPr>
          <w:rFonts w:asciiTheme="minorHAnsi" w:hAnsiTheme="minorHAnsi" w:cs="Arial"/>
        </w:rPr>
        <w:t xml:space="preserve"> veřejné zakázky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p w:rsidR="00C75258" w:rsidRPr="00417A55" w:rsidRDefault="00C75258" w:rsidP="00C75258">
      <w:pPr>
        <w:tabs>
          <w:tab w:val="left" w:pos="709"/>
        </w:tabs>
        <w:spacing w:after="120"/>
        <w:rPr>
          <w:rFonts w:asciiTheme="minorHAnsi" w:hAnsiTheme="minorHAnsi" w:cs="Arial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C75258" w:rsidRPr="004B638E" w:rsidTr="00C75258">
        <w:trPr>
          <w:trHeight w:val="340"/>
        </w:trPr>
        <w:tc>
          <w:tcPr>
            <w:tcW w:w="2195" w:type="dxa"/>
            <w:shd w:val="clear" w:color="auto" w:fill="C6D9F1"/>
            <w:vAlign w:val="center"/>
          </w:tcPr>
          <w:p w:rsidR="00C75258" w:rsidRPr="00CE5B1F" w:rsidRDefault="00C75258" w:rsidP="00CE5B1F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 xml:space="preserve">Cena za </w:t>
            </w:r>
            <w:r w:rsidR="00CE5B1F">
              <w:rPr>
                <w:rFonts w:asciiTheme="minorHAnsi" w:hAnsiTheme="minorHAnsi" w:cs="Arial"/>
              </w:rPr>
              <w:t>dodávku</w:t>
            </w:r>
            <w:r w:rsidRPr="00CE5B1F">
              <w:rPr>
                <w:rFonts w:asciiTheme="minorHAnsi" w:hAnsiTheme="minorHAnsi" w:cs="Arial"/>
              </w:rPr>
              <w:t xml:space="preserve"> v Kč</w:t>
            </w:r>
          </w:p>
        </w:tc>
        <w:tc>
          <w:tcPr>
            <w:tcW w:w="2303" w:type="dxa"/>
            <w:shd w:val="clear" w:color="auto" w:fill="C6D9F1"/>
            <w:vAlign w:val="center"/>
          </w:tcPr>
          <w:p w:rsidR="00C75258" w:rsidRPr="00CE5B1F" w:rsidRDefault="00C75258" w:rsidP="00E25BB4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:rsidR="00C75258" w:rsidRPr="00CE5B1F" w:rsidRDefault="00C75258" w:rsidP="00E25BB4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Základní sazba 21%</w:t>
            </w:r>
          </w:p>
        </w:tc>
        <w:tc>
          <w:tcPr>
            <w:tcW w:w="2303" w:type="dxa"/>
            <w:shd w:val="clear" w:color="auto" w:fill="C6D9F1"/>
            <w:vAlign w:val="center"/>
          </w:tcPr>
          <w:p w:rsidR="00C75258" w:rsidRPr="00CE5B1F" w:rsidRDefault="00C75258" w:rsidP="00E25BB4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:rsidR="00C75258" w:rsidRPr="00CE5B1F" w:rsidRDefault="00C75258" w:rsidP="00E25BB4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Základní sazba 15%</w:t>
            </w:r>
          </w:p>
        </w:tc>
        <w:tc>
          <w:tcPr>
            <w:tcW w:w="2130" w:type="dxa"/>
            <w:shd w:val="clear" w:color="auto" w:fill="C6D9F1"/>
            <w:vAlign w:val="center"/>
          </w:tcPr>
          <w:p w:rsidR="00C75258" w:rsidRPr="00CE5B1F" w:rsidRDefault="00C75258" w:rsidP="00E25BB4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Celkem</w:t>
            </w:r>
          </w:p>
        </w:tc>
      </w:tr>
      <w:tr w:rsidR="00294BA8" w:rsidRPr="004B638E" w:rsidTr="00C75258">
        <w:tc>
          <w:tcPr>
            <w:tcW w:w="2195" w:type="dxa"/>
            <w:shd w:val="clear" w:color="auto" w:fill="auto"/>
          </w:tcPr>
          <w:p w:rsidR="00294BA8" w:rsidRPr="00CE5B1F" w:rsidRDefault="00294BA8" w:rsidP="00E25BB4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2303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264 460,00</w:t>
            </w:r>
          </w:p>
        </w:tc>
        <w:tc>
          <w:tcPr>
            <w:tcW w:w="2303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2130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264 460,00</w:t>
            </w:r>
          </w:p>
        </w:tc>
      </w:tr>
      <w:tr w:rsidR="00294BA8" w:rsidRPr="004B638E" w:rsidTr="00C75258">
        <w:tc>
          <w:tcPr>
            <w:tcW w:w="2195" w:type="dxa"/>
            <w:shd w:val="clear" w:color="auto" w:fill="auto"/>
          </w:tcPr>
          <w:p w:rsidR="00294BA8" w:rsidRPr="00CE5B1F" w:rsidRDefault="00294BA8" w:rsidP="00E25BB4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DPH</w:t>
            </w:r>
          </w:p>
        </w:tc>
        <w:tc>
          <w:tcPr>
            <w:tcW w:w="2303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55 537,00</w:t>
            </w:r>
          </w:p>
        </w:tc>
        <w:tc>
          <w:tcPr>
            <w:tcW w:w="2303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2130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55 537,00</w:t>
            </w:r>
          </w:p>
        </w:tc>
      </w:tr>
      <w:tr w:rsidR="00294BA8" w:rsidRPr="004B638E" w:rsidTr="00C75258">
        <w:tc>
          <w:tcPr>
            <w:tcW w:w="2195" w:type="dxa"/>
            <w:shd w:val="clear" w:color="auto" w:fill="auto"/>
          </w:tcPr>
          <w:p w:rsidR="00294BA8" w:rsidRPr="00CE5B1F" w:rsidRDefault="00294BA8" w:rsidP="00E25BB4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vč. DPH</w:t>
            </w:r>
          </w:p>
        </w:tc>
        <w:tc>
          <w:tcPr>
            <w:tcW w:w="2303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319 997,00</w:t>
            </w:r>
          </w:p>
        </w:tc>
        <w:tc>
          <w:tcPr>
            <w:tcW w:w="2303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2130" w:type="dxa"/>
            <w:shd w:val="clear" w:color="auto" w:fill="auto"/>
          </w:tcPr>
          <w:p w:rsidR="00294BA8" w:rsidRPr="00CE5B1F" w:rsidRDefault="00294BA8" w:rsidP="00294BA8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319 997,00</w:t>
            </w:r>
          </w:p>
        </w:tc>
      </w:tr>
    </w:tbl>
    <w:p w:rsidR="00417A55" w:rsidRP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faktury. Cena za plnění bude fakturována do 15 dnů ode dne plnění. Doba splatnosti faktury bude činit 30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  <w:r w:rsidRPr="00417A5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k</w:t>
      </w:r>
      <w:r w:rsidR="00F61B35" w:rsidRPr="00F61B3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ZD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1 měsíce od sjednaného data dodání, může kupující odstoupit od kupní smlouvy a závazků z ní vyplývajících. </w:t>
      </w:r>
    </w:p>
    <w:p w:rsidR="0069637D" w:rsidRDefault="0069637D" w:rsidP="0069637D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color w:val="000000"/>
        </w:rPr>
      </w:pPr>
    </w:p>
    <w:p w:rsidR="0069637D" w:rsidRPr="0069637D" w:rsidRDefault="0069637D" w:rsidP="0069637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5.3</w:t>
      </w:r>
      <w:r>
        <w:rPr>
          <w:rFonts w:asciiTheme="minorHAnsi" w:hAnsiTheme="minorHAnsi" w:cs="Arial"/>
          <w:color w:val="000000"/>
        </w:rPr>
        <w:tab/>
      </w:r>
      <w:r w:rsidRPr="0069637D">
        <w:rPr>
          <w:rFonts w:asciiTheme="minorHAnsi" w:hAnsiTheme="minorHAnsi" w:cs="Arial"/>
          <w:color w:val="000000"/>
        </w:rPr>
        <w:t>Záruka na zboží je 2 roky.</w:t>
      </w: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Tato </w:t>
      </w:r>
      <w:r w:rsidR="0069637D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rámcové smlouvy se řídí platnými právními normami České republiky.</w:t>
      </w:r>
    </w:p>
    <w:p w:rsidR="00417A55" w:rsidRPr="00417A55" w:rsidRDefault="0069637D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69637D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rámcové smlouvě podepsaných oběma smluvními stranami.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b/>
          <w:bCs/>
        </w:rPr>
      </w:pPr>
      <w:r w:rsidRPr="00417A55">
        <w:rPr>
          <w:rFonts w:asciiTheme="minorHAnsi" w:hAnsiTheme="minorHAnsi" w:cs="Arial"/>
        </w:rPr>
        <w:t>Vztahy neupravené touto smlouvou se řídí zákonem č. 513/1991 Sb., Obchodní zákoník, v platném znění.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69637D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Nedílnou součástí smlouvy je Příloha </w:t>
      </w:r>
      <w:proofErr w:type="gramStart"/>
      <w:r w:rsidRPr="009C217C">
        <w:rPr>
          <w:rFonts w:asciiTheme="minorHAnsi" w:hAnsiTheme="minorHAnsi"/>
        </w:rPr>
        <w:t>č. 1 –  Specifikace</w:t>
      </w:r>
      <w:proofErr w:type="gramEnd"/>
      <w:r w:rsidRPr="009C217C">
        <w:rPr>
          <w:rFonts w:asciiTheme="minorHAnsi" w:hAnsiTheme="minorHAnsi"/>
        </w:rPr>
        <w:t xml:space="preserve"> (rozpis cenové nabídky)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je vyhotovena ve 2 stejnopisech, z nichž objednatel obdrží 1 stejnopisy a zhotovitel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 w:rsidRPr="009C217C">
        <w:rPr>
          <w:rFonts w:asciiTheme="minorHAnsi" w:hAnsiTheme="minorHAnsi"/>
        </w:rPr>
        <w:t>metadata</w:t>
      </w:r>
      <w:proofErr w:type="spellEnd"/>
      <w:r w:rsidRPr="009C217C">
        <w:rPr>
          <w:rFonts w:asciiTheme="minorHAnsi" w:hAnsiTheme="minorHAnsi"/>
        </w:rPr>
        <w:t xml:space="preserve">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 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1977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>V</w:t>
      </w:r>
      <w:r w:rsidR="00AC121C">
        <w:rPr>
          <w:rFonts w:asciiTheme="minorHAnsi" w:hAnsiTheme="minorHAnsi" w:cs="Arial"/>
          <w:color w:val="000000"/>
        </w:rPr>
        <w:t> …………..</w:t>
      </w:r>
      <w:r w:rsidR="00417A55">
        <w:rPr>
          <w:rFonts w:asciiTheme="minorHAnsi" w:hAnsiTheme="minorHAnsi" w:cs="Arial"/>
          <w:color w:val="000000"/>
        </w:rPr>
        <w:t xml:space="preserve"> </w:t>
      </w:r>
      <w:r w:rsidR="00AC121C">
        <w:rPr>
          <w:rFonts w:asciiTheme="minorHAnsi" w:hAnsiTheme="minorHAnsi" w:cs="Arial"/>
          <w:color w:val="000000"/>
        </w:rPr>
        <w:t>dne….</w:t>
      </w:r>
      <w:r w:rsidR="00AC121C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C75258">
        <w:rPr>
          <w:rFonts w:asciiTheme="minorHAnsi" w:hAnsiTheme="minorHAnsi" w:cs="Arial"/>
          <w:color w:val="000000"/>
        </w:rPr>
        <w:t xml:space="preserve">            </w:t>
      </w:r>
      <w:r w:rsidRPr="0063225D">
        <w:rPr>
          <w:rFonts w:asciiTheme="minorHAnsi" w:hAnsiTheme="minorHAnsi" w:cs="Arial"/>
          <w:color w:val="000000"/>
        </w:rPr>
        <w:t>V</w:t>
      </w:r>
      <w:r w:rsidR="00AC121C">
        <w:rPr>
          <w:rFonts w:asciiTheme="minorHAnsi" w:hAnsiTheme="minorHAnsi" w:cs="Arial"/>
          <w:color w:val="000000"/>
        </w:rPr>
        <w:t xml:space="preserve"> Novém Jičíně </w:t>
      </w:r>
      <w:r w:rsidRPr="0063225D">
        <w:rPr>
          <w:rFonts w:asciiTheme="minorHAnsi" w:hAnsiTheme="minorHAnsi" w:cs="Arial"/>
          <w:color w:val="000000"/>
        </w:rPr>
        <w:t>dne</w:t>
      </w:r>
      <w:r w:rsidR="00853FF2">
        <w:rPr>
          <w:rFonts w:asciiTheme="minorHAnsi" w:hAnsiTheme="minorHAnsi" w:cs="Arial"/>
          <w:color w:val="000000"/>
        </w:rPr>
        <w:t xml:space="preserve"> 31</w:t>
      </w:r>
      <w:r w:rsidR="00AC121C">
        <w:rPr>
          <w:rFonts w:asciiTheme="minorHAnsi" w:hAnsiTheme="minorHAnsi" w:cs="Arial"/>
          <w:color w:val="000000"/>
        </w:rPr>
        <w:t>.5.2021</w:t>
      </w: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9902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337D21" w:rsidRPr="0063225D" w:rsidRDefault="0063225D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B8" w:rsidRDefault="006A0BB8">
      <w:r>
        <w:separator/>
      </w:r>
    </w:p>
  </w:endnote>
  <w:endnote w:type="continuationSeparator" w:id="0">
    <w:p w:rsidR="006A0BB8" w:rsidRDefault="006A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37D21" w:rsidRPr="0063225D" w:rsidRDefault="00FD677F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="00337D21"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1C1EEB">
          <w:rPr>
            <w:rFonts w:asciiTheme="minorHAnsi" w:hAnsiTheme="minorHAnsi"/>
            <w:noProof/>
            <w:sz w:val="20"/>
          </w:rPr>
          <w:t>3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337D21" w:rsidRDefault="0033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B8" w:rsidRDefault="006A0BB8">
      <w:r>
        <w:separator/>
      </w:r>
    </w:p>
  </w:footnote>
  <w:footnote w:type="continuationSeparator" w:id="0">
    <w:p w:rsidR="006A0BB8" w:rsidRDefault="006A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1" w:rsidRDefault="001152BE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D2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105A19"/>
    <w:rsid w:val="001152BE"/>
    <w:rsid w:val="00122262"/>
    <w:rsid w:val="001415F9"/>
    <w:rsid w:val="00145D0A"/>
    <w:rsid w:val="001753FF"/>
    <w:rsid w:val="001768AA"/>
    <w:rsid w:val="001879DB"/>
    <w:rsid w:val="00191A85"/>
    <w:rsid w:val="0019778D"/>
    <w:rsid w:val="001B358D"/>
    <w:rsid w:val="001C1A5F"/>
    <w:rsid w:val="001C1EEB"/>
    <w:rsid w:val="001D1E6A"/>
    <w:rsid w:val="001F37DC"/>
    <w:rsid w:val="0022087F"/>
    <w:rsid w:val="00234C64"/>
    <w:rsid w:val="00236614"/>
    <w:rsid w:val="00252FE7"/>
    <w:rsid w:val="00264964"/>
    <w:rsid w:val="00291665"/>
    <w:rsid w:val="00294BA8"/>
    <w:rsid w:val="002C168A"/>
    <w:rsid w:val="002C4FA9"/>
    <w:rsid w:val="002C70CB"/>
    <w:rsid w:val="002C7BBC"/>
    <w:rsid w:val="002D228F"/>
    <w:rsid w:val="002E1267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7A55"/>
    <w:rsid w:val="0042040A"/>
    <w:rsid w:val="004306D1"/>
    <w:rsid w:val="004401EF"/>
    <w:rsid w:val="00445D3E"/>
    <w:rsid w:val="00454692"/>
    <w:rsid w:val="00457EC9"/>
    <w:rsid w:val="004718BD"/>
    <w:rsid w:val="004B3993"/>
    <w:rsid w:val="004B6CAD"/>
    <w:rsid w:val="004C197F"/>
    <w:rsid w:val="004C36D7"/>
    <w:rsid w:val="004C7549"/>
    <w:rsid w:val="004D4962"/>
    <w:rsid w:val="00516086"/>
    <w:rsid w:val="00526350"/>
    <w:rsid w:val="00555938"/>
    <w:rsid w:val="00557830"/>
    <w:rsid w:val="00563CD6"/>
    <w:rsid w:val="0058780E"/>
    <w:rsid w:val="005A1FE5"/>
    <w:rsid w:val="005F2B0F"/>
    <w:rsid w:val="005F4A7A"/>
    <w:rsid w:val="00606795"/>
    <w:rsid w:val="006167A6"/>
    <w:rsid w:val="00631C6E"/>
    <w:rsid w:val="0063225D"/>
    <w:rsid w:val="006353A4"/>
    <w:rsid w:val="00637D66"/>
    <w:rsid w:val="00646807"/>
    <w:rsid w:val="00646A08"/>
    <w:rsid w:val="006662E3"/>
    <w:rsid w:val="0067142A"/>
    <w:rsid w:val="0069631F"/>
    <w:rsid w:val="0069637D"/>
    <w:rsid w:val="006A0BB8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D6163"/>
    <w:rsid w:val="007E4821"/>
    <w:rsid w:val="008167CE"/>
    <w:rsid w:val="00850B04"/>
    <w:rsid w:val="00853FF2"/>
    <w:rsid w:val="008560E1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F7003"/>
    <w:rsid w:val="00900D2B"/>
    <w:rsid w:val="009043CB"/>
    <w:rsid w:val="00907784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A021A7"/>
    <w:rsid w:val="00A10474"/>
    <w:rsid w:val="00A55C36"/>
    <w:rsid w:val="00A96B02"/>
    <w:rsid w:val="00AA75E6"/>
    <w:rsid w:val="00AB09FC"/>
    <w:rsid w:val="00AC121C"/>
    <w:rsid w:val="00AF05A8"/>
    <w:rsid w:val="00AF1EB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5258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3D85"/>
    <w:rsid w:val="00DA6E08"/>
    <w:rsid w:val="00DB02BD"/>
    <w:rsid w:val="00DB366A"/>
    <w:rsid w:val="00DC1A0B"/>
    <w:rsid w:val="00DD05C7"/>
    <w:rsid w:val="00DE44CB"/>
    <w:rsid w:val="00DF29F7"/>
    <w:rsid w:val="00DF65FC"/>
    <w:rsid w:val="00DF6746"/>
    <w:rsid w:val="00E10A13"/>
    <w:rsid w:val="00E13E8F"/>
    <w:rsid w:val="00E20C42"/>
    <w:rsid w:val="00E37BDF"/>
    <w:rsid w:val="00E7596D"/>
    <w:rsid w:val="00E7633E"/>
    <w:rsid w:val="00E766F1"/>
    <w:rsid w:val="00EA4B23"/>
    <w:rsid w:val="00EE62A3"/>
    <w:rsid w:val="00EF5E05"/>
    <w:rsid w:val="00F170F3"/>
    <w:rsid w:val="00F31150"/>
    <w:rsid w:val="00F332A2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D67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A42F73D7</Template>
  <TotalTime>15</TotalTime>
  <Pages>3</Pages>
  <Words>928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8</cp:revision>
  <cp:lastPrinted>2018-06-27T12:49:00Z</cp:lastPrinted>
  <dcterms:created xsi:type="dcterms:W3CDTF">2021-04-28T10:54:00Z</dcterms:created>
  <dcterms:modified xsi:type="dcterms:W3CDTF">2021-06-08T12:00:00Z</dcterms:modified>
</cp:coreProperties>
</file>