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5A" w:rsidRDefault="00343DDA">
      <w:pPr>
        <w:pStyle w:val="Nzev"/>
        <w:spacing w:before="73"/>
        <w:ind w:left="3283" w:right="3148"/>
      </w:pPr>
      <w:r>
        <w:rPr>
          <w:color w:val="808080"/>
        </w:rPr>
        <w:t>Smlouva č. 1190700068 o poskytnutí podpory</w:t>
      </w:r>
    </w:p>
    <w:p w:rsidR="0079645A" w:rsidRDefault="00343DDA">
      <w:pPr>
        <w:pStyle w:val="Nzev"/>
      </w:pPr>
      <w:r>
        <w:rPr>
          <w:color w:val="808080"/>
        </w:rPr>
        <w:t>ze Státního fondu životního prostředí České republiky</w:t>
      </w:r>
    </w:p>
    <w:p w:rsidR="0079645A" w:rsidRDefault="0079645A">
      <w:pPr>
        <w:pStyle w:val="Zkladntext"/>
        <w:ind w:left="0"/>
        <w:jc w:val="left"/>
        <w:rPr>
          <w:sz w:val="60"/>
        </w:rPr>
      </w:pPr>
    </w:p>
    <w:p w:rsidR="0079645A" w:rsidRDefault="00343DDA">
      <w:pPr>
        <w:pStyle w:val="Zkladntext"/>
        <w:ind w:left="242"/>
        <w:jc w:val="left"/>
      </w:pPr>
      <w:r>
        <w:t>Smluvní strany</w:t>
      </w:r>
    </w:p>
    <w:p w:rsidR="0079645A" w:rsidRDefault="0079645A">
      <w:pPr>
        <w:pStyle w:val="Zkladntext"/>
        <w:spacing w:before="1"/>
        <w:ind w:left="0"/>
        <w:jc w:val="left"/>
      </w:pPr>
    </w:p>
    <w:p w:rsidR="0079645A" w:rsidRDefault="00343DDA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79645A" w:rsidRDefault="00343DD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9645A" w:rsidRDefault="00343DDA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9645A" w:rsidRDefault="00343DDA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9645A" w:rsidRDefault="00343DDA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9645A" w:rsidRDefault="00343DD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9645A" w:rsidRDefault="00343DDA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79645A" w:rsidRDefault="0079645A">
      <w:pPr>
        <w:pStyle w:val="Zkladntext"/>
        <w:spacing w:before="1"/>
        <w:ind w:left="0"/>
        <w:jc w:val="left"/>
      </w:pPr>
    </w:p>
    <w:p w:rsidR="0079645A" w:rsidRDefault="00343DDA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79645A" w:rsidRDefault="0079645A">
      <w:pPr>
        <w:pStyle w:val="Zkladntext"/>
        <w:ind w:left="0"/>
        <w:jc w:val="left"/>
      </w:pPr>
    </w:p>
    <w:p w:rsidR="0079645A" w:rsidRDefault="00343DDA">
      <w:pPr>
        <w:pStyle w:val="Nadpis1"/>
        <w:ind w:right="0"/>
        <w:jc w:val="left"/>
      </w:pPr>
      <w:r>
        <w:t>Střední průmyslová škola na Proseku</w:t>
      </w:r>
    </w:p>
    <w:p w:rsidR="0079645A" w:rsidRDefault="00343DDA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Novoborská 610/2, 190 00 Praha 9 -</w:t>
      </w:r>
      <w:r>
        <w:rPr>
          <w:spacing w:val="-1"/>
        </w:rPr>
        <w:t xml:space="preserve"> </w:t>
      </w:r>
      <w:r>
        <w:t>Prosek</w:t>
      </w:r>
    </w:p>
    <w:p w:rsidR="0079645A" w:rsidRDefault="00343DD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14891239</w:t>
      </w:r>
    </w:p>
    <w:p w:rsidR="0079645A" w:rsidRDefault="00343DDA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>Mgr. Jiřím B e r n á t e m,</w:t>
      </w:r>
      <w:r>
        <w:rPr>
          <w:spacing w:val="-3"/>
        </w:rPr>
        <w:t xml:space="preserve"> </w:t>
      </w:r>
      <w:r>
        <w:t>ředitelem</w:t>
      </w:r>
    </w:p>
    <w:p w:rsidR="0079645A" w:rsidRDefault="00343DD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86EA5" w:rsidRPr="00B86EA5">
        <w:rPr>
          <w:highlight w:val="yellow"/>
        </w:rPr>
        <w:t>xxxx</w:t>
      </w:r>
    </w:p>
    <w:p w:rsidR="00B86EA5" w:rsidRDefault="00343DDA">
      <w:pPr>
        <w:pStyle w:val="Zkladntext"/>
        <w:tabs>
          <w:tab w:val="left" w:pos="3122"/>
        </w:tabs>
        <w:spacing w:before="1"/>
        <w:ind w:left="242" w:right="526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86EA5" w:rsidRPr="00B86EA5">
        <w:rPr>
          <w:highlight w:val="yellow"/>
        </w:rPr>
        <w:t>xxxx</w:t>
      </w:r>
      <w:bookmarkStart w:id="0" w:name="_GoBack"/>
      <w:bookmarkEnd w:id="0"/>
    </w:p>
    <w:p w:rsidR="0079645A" w:rsidRDefault="00343DDA">
      <w:pPr>
        <w:pStyle w:val="Zkladntext"/>
        <w:tabs>
          <w:tab w:val="left" w:pos="3122"/>
        </w:tabs>
        <w:spacing w:before="1"/>
        <w:ind w:left="242" w:right="5262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79645A" w:rsidRDefault="0079645A">
      <w:pPr>
        <w:pStyle w:val="Zkladntext"/>
        <w:spacing w:before="1"/>
        <w:ind w:left="0"/>
        <w:jc w:val="left"/>
      </w:pPr>
    </w:p>
    <w:p w:rsidR="0079645A" w:rsidRDefault="00343DDA">
      <w:pPr>
        <w:pStyle w:val="Zkladntext"/>
        <w:ind w:left="242"/>
        <w:jc w:val="left"/>
      </w:pPr>
      <w:r>
        <w:t>se dohodly takto:</w:t>
      </w:r>
    </w:p>
    <w:p w:rsidR="0079645A" w:rsidRDefault="0079645A">
      <w:pPr>
        <w:pStyle w:val="Zkladntext"/>
        <w:spacing w:before="13"/>
        <w:ind w:left="0"/>
        <w:jc w:val="left"/>
        <w:rPr>
          <w:sz w:val="35"/>
        </w:rPr>
      </w:pPr>
    </w:p>
    <w:p w:rsidR="0079645A" w:rsidRDefault="00343DDA">
      <w:pPr>
        <w:pStyle w:val="Nadpis1"/>
        <w:ind w:left="3276"/>
      </w:pPr>
      <w:r>
        <w:t>I.</w:t>
      </w:r>
    </w:p>
    <w:p w:rsidR="0079645A" w:rsidRDefault="00343DDA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9645A" w:rsidRDefault="0079645A">
      <w:pPr>
        <w:pStyle w:val="Zkladntext"/>
        <w:spacing w:before="1"/>
        <w:ind w:left="0"/>
        <w:jc w:val="left"/>
        <w:rPr>
          <w:b/>
          <w:sz w:val="18"/>
        </w:rPr>
      </w:pPr>
    </w:p>
    <w:p w:rsidR="0079645A" w:rsidRDefault="00343DDA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9645A" w:rsidRDefault="00343DDA">
      <w:pPr>
        <w:pStyle w:val="Zkladntext"/>
        <w:spacing w:before="1"/>
        <w:ind w:right="110"/>
      </w:pPr>
      <w:r>
        <w:t xml:space="preserve">„Smlouva“) se uzavírá na základě Rozhodnutí ministra životního prostředí č. 1190700068 o poskytnutí finančních prostředků ze Státního fondu životního prostředí ČR </w:t>
      </w:r>
      <w:r>
        <w:t>ze dne 20.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79645A" w:rsidRDefault="00343DDA">
      <w:pPr>
        <w:pStyle w:val="Zkladntext"/>
        <w:spacing w:line="265" w:lineRule="exact"/>
      </w:pPr>
      <w:r>
        <w:t>„Směrnice MŽP“), platné ke dni</w:t>
      </w:r>
      <w:r>
        <w:t xml:space="preserve"> podání žádosti.</w:t>
      </w:r>
    </w:p>
    <w:p w:rsidR="0079645A" w:rsidRDefault="00343DDA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79645A" w:rsidRDefault="0079645A">
      <w:pPr>
        <w:jc w:val="both"/>
        <w:rPr>
          <w:sz w:val="20"/>
        </w:rPr>
        <w:sectPr w:rsidR="0079645A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79645A" w:rsidRDefault="00343DDA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9645A" w:rsidRDefault="00343DDA">
      <w:pPr>
        <w:pStyle w:val="Nadpis1"/>
        <w:spacing w:before="120"/>
        <w:ind w:left="2693" w:right="0"/>
        <w:jc w:val="left"/>
      </w:pPr>
      <w:r>
        <w:t>„Zahrada v přírodním stylu v Praze Na Proseku“</w:t>
      </w:r>
    </w:p>
    <w:p w:rsidR="0079645A" w:rsidRDefault="00343DDA">
      <w:pPr>
        <w:pStyle w:val="Zkladntext"/>
        <w:spacing w:before="121"/>
        <w:jc w:val="left"/>
      </w:pPr>
      <w:r>
        <w:t>(dále jen „projekt“ nebo „akce“) realizovanou v roce 2020. Akce je kombinovaná.</w:t>
      </w:r>
    </w:p>
    <w:p w:rsidR="0079645A" w:rsidRDefault="0079645A">
      <w:pPr>
        <w:pStyle w:val="Zkladntext"/>
        <w:spacing w:before="1"/>
        <w:ind w:left="0"/>
        <w:jc w:val="left"/>
        <w:rPr>
          <w:sz w:val="36"/>
        </w:rPr>
      </w:pPr>
    </w:p>
    <w:p w:rsidR="0079645A" w:rsidRDefault="00343DDA">
      <w:pPr>
        <w:pStyle w:val="Nadpis1"/>
        <w:ind w:left="3276"/>
      </w:pPr>
      <w:r>
        <w:t>II.</w:t>
      </w:r>
    </w:p>
    <w:p w:rsidR="0079645A" w:rsidRDefault="00343DDA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9645A" w:rsidRDefault="0079645A">
      <w:pPr>
        <w:pStyle w:val="Zkladntext"/>
        <w:spacing w:before="3"/>
        <w:ind w:left="0"/>
        <w:jc w:val="left"/>
        <w:rPr>
          <w:b/>
          <w:sz w:val="18"/>
        </w:rPr>
      </w:pP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219 826,26 Kč </w:t>
      </w:r>
      <w:r>
        <w:rPr>
          <w:sz w:val="20"/>
        </w:rPr>
        <w:t>(slovy: dvě devatenáct</w:t>
      </w:r>
      <w:r>
        <w:rPr>
          <w:sz w:val="20"/>
        </w:rPr>
        <w:t xml:space="preserve"> tisíc osm set dvacet šest korun českých, dvacet šest</w:t>
      </w:r>
      <w:r>
        <w:rPr>
          <w:spacing w:val="-10"/>
          <w:sz w:val="20"/>
        </w:rPr>
        <w:t xml:space="preserve"> </w:t>
      </w:r>
      <w:r>
        <w:rPr>
          <w:sz w:val="20"/>
        </w:rPr>
        <w:t>haléřů).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258</w:t>
      </w:r>
      <w:r>
        <w:rPr>
          <w:spacing w:val="-1"/>
          <w:sz w:val="20"/>
        </w:rPr>
        <w:t xml:space="preserve"> </w:t>
      </w:r>
      <w:r>
        <w:rPr>
          <w:sz w:val="20"/>
        </w:rPr>
        <w:t>619,13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228</w:t>
      </w:r>
      <w:r>
        <w:rPr>
          <w:spacing w:val="-1"/>
          <w:sz w:val="20"/>
        </w:rPr>
        <w:t xml:space="preserve"> </w:t>
      </w:r>
      <w:r>
        <w:rPr>
          <w:sz w:val="20"/>
        </w:rPr>
        <w:t>619,13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 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0"/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akce) překročily nebo př</w:t>
      </w:r>
      <w:r>
        <w:rPr>
          <w:sz w:val="20"/>
        </w:rPr>
        <w:t>ekročí základ pro stanovení podpory (popřípadě jeho část odpovídající postupu realizace akce), uhradí příjemce podpory částku tohoto překročení z vlastních zdrojů.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</w:t>
      </w:r>
      <w:r>
        <w:rPr>
          <w:sz w:val="20"/>
        </w:rPr>
        <w:t>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8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</w:t>
      </w:r>
      <w:r>
        <w:rPr>
          <w:sz w:val="20"/>
        </w:rPr>
        <w:t>ravu.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9645A" w:rsidRDefault="00343DDA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článku 9 Výzvy.</w:t>
      </w:r>
    </w:p>
    <w:p w:rsidR="0079645A" w:rsidRDefault="0079645A">
      <w:pPr>
        <w:pStyle w:val="Zkladntext"/>
        <w:spacing w:before="2"/>
        <w:ind w:left="0"/>
        <w:jc w:val="left"/>
        <w:rPr>
          <w:sz w:val="36"/>
        </w:rPr>
      </w:pPr>
    </w:p>
    <w:p w:rsidR="0079645A" w:rsidRDefault="00343DDA">
      <w:pPr>
        <w:pStyle w:val="Nadpis1"/>
        <w:ind w:left="3275"/>
      </w:pPr>
      <w:r>
        <w:t>III.</w:t>
      </w:r>
    </w:p>
    <w:p w:rsidR="0079645A" w:rsidRDefault="00343DDA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9645A" w:rsidRDefault="0079645A">
      <w:pPr>
        <w:pStyle w:val="Zkladntext"/>
        <w:spacing w:before="12"/>
        <w:ind w:left="0"/>
        <w:jc w:val="left"/>
        <w:rPr>
          <w:b/>
          <w:sz w:val="17"/>
        </w:rPr>
      </w:pP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 bude poskytována bankovním převodem peněžních prostředků z  bankovního  účtu Fondu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ind w:right="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79645A" w:rsidRDefault="0079645A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9645A">
        <w:trPr>
          <w:trHeight w:val="506"/>
        </w:trPr>
        <w:tc>
          <w:tcPr>
            <w:tcW w:w="4532" w:type="dxa"/>
          </w:tcPr>
          <w:p w:rsidR="0079645A" w:rsidRDefault="00343DDA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79645A" w:rsidRDefault="00343DDA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9645A">
        <w:trPr>
          <w:trHeight w:val="506"/>
        </w:trPr>
        <w:tc>
          <w:tcPr>
            <w:tcW w:w="4532" w:type="dxa"/>
          </w:tcPr>
          <w:p w:rsidR="0079645A" w:rsidRDefault="00343DDA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79645A" w:rsidRDefault="00343DDA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219 826,26</w:t>
            </w:r>
          </w:p>
        </w:tc>
      </w:tr>
    </w:tbl>
    <w:p w:rsidR="0079645A" w:rsidRDefault="0079645A">
      <w:pPr>
        <w:pStyle w:val="Zkladntext"/>
        <w:ind w:left="0"/>
        <w:jc w:val="left"/>
        <w:rPr>
          <w:sz w:val="29"/>
        </w:rPr>
      </w:pP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6"/>
          <w:sz w:val="20"/>
        </w:rPr>
        <w:t xml:space="preserve"> </w:t>
      </w:r>
      <w:r>
        <w:rPr>
          <w:sz w:val="20"/>
        </w:rPr>
        <w:t>prokazující</w:t>
      </w:r>
    </w:p>
    <w:p w:rsidR="0079645A" w:rsidRDefault="0079645A">
      <w:pPr>
        <w:jc w:val="both"/>
        <w:rPr>
          <w:sz w:val="20"/>
        </w:rPr>
        <w:sectPr w:rsidR="0079645A">
          <w:pgSz w:w="12240" w:h="15840"/>
          <w:pgMar w:top="1060" w:right="1020" w:bottom="1640" w:left="1460" w:header="0" w:footer="1380" w:gutter="0"/>
          <w:cols w:space="708"/>
        </w:sectPr>
      </w:pPr>
    </w:p>
    <w:p w:rsidR="0079645A" w:rsidRDefault="00343DDA">
      <w:pPr>
        <w:pStyle w:val="Zkladntext"/>
        <w:spacing w:before="73"/>
      </w:pPr>
      <w:r>
        <w:lastRenderedPageBreak/>
        <w:t>oprávněnost vynaložených finančních prostředků.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 Smlouvou, či je plnění některé povinnosti vážně ohroženo.  To platí i pro případ, že příjemce podpory v průběhu realizace akce nehradil nebo nehradí z vlastních zdrojů plně výdaje akce přesa</w:t>
      </w:r>
      <w:r>
        <w:rPr>
          <w:sz w:val="20"/>
        </w:rPr>
        <w:t>hující základ pro stanovení podpory. Ustanovení článku V bodu 1 tím není dotčeno.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</w:t>
      </w:r>
      <w:r>
        <w:rPr>
          <w:sz w:val="20"/>
        </w:rPr>
        <w:t>tebního kalendáře v AIS SFŽP ČR a na základě žádosti o uvolnění finančních prostředků doručených Fondu příjemcem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0"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9645A" w:rsidRDefault="00343DDA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79645A" w:rsidRDefault="00343DDA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</w:t>
      </w:r>
      <w:r>
        <w:rPr>
          <w:sz w:val="20"/>
        </w:rPr>
        <w:t>edložení faktur i z roku předcházejícího uvolnění podpory, pokud fakturace odpovídá termínům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 storno  nebo  dobropis  faktury,  je  povinen  tyto doklady včetně zdůvodnění a kopie bankovního výpisu neprodlen</w:t>
      </w:r>
      <w:r>
        <w:rPr>
          <w:sz w:val="20"/>
        </w:rPr>
        <w:t>ě po obdržení a provedení kontroly zaslat Fondu a splnit povinnost stanovenou v článku IV bodu 2 písm.</w:t>
      </w:r>
      <w:r>
        <w:rPr>
          <w:spacing w:val="-6"/>
          <w:sz w:val="20"/>
        </w:rPr>
        <w:t xml:space="preserve"> </w:t>
      </w:r>
      <w:r>
        <w:rPr>
          <w:sz w:val="20"/>
        </w:rPr>
        <w:t>c).</w:t>
      </w:r>
    </w:p>
    <w:p w:rsidR="0079645A" w:rsidRDefault="00343DD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</w:t>
      </w:r>
      <w:r>
        <w:rPr>
          <w:sz w:val="20"/>
        </w:rPr>
        <w:t>vedené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79645A" w:rsidRDefault="0079645A">
      <w:pPr>
        <w:jc w:val="both"/>
        <w:rPr>
          <w:sz w:val="20"/>
        </w:rPr>
        <w:sectPr w:rsidR="0079645A">
          <w:pgSz w:w="12240" w:h="15840"/>
          <w:pgMar w:top="1060" w:right="1020" w:bottom="1660" w:left="1460" w:header="0" w:footer="1380" w:gutter="0"/>
          <w:cols w:space="708"/>
        </w:sectPr>
      </w:pP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spacing w:before="1"/>
        <w:ind w:left="0"/>
        <w:jc w:val="left"/>
        <w:rPr>
          <w:sz w:val="38"/>
        </w:rPr>
      </w:pPr>
    </w:p>
    <w:p w:rsidR="0079645A" w:rsidRDefault="00343DD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79645A" w:rsidRDefault="00343DDA">
      <w:pPr>
        <w:spacing w:before="79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9645A" w:rsidRDefault="00343DDA">
      <w:pPr>
        <w:pStyle w:val="Nadpis1"/>
        <w:spacing w:before="1"/>
        <w:ind w:left="220" w:right="2282"/>
      </w:pPr>
      <w:r>
        <w:t>Základní závazky a další povinnosti příjemce podp</w:t>
      </w:r>
      <w:r>
        <w:t>ory</w:t>
      </w:r>
    </w:p>
    <w:p w:rsidR="0079645A" w:rsidRDefault="0079645A">
      <w:pPr>
        <w:sectPr w:rsidR="0079645A">
          <w:pgSz w:w="12240" w:h="15840"/>
          <w:pgMar w:top="132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akce byla provedena podle Fondem odsouhlasené projektové  dokumentace projektu „Zahrada     v přírodním stylu v Praze Na Proseku“ ze dne 3. 2. 2020,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v období od 6/2020 do 12/2020</w:t>
      </w:r>
      <w:r>
        <w:rPr>
          <w:sz w:val="20"/>
        </w:rPr>
        <w:t xml:space="preserve"> pořídil předměty uvedené v aktualizovaném rozpočtu projektu    ze dne 14. 5.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po dobu 3 let od ukončení r</w:t>
      </w:r>
      <w:r>
        <w:rPr>
          <w:sz w:val="20"/>
        </w:rPr>
        <w:t>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0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79645A" w:rsidRDefault="00343DDA">
      <w:pPr>
        <w:pStyle w:val="Zkladntext"/>
        <w:spacing w:before="121"/>
        <w:ind w:left="923" w:right="109"/>
      </w:pPr>
      <w:r>
        <w:t>Příjemce podpory bere přitom na vědomí, že pokud toto prohlášení není pravdivé, bude přijetí podpory podle této Smlouvy považováno za neo</w:t>
      </w:r>
      <w:r>
        <w:t>právněné použití finančních prostředků poskytnutých  ze státního  fondu  ve smyslu zákona č.  218/2000  Sb.,  o rozpočtových  pravidlech  a o změně některých souvisejících zákonů (rozpočtová pravidla), v platném znění, a že mohou být uplatněny sankce podle</w:t>
      </w:r>
      <w:r>
        <w:t xml:space="preserve"> tohoto</w:t>
      </w:r>
      <w:r>
        <w:rPr>
          <w:spacing w:val="-4"/>
        </w:rPr>
        <w:t xml:space="preserve"> </w:t>
      </w:r>
      <w:r>
        <w:t>zákona.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 to relevantní, splní povinnost podle čl. 10 písm. k)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</w:t>
      </w:r>
      <w:r>
        <w:rPr>
          <w:sz w:val="20"/>
        </w:rPr>
        <w:t>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6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účetnictví, v platném znění, zákon č.  586/1992 Sb., o daních z příjmů, v platném znění). Příjemce podpory    se zavazuje všechny transakce související s akcí odděleně identifikovat od ostatních účetních transakcí, které s akcí nesouvisejí, a zavazuje se </w:t>
      </w:r>
      <w:r>
        <w:rPr>
          <w:sz w:val="20"/>
        </w:rPr>
        <w:t>vést analytickou evidenci s vazbou k</w:t>
      </w:r>
      <w:r>
        <w:rPr>
          <w:spacing w:val="-20"/>
          <w:sz w:val="20"/>
        </w:rPr>
        <w:t xml:space="preserve"> </w:t>
      </w:r>
      <w:r>
        <w:rPr>
          <w:sz w:val="20"/>
        </w:rPr>
        <w:t>akci,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 osobám  pověřeným  Fondem  případně   jiným  oprávněným  kontrolním  orgánům,  a to po dobu od podání žádosti</w:t>
      </w:r>
      <w:r>
        <w:rPr>
          <w:sz w:val="20"/>
        </w:rPr>
        <w:t xml:space="preserve"> o poskytnutí dotace do konce 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</w:p>
    <w:p w:rsidR="0079645A" w:rsidRDefault="00343DDA">
      <w:pPr>
        <w:pStyle w:val="Odstavecseseznamem"/>
        <w:numPr>
          <w:ilvl w:val="2"/>
          <w:numId w:val="4"/>
        </w:numPr>
        <w:tabs>
          <w:tab w:val="left" w:pos="924"/>
        </w:tabs>
        <w:ind w:right="0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79645A" w:rsidRDefault="00343DDA">
      <w:pPr>
        <w:pStyle w:val="Odstavecseseznamem"/>
        <w:numPr>
          <w:ilvl w:val="0"/>
          <w:numId w:val="4"/>
        </w:numPr>
        <w:tabs>
          <w:tab w:val="left" w:pos="526"/>
        </w:tabs>
        <w:ind w:right="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79645A" w:rsidRDefault="0079645A">
      <w:pPr>
        <w:jc w:val="both"/>
        <w:rPr>
          <w:sz w:val="20"/>
        </w:rPr>
        <w:sectPr w:rsidR="0079645A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 předpisy,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 pro který je podpora poskytována; stejně je povinen post</w:t>
      </w:r>
      <w:r>
        <w:rPr>
          <w:sz w:val="20"/>
        </w:rPr>
        <w:t>upovat i v případě, že oprávněná potřeba 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</w:t>
      </w:r>
      <w:r>
        <w:rPr>
          <w:sz w:val="20"/>
        </w:rPr>
        <w:t xml:space="preserve">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 xml:space="preserve">při případném překročení podílu  dle článku  II bodů </w:t>
      </w:r>
      <w:r>
        <w:rPr>
          <w:sz w:val="20"/>
        </w:rPr>
        <w:t xml:space="preserve"> 3  a 4  (jak procentního  podílu  ze základu 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 xml:space="preserve">bez zbytečného odkladu a  před uplynutím smluvního termínu požádat Fond o změnu Smlouvy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79645A" w:rsidRDefault="00343DDA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</w:t>
      </w:r>
      <w:r>
        <w:rPr>
          <w:sz w:val="20"/>
        </w:rPr>
        <w:t>PŽP 2014-2020, které jsou zveřejněny 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4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</w:p>
    <w:p w:rsidR="0079645A" w:rsidRDefault="00343DDA">
      <w:pPr>
        <w:pStyle w:val="Zkladntext"/>
        <w:ind w:left="808" w:right="111"/>
      </w:pPr>
      <w:r>
        <w:t>– odkaz na Zadávání veřejných zakázek pro OPŽP 2014-2020, a to i v průběhu realiza</w:t>
      </w:r>
      <w:r>
        <w:t>ce akce. Specifické  povinnosti  relevantní pouze pro OPŽP 2014-2020 se na příjemce podpory nevztahují.    V této souvislosti příjemce podpory prohlašuje, že uvedená pravidla byla</w:t>
      </w:r>
      <w:r>
        <w:rPr>
          <w:spacing w:val="-10"/>
        </w:rPr>
        <w:t xml:space="preserve"> </w:t>
      </w:r>
      <w:r>
        <w:t>dodržena.</w:t>
      </w:r>
    </w:p>
    <w:p w:rsidR="0079645A" w:rsidRDefault="0079645A">
      <w:pPr>
        <w:pStyle w:val="Zkladntext"/>
        <w:spacing w:before="1"/>
        <w:ind w:left="0"/>
        <w:jc w:val="left"/>
        <w:rPr>
          <w:sz w:val="36"/>
        </w:rPr>
      </w:pPr>
    </w:p>
    <w:p w:rsidR="0079645A" w:rsidRDefault="00343DDA">
      <w:pPr>
        <w:pStyle w:val="Nadpis1"/>
        <w:ind w:left="3274"/>
      </w:pPr>
      <w:r>
        <w:t>V.</w:t>
      </w:r>
    </w:p>
    <w:p w:rsidR="0079645A" w:rsidRDefault="00343DDA">
      <w:pPr>
        <w:spacing w:before="1"/>
        <w:ind w:left="1142" w:right="101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9645A" w:rsidRDefault="0079645A">
      <w:pPr>
        <w:pStyle w:val="Zkladntext"/>
        <w:spacing w:before="11"/>
        <w:ind w:left="0"/>
        <w:jc w:val="left"/>
        <w:rPr>
          <w:b/>
          <w:sz w:val="17"/>
        </w:rPr>
      </w:pP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</w:t>
      </w:r>
      <w:r>
        <w:rPr>
          <w:sz w:val="20"/>
        </w:rPr>
        <w:t>y nesplní některý ze závazků stanovených touto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79645A" w:rsidRDefault="0079645A">
      <w:pPr>
        <w:jc w:val="both"/>
        <w:rPr>
          <w:sz w:val="20"/>
        </w:rPr>
        <w:sectPr w:rsidR="0079645A">
          <w:pgSz w:w="12240" w:h="15840"/>
          <w:pgMar w:top="1060" w:right="1020" w:bottom="1660" w:left="1460" w:header="0" w:footer="1380" w:gutter="0"/>
          <w:cols w:space="708"/>
        </w:sectPr>
      </w:pP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 bude postiženo odvodem ve výši 100 % z poskytnuté podpory.  Porušení povinností podle článku       IV bodu 1 písm. b) za první,  druhou nebo  třetí odráž</w:t>
      </w:r>
      <w:r>
        <w:rPr>
          <w:sz w:val="20"/>
        </w:rPr>
        <w:t>kou bude postiženo  odvodem ve výši 100 %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79645A" w:rsidRDefault="00343DD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79645A" w:rsidRDefault="0079645A">
      <w:pPr>
        <w:pStyle w:val="Zkladntext"/>
        <w:ind w:left="0"/>
        <w:jc w:val="left"/>
        <w:rPr>
          <w:sz w:val="36"/>
        </w:rPr>
      </w:pPr>
    </w:p>
    <w:p w:rsidR="0079645A" w:rsidRDefault="00343DDA">
      <w:pPr>
        <w:pStyle w:val="Nadpis1"/>
        <w:ind w:left="3277"/>
      </w:pPr>
      <w:r>
        <w:t>VI.</w:t>
      </w:r>
    </w:p>
    <w:p w:rsidR="0079645A" w:rsidRDefault="00343DDA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9645A" w:rsidRDefault="0079645A">
      <w:pPr>
        <w:pStyle w:val="Zkladntext"/>
        <w:spacing w:before="1"/>
        <w:ind w:left="0"/>
        <w:jc w:val="left"/>
        <w:rPr>
          <w:b/>
          <w:sz w:val="18"/>
        </w:rPr>
      </w:pP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 xml:space="preserve">Pokud dojde ke změně obecně závazných právních předpisů týkajících se vztahů vyplývajících z této Smlouvy, uzavřou smluvní strany k této Smlouvě dodatek, kterým bude zajištěn její soulad s </w:t>
      </w:r>
      <w:r>
        <w:rPr>
          <w:spacing w:val="2"/>
          <w:sz w:val="20"/>
        </w:rPr>
        <w:t xml:space="preserve">obecně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7"/>
          <w:sz w:val="20"/>
        </w:rPr>
        <w:t xml:space="preserve"> </w:t>
      </w:r>
      <w:r>
        <w:rPr>
          <w:sz w:val="20"/>
        </w:rPr>
        <w:t>týkat.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9645A" w:rsidRDefault="0079645A">
      <w:pPr>
        <w:jc w:val="both"/>
        <w:rPr>
          <w:sz w:val="20"/>
        </w:rPr>
        <w:sectPr w:rsidR="0079645A">
          <w:pgSz w:w="12240" w:h="15840"/>
          <w:pgMar w:top="1060" w:right="1020" w:bottom="1660" w:left="1460" w:header="0" w:footer="1380" w:gutter="0"/>
          <w:cols w:space="708"/>
        </w:sectPr>
      </w:pP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 textu této Smlouvy v registru  smluv podle zákona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9645A" w:rsidRDefault="00343DD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</w:t>
      </w:r>
      <w:r>
        <w:rPr>
          <w:sz w:val="20"/>
        </w:rPr>
        <w:t>lářích a podepsána vlastnoručně; každý exemplář má platnost originálu. Každá smluvní strana obdrží jeden exemplář.</w:t>
      </w:r>
    </w:p>
    <w:p w:rsidR="0079645A" w:rsidRDefault="0079645A">
      <w:pPr>
        <w:pStyle w:val="Zkladntext"/>
        <w:ind w:left="0"/>
        <w:jc w:val="left"/>
        <w:rPr>
          <w:sz w:val="36"/>
        </w:rPr>
      </w:pPr>
    </w:p>
    <w:p w:rsidR="0079645A" w:rsidRDefault="00343DDA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79645A" w:rsidRDefault="0079645A">
      <w:pPr>
        <w:pStyle w:val="Zkladntext"/>
        <w:spacing w:before="1"/>
        <w:ind w:left="0"/>
        <w:jc w:val="left"/>
        <w:rPr>
          <w:sz w:val="18"/>
        </w:rPr>
      </w:pPr>
    </w:p>
    <w:p w:rsidR="0079645A" w:rsidRDefault="00343DDA">
      <w:pPr>
        <w:pStyle w:val="Zkladntext"/>
        <w:ind w:left="242"/>
        <w:jc w:val="left"/>
      </w:pPr>
      <w:r>
        <w:t>dne:</w:t>
      </w: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spacing w:before="3"/>
        <w:ind w:left="0"/>
        <w:jc w:val="left"/>
        <w:rPr>
          <w:sz w:val="29"/>
        </w:rPr>
      </w:pPr>
    </w:p>
    <w:p w:rsidR="0079645A" w:rsidRDefault="00343DDA">
      <w:pPr>
        <w:pStyle w:val="Zkladntext"/>
        <w:tabs>
          <w:tab w:val="left" w:pos="6722"/>
        </w:tabs>
        <w:spacing w:before="1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9645A" w:rsidRDefault="00343DDA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343DDA">
      <w:pPr>
        <w:pStyle w:val="Zkladntext"/>
        <w:spacing w:before="213"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79645A" w:rsidRDefault="0079645A">
      <w:pPr>
        <w:spacing w:line="264" w:lineRule="auto"/>
        <w:sectPr w:rsidR="0079645A">
          <w:pgSz w:w="12240" w:h="15840"/>
          <w:pgMar w:top="1060" w:right="1020" w:bottom="1660" w:left="1460" w:header="0" w:footer="1380" w:gutter="0"/>
          <w:cols w:space="708"/>
        </w:sectPr>
      </w:pPr>
    </w:p>
    <w:p w:rsidR="0079645A" w:rsidRDefault="00343DDA">
      <w:pPr>
        <w:pStyle w:val="Zkladntext"/>
        <w:spacing w:before="85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79645A" w:rsidRDefault="0079645A">
      <w:pPr>
        <w:pStyle w:val="Zkladntext"/>
        <w:ind w:left="0"/>
        <w:jc w:val="left"/>
        <w:rPr>
          <w:sz w:val="26"/>
        </w:rPr>
      </w:pPr>
    </w:p>
    <w:p w:rsidR="0079645A" w:rsidRDefault="0079645A">
      <w:pPr>
        <w:pStyle w:val="Zkladntext"/>
        <w:spacing w:before="2"/>
        <w:ind w:left="0"/>
        <w:jc w:val="left"/>
        <w:rPr>
          <w:sz w:val="32"/>
        </w:rPr>
      </w:pPr>
    </w:p>
    <w:p w:rsidR="0079645A" w:rsidRDefault="00343DDA">
      <w:pPr>
        <w:pStyle w:val="Nadpis1"/>
        <w:spacing w:before="1"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79645A" w:rsidRDefault="0079645A">
      <w:pPr>
        <w:pStyle w:val="Zkladntext"/>
        <w:spacing w:before="1"/>
        <w:ind w:left="0"/>
        <w:jc w:val="left"/>
        <w:rPr>
          <w:b/>
          <w:sz w:val="27"/>
        </w:rPr>
      </w:pP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 2) písm. k) Smlouvy při zadávání zakázek/veřejný</w:t>
      </w:r>
      <w:r>
        <w:rPr>
          <w:sz w:val="20"/>
        </w:rPr>
        <w:t>ch zakázek (dále souhrnně jen „veřejné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</w:t>
      </w:r>
      <w:r>
        <w:rPr>
          <w:sz w:val="20"/>
        </w:rPr>
        <w:t>, případně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3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</w:t>
      </w:r>
      <w:r>
        <w:rPr>
          <w:sz w:val="20"/>
        </w:rPr>
        <w:t>ovena s ohledem na nejzávažnější porušení.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79645A" w:rsidRDefault="00343DD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 w:hanging="425"/>
        <w:jc w:val="both"/>
        <w:rPr>
          <w:sz w:val="20"/>
        </w:rPr>
      </w:pPr>
      <w:r>
        <w:rPr>
          <w:sz w:val="20"/>
        </w:rPr>
        <w:t>V případě, že bude identifikováno porušení, kte</w:t>
      </w:r>
      <w:r>
        <w:rPr>
          <w:sz w:val="20"/>
        </w:rPr>
        <w:t>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79645A" w:rsidRDefault="0079645A">
      <w:pPr>
        <w:spacing w:line="264" w:lineRule="auto"/>
        <w:jc w:val="both"/>
        <w:rPr>
          <w:sz w:val="20"/>
        </w:rPr>
        <w:sectPr w:rsidR="0079645A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9645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9645A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9645A" w:rsidRDefault="00343DDA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79645A" w:rsidRDefault="00343D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79645A" w:rsidRDefault="00343DDA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9645A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9645A" w:rsidRDefault="00343DD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9645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9645A" w:rsidRDefault="00343D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9645A" w:rsidRDefault="00343DD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9645A" w:rsidRDefault="00343DD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9645A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9645A" w:rsidRDefault="00343DD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79645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79645A" w:rsidRDefault="00343DDA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79645A" w:rsidRDefault="00343DD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79645A" w:rsidRDefault="00343D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79645A" w:rsidRDefault="00343D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79645A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79645A" w:rsidRDefault="00343D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79645A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79645A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79645A" w:rsidRDefault="00343DD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79645A" w:rsidRDefault="00343DD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 nabídek alespoň 50 % stanovené lhůty</w:t>
            </w:r>
          </w:p>
          <w:p w:rsidR="0079645A" w:rsidRDefault="00343D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9645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79645A" w:rsidRDefault="00343D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79645A" w:rsidRDefault="00343D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9645A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79645A" w:rsidRDefault="00343DDA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79645A" w:rsidRDefault="0079645A">
      <w:pPr>
        <w:spacing w:line="261" w:lineRule="auto"/>
        <w:rPr>
          <w:sz w:val="20"/>
        </w:rPr>
        <w:sectPr w:rsidR="0079645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9645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9645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9645A" w:rsidRDefault="00343DDA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79645A" w:rsidRDefault="00343DDA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79645A" w:rsidRDefault="00343D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9645A" w:rsidRDefault="00343D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79645A" w:rsidRDefault="00343DDA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79645A" w:rsidRDefault="00343D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9645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9645A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79645A" w:rsidRDefault="00343DD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79645A" w:rsidRDefault="00343D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79645A" w:rsidRDefault="00343DDA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79645A" w:rsidRDefault="00343DD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9645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9645A" w:rsidRDefault="00343DDA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9645A" w:rsidRDefault="00343DDA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9645A" w:rsidRDefault="00343DDA">
            <w:pPr>
              <w:pStyle w:val="TableParagraph"/>
              <w:spacing w:before="1" w:line="264" w:lineRule="auto"/>
              <w:ind w:right="223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79645A" w:rsidRDefault="00343DDA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79645A" w:rsidRDefault="00343DDA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9645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9645A" w:rsidRDefault="00343DD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9645A" w:rsidRDefault="00343DDA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79645A" w:rsidRDefault="00343D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79645A" w:rsidRDefault="00343DD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79645A" w:rsidRDefault="00343D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79645A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79645A" w:rsidRDefault="00343DD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79645A" w:rsidRDefault="00343DDA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9645A" w:rsidRDefault="0079645A">
      <w:pPr>
        <w:spacing w:line="264" w:lineRule="auto"/>
        <w:rPr>
          <w:sz w:val="20"/>
        </w:rPr>
        <w:sectPr w:rsidR="0079645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9645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9645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79645A" w:rsidRDefault="00343DD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79645A" w:rsidRDefault="00343DD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79645A" w:rsidRDefault="00343D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9645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79645A" w:rsidRDefault="00343DD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9645A" w:rsidRDefault="00343DDA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9645A" w:rsidRDefault="00343DD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211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79645A" w:rsidRDefault="00343DD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9645A" w:rsidRDefault="00343DD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9645A" w:rsidRDefault="00343DDA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9645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79645A" w:rsidRDefault="00343D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9645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79645A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79645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79645A" w:rsidRDefault="00343D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9645A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9645A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9645A" w:rsidRDefault="00343DD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79645A" w:rsidRDefault="00343DDA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79645A" w:rsidRDefault="00343DD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9645A" w:rsidRDefault="00343DDA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9645A" w:rsidRDefault="00343DD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9645A" w:rsidRDefault="0079645A">
      <w:pPr>
        <w:spacing w:line="264" w:lineRule="auto"/>
        <w:rPr>
          <w:sz w:val="20"/>
        </w:rPr>
        <w:sectPr w:rsidR="0079645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9645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9645A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9645A" w:rsidRDefault="00343DD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79645A" w:rsidRDefault="00343D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79645A" w:rsidRDefault="00343D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79645A" w:rsidRDefault="00343DDA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9645A" w:rsidRDefault="00343D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9645A" w:rsidRDefault="00343DDA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79645A" w:rsidRDefault="00343DDA">
            <w:pPr>
              <w:pStyle w:val="TableParagraph"/>
              <w:spacing w:before="0" w:line="264" w:lineRule="auto"/>
              <w:ind w:right="246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9645A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79645A" w:rsidRDefault="00343D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79645A" w:rsidRDefault="00343DD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9645A" w:rsidRDefault="00343DD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79645A" w:rsidRDefault="00343DDA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79645A" w:rsidRDefault="00343DD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79645A" w:rsidRDefault="00343DD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79645A" w:rsidRDefault="00343DDA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79645A" w:rsidRDefault="00343D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9645A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79645A" w:rsidRDefault="00343D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79645A" w:rsidRDefault="00343DD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9645A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79645A" w:rsidRDefault="0079645A">
      <w:pPr>
        <w:spacing w:line="264" w:lineRule="auto"/>
        <w:rPr>
          <w:sz w:val="20"/>
        </w:rPr>
        <w:sectPr w:rsidR="0079645A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9645A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9645A" w:rsidRDefault="00343DD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9645A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79645A" w:rsidRDefault="00343DDA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9645A" w:rsidRDefault="00343DDA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79645A" w:rsidRDefault="00343DD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79645A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79645A" w:rsidRDefault="00343DDA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79645A" w:rsidRDefault="00343DDA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79645A" w:rsidRDefault="00343DDA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9645A" w:rsidRDefault="00343DDA">
            <w:pPr>
              <w:pStyle w:val="TableParagraph"/>
              <w:spacing w:before="14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9645A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79645A" w:rsidRDefault="00343D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79645A" w:rsidRDefault="00343DD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9645A" w:rsidRDefault="00343DD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79645A" w:rsidRDefault="00343DDA">
            <w:pPr>
              <w:pStyle w:val="TableParagraph"/>
              <w:spacing w:before="0"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79645A" w:rsidRDefault="00343DDA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79645A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9645A" w:rsidRDefault="00343DDA">
            <w:pPr>
              <w:pStyle w:val="TableParagraph"/>
              <w:spacing w:before="27" w:line="264" w:lineRule="auto"/>
              <w:ind w:left="117" w:right="257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9645A" w:rsidRDefault="00343DD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79645A" w:rsidRDefault="00343DDA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79645A" w:rsidRDefault="00343DDA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9645A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9645A" w:rsidRDefault="00343DD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79645A" w:rsidRDefault="00343DD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79645A" w:rsidRDefault="00343DDA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79645A" w:rsidRDefault="00343DDA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45A" w:rsidRDefault="00343DD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9645A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9645A" w:rsidRDefault="0079645A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9645A" w:rsidRDefault="00343DD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343DDA" w:rsidRDefault="00343DDA"/>
    <w:sectPr w:rsidR="00343DDA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DA" w:rsidRDefault="00343DDA">
      <w:r>
        <w:separator/>
      </w:r>
    </w:p>
  </w:endnote>
  <w:endnote w:type="continuationSeparator" w:id="0">
    <w:p w:rsidR="00343DDA" w:rsidRDefault="0034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5A" w:rsidRDefault="00343DDA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79645A" w:rsidRDefault="00343DDA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E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DA" w:rsidRDefault="00343DDA">
      <w:r>
        <w:separator/>
      </w:r>
    </w:p>
  </w:footnote>
  <w:footnote w:type="continuationSeparator" w:id="0">
    <w:p w:rsidR="00343DDA" w:rsidRDefault="0034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5A3"/>
    <w:multiLevelType w:val="hybridMultilevel"/>
    <w:tmpl w:val="A2D6626A"/>
    <w:lvl w:ilvl="0" w:tplc="07326DF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FC8421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468E4B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300126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5EC04F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D3271F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53C56D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CA203F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46832A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2045BED"/>
    <w:multiLevelType w:val="hybridMultilevel"/>
    <w:tmpl w:val="C9A0A4FA"/>
    <w:lvl w:ilvl="0" w:tplc="7270BE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4F8891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92EA7B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46A61E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E40103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82AA75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6F4DD1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8C2495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38A2CF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8356163"/>
    <w:multiLevelType w:val="hybridMultilevel"/>
    <w:tmpl w:val="B6BE04B6"/>
    <w:lvl w:ilvl="0" w:tplc="34C252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DE815B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F9E74F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64C0AECA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037AB9BA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9F1432F6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925418E6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94807C34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3FF2BA46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44217832"/>
    <w:multiLevelType w:val="hybridMultilevel"/>
    <w:tmpl w:val="BB6A4F20"/>
    <w:lvl w:ilvl="0" w:tplc="D4C4F01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70C836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1CC240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A141B7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640D1D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9848D2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F6AA8E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53C3DB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01CE78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A7521A9"/>
    <w:multiLevelType w:val="hybridMultilevel"/>
    <w:tmpl w:val="187CC46C"/>
    <w:lvl w:ilvl="0" w:tplc="113A25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AB898A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7A4993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984227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8F0659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B1A166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30EC57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998722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20284F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587708C"/>
    <w:multiLevelType w:val="hybridMultilevel"/>
    <w:tmpl w:val="E9505A3C"/>
    <w:lvl w:ilvl="0" w:tplc="2EDE60B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AD6C6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0C2B1A2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16FC152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36656F0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A9C2FD6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0EBE10E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C53ADE6E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CBD07D3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BC13835"/>
    <w:multiLevelType w:val="hybridMultilevel"/>
    <w:tmpl w:val="194E3E70"/>
    <w:lvl w:ilvl="0" w:tplc="AEFA4E8C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C5A2824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53AB4E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128BAF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1369EB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CE4C12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EAC7AA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77860F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296789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645A"/>
    <w:rsid w:val="00343DDA"/>
    <w:rsid w:val="0079645A"/>
    <w:rsid w:val="00B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E5E2AA"/>
  <w15:docId w15:val="{C31F2BF7-0685-48FB-A6A4-03E9365A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4184</Words>
  <Characters>24692</Characters>
  <Application>Microsoft Office Word</Application>
  <DocSecurity>0</DocSecurity>
  <Lines>205</Lines>
  <Paragraphs>57</Paragraphs>
  <ScaleCrop>false</ScaleCrop>
  <Company>SFZP</Company>
  <LinksUpToDate>false</LinksUpToDate>
  <CharactersWithSpaces>28819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2021-06-08T10:19:00Z</dcterms:created>
  <dcterms:modified xsi:type="dcterms:W3CDTF">2021-06-08T10:19:00Z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