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C2BD632" w:rsidR="007B3204" w:rsidRPr="00F3349E" w:rsidRDefault="007B3204" w:rsidP="007B3204">
      <w:pPr>
        <w:rPr>
          <w:sz w:val="22"/>
          <w:szCs w:val="22"/>
        </w:rPr>
      </w:pPr>
      <w:r w:rsidRPr="00F3349E">
        <w:rPr>
          <w:sz w:val="22"/>
          <w:szCs w:val="22"/>
        </w:rPr>
        <w:t xml:space="preserve">zastoupena: </w:t>
      </w:r>
      <w:r w:rsidR="00EE7D17">
        <w:rPr>
          <w:sz w:val="22"/>
          <w:szCs w:val="22"/>
        </w:rPr>
        <w:t>Mgr. František Cipro, předseda</w:t>
      </w:r>
      <w:r w:rsidRPr="00F3349E">
        <w:rPr>
          <w:sz w:val="22"/>
          <w:szCs w:val="22"/>
        </w:rPr>
        <w:t xml:space="preserve"> představenstva</w:t>
      </w:r>
    </w:p>
    <w:p w14:paraId="675CAD66" w14:textId="4974888E" w:rsidR="007B3204" w:rsidRPr="00F3349E" w:rsidRDefault="007B3204" w:rsidP="007B3204">
      <w:pPr>
        <w:rPr>
          <w:sz w:val="22"/>
          <w:szCs w:val="22"/>
        </w:rPr>
      </w:pPr>
      <w:r w:rsidRPr="00F3349E">
        <w:rPr>
          <w:sz w:val="22"/>
          <w:szCs w:val="22"/>
        </w:rPr>
        <w:tab/>
        <w:t xml:space="preserve">       </w:t>
      </w:r>
      <w:r w:rsidR="00EE7D17">
        <w:rPr>
          <w:sz w:val="22"/>
          <w:szCs w:val="22"/>
        </w:rPr>
        <w:t>Ing. Václav Novotný</w:t>
      </w:r>
      <w:r w:rsidRPr="00F3349E">
        <w:rPr>
          <w:sz w:val="22"/>
          <w:szCs w:val="22"/>
        </w:rPr>
        <w:t xml:space="preserve">,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60CC84AA" w14:textId="3040CAB3" w:rsidR="0080070D"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4063C7">
        <w:rPr>
          <w:bCs/>
          <w:sz w:val="22"/>
          <w:szCs w:val="22"/>
        </w:rPr>
        <w:t xml:space="preserve"> </w:t>
      </w:r>
      <w:r w:rsidR="0088626A">
        <w:rPr>
          <w:bCs/>
          <w:sz w:val="22"/>
          <w:szCs w:val="22"/>
        </w:rPr>
        <w:t>Irena</w:t>
      </w:r>
      <w:r w:rsidR="00C26B6D">
        <w:rPr>
          <w:bCs/>
          <w:sz w:val="22"/>
          <w:szCs w:val="22"/>
        </w:rPr>
        <w:t xml:space="preserve"> Nováko</w:t>
      </w:r>
      <w:r w:rsidR="00D7321D">
        <w:rPr>
          <w:bCs/>
          <w:sz w:val="22"/>
          <w:szCs w:val="22"/>
        </w:rPr>
        <w:t>vá</w:t>
      </w:r>
    </w:p>
    <w:p w14:paraId="45B5F0B5" w14:textId="2365DAF8"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158E0F46"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00F7570A" w14:textId="1ADDEA79" w:rsidR="00C44542"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88626A">
        <w:rPr>
          <w:rFonts w:ascii="Open Sans" w:hAnsi="Open Sans" w:cs="Open Sans"/>
          <w:color w:val="333333"/>
          <w:sz w:val="20"/>
          <w:szCs w:val="20"/>
          <w:shd w:val="clear" w:color="auto" w:fill="FFFFFF"/>
        </w:rPr>
        <w:t>13822250</w:t>
      </w:r>
      <w:r w:rsidR="00C44542" w:rsidRPr="00F3349E">
        <w:rPr>
          <w:sz w:val="22"/>
          <w:szCs w:val="22"/>
        </w:rPr>
        <w:t xml:space="preserve"> </w:t>
      </w:r>
    </w:p>
    <w:p w14:paraId="2E29D229" w14:textId="525E267C"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1B7C4875"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C26B6D">
        <w:rPr>
          <w:i/>
          <w:sz w:val="22"/>
          <w:szCs w:val="22"/>
        </w:rPr>
        <w:t>17</w:t>
      </w:r>
      <w:r w:rsidR="0088626A">
        <w:rPr>
          <w:i/>
          <w:sz w:val="22"/>
          <w:szCs w:val="22"/>
        </w:rPr>
        <w:t>3</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7C3523">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5E4258A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62B1E8F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05ECA63B" w:rsidR="007A40C8" w:rsidRPr="00F3349E" w:rsidRDefault="007A40C8" w:rsidP="006F56B1">
            <w:pPr>
              <w:jc w:val="center"/>
              <w:rPr>
                <w:sz w:val="22"/>
                <w:szCs w:val="22"/>
              </w:rPr>
            </w:pPr>
          </w:p>
        </w:tc>
      </w:tr>
      <w:tr w:rsidR="007A40C8" w:rsidRPr="00F3349E" w14:paraId="73645B52" w14:textId="77777777" w:rsidTr="007C3523">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35E02CE3"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2AF28B8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324F656B" w:rsidR="007A40C8" w:rsidRPr="00F3349E" w:rsidRDefault="007A40C8" w:rsidP="006F56B1">
            <w:pPr>
              <w:jc w:val="center"/>
              <w:rPr>
                <w:sz w:val="22"/>
                <w:szCs w:val="22"/>
              </w:rPr>
            </w:pPr>
          </w:p>
        </w:tc>
      </w:tr>
      <w:tr w:rsidR="007A40C8" w:rsidRPr="00F3349E" w14:paraId="74B73353" w14:textId="77777777" w:rsidTr="007C3523">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59116D23"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0FD4280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7426CEB0"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7066E10C" w:rsidR="001B30EC" w:rsidRDefault="00C26B6D">
    <w:pPr>
      <w:pStyle w:val="Zhlav"/>
    </w:pPr>
    <w:r>
      <w:t>17</w:t>
    </w:r>
    <w:r w:rsidR="0088626A">
      <w:t>3</w:t>
    </w:r>
    <w:r w:rsidR="00BB5EC0">
      <w:t>/</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12DF9"/>
    <w:rsid w:val="00031B02"/>
    <w:rsid w:val="00057C1B"/>
    <w:rsid w:val="00073E86"/>
    <w:rsid w:val="000746E1"/>
    <w:rsid w:val="000968F0"/>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C2F06"/>
    <w:rsid w:val="0023617D"/>
    <w:rsid w:val="00245AFC"/>
    <w:rsid w:val="0025423D"/>
    <w:rsid w:val="00257FD4"/>
    <w:rsid w:val="0026146A"/>
    <w:rsid w:val="002737B5"/>
    <w:rsid w:val="002A7943"/>
    <w:rsid w:val="002B70B4"/>
    <w:rsid w:val="002C33CF"/>
    <w:rsid w:val="002C5A68"/>
    <w:rsid w:val="002E6873"/>
    <w:rsid w:val="002F1C30"/>
    <w:rsid w:val="00331312"/>
    <w:rsid w:val="00337F21"/>
    <w:rsid w:val="003A13E2"/>
    <w:rsid w:val="003C218F"/>
    <w:rsid w:val="003D1534"/>
    <w:rsid w:val="003E4766"/>
    <w:rsid w:val="004063C7"/>
    <w:rsid w:val="004124B2"/>
    <w:rsid w:val="00434FFB"/>
    <w:rsid w:val="00476818"/>
    <w:rsid w:val="00492B73"/>
    <w:rsid w:val="00530672"/>
    <w:rsid w:val="00570751"/>
    <w:rsid w:val="0057733B"/>
    <w:rsid w:val="005D4F56"/>
    <w:rsid w:val="005E1948"/>
    <w:rsid w:val="006447EF"/>
    <w:rsid w:val="00662272"/>
    <w:rsid w:val="00671455"/>
    <w:rsid w:val="00691A99"/>
    <w:rsid w:val="0069778B"/>
    <w:rsid w:val="006A1202"/>
    <w:rsid w:val="006A29D3"/>
    <w:rsid w:val="006A3064"/>
    <w:rsid w:val="006F56B1"/>
    <w:rsid w:val="00701859"/>
    <w:rsid w:val="007024E2"/>
    <w:rsid w:val="00702B4F"/>
    <w:rsid w:val="007311E1"/>
    <w:rsid w:val="007409D2"/>
    <w:rsid w:val="007961CF"/>
    <w:rsid w:val="007A192E"/>
    <w:rsid w:val="007A40C8"/>
    <w:rsid w:val="007B126B"/>
    <w:rsid w:val="007B2CEB"/>
    <w:rsid w:val="007B3204"/>
    <w:rsid w:val="007C3523"/>
    <w:rsid w:val="007D0848"/>
    <w:rsid w:val="0080070D"/>
    <w:rsid w:val="008135A9"/>
    <w:rsid w:val="00827FB9"/>
    <w:rsid w:val="0083426B"/>
    <w:rsid w:val="0084037B"/>
    <w:rsid w:val="0084112A"/>
    <w:rsid w:val="0084408D"/>
    <w:rsid w:val="008733E9"/>
    <w:rsid w:val="00876687"/>
    <w:rsid w:val="0088626A"/>
    <w:rsid w:val="008A0D04"/>
    <w:rsid w:val="008A0FD4"/>
    <w:rsid w:val="008B7F8B"/>
    <w:rsid w:val="008C0246"/>
    <w:rsid w:val="008C36B0"/>
    <w:rsid w:val="008D25C7"/>
    <w:rsid w:val="008F150D"/>
    <w:rsid w:val="00915977"/>
    <w:rsid w:val="009262B6"/>
    <w:rsid w:val="00926F21"/>
    <w:rsid w:val="00941478"/>
    <w:rsid w:val="0095462C"/>
    <w:rsid w:val="00970EF2"/>
    <w:rsid w:val="009A3B2C"/>
    <w:rsid w:val="009A50F1"/>
    <w:rsid w:val="009C6C67"/>
    <w:rsid w:val="009E378F"/>
    <w:rsid w:val="009E518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5EC0"/>
    <w:rsid w:val="00BB6770"/>
    <w:rsid w:val="00BC623E"/>
    <w:rsid w:val="00BD0391"/>
    <w:rsid w:val="00BF24D0"/>
    <w:rsid w:val="00BF5FCB"/>
    <w:rsid w:val="00BF6082"/>
    <w:rsid w:val="00C04971"/>
    <w:rsid w:val="00C108EF"/>
    <w:rsid w:val="00C26B6D"/>
    <w:rsid w:val="00C365DC"/>
    <w:rsid w:val="00C44542"/>
    <w:rsid w:val="00C77E91"/>
    <w:rsid w:val="00C95EDF"/>
    <w:rsid w:val="00C97DBB"/>
    <w:rsid w:val="00CD5A27"/>
    <w:rsid w:val="00D06FCD"/>
    <w:rsid w:val="00D359B1"/>
    <w:rsid w:val="00D40B14"/>
    <w:rsid w:val="00D42A78"/>
    <w:rsid w:val="00D60AA1"/>
    <w:rsid w:val="00D62A75"/>
    <w:rsid w:val="00D66DF2"/>
    <w:rsid w:val="00D71C7E"/>
    <w:rsid w:val="00D7321D"/>
    <w:rsid w:val="00DA33CD"/>
    <w:rsid w:val="00DA5834"/>
    <w:rsid w:val="00DB78E4"/>
    <w:rsid w:val="00DD0753"/>
    <w:rsid w:val="00DE6393"/>
    <w:rsid w:val="00DE7111"/>
    <w:rsid w:val="00DE769E"/>
    <w:rsid w:val="00E02097"/>
    <w:rsid w:val="00E022DE"/>
    <w:rsid w:val="00E247C1"/>
    <w:rsid w:val="00E27B47"/>
    <w:rsid w:val="00E317C1"/>
    <w:rsid w:val="00E4039F"/>
    <w:rsid w:val="00E40874"/>
    <w:rsid w:val="00E4650D"/>
    <w:rsid w:val="00E467E6"/>
    <w:rsid w:val="00E5530E"/>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5164</Characters>
  <Application>Microsoft Office Word</Application>
  <DocSecurity>4</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2021-06-07T16:03:00Z</dcterms:created>
  <dcterms:modified xsi:type="dcterms:W3CDTF">2021-06-07T16:03:00Z</dcterms:modified>
</cp:coreProperties>
</file>