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1C8" w:rsidRDefault="00EE5AC8">
      <w:pPr>
        <w:pStyle w:val="Zkladntext1"/>
        <w:shd w:val="clear" w:color="auto" w:fill="auto"/>
        <w:spacing w:after="160"/>
        <w:jc w:val="right"/>
      </w:pPr>
      <w:r>
        <w:rPr>
          <w:b/>
          <w:bCs/>
        </w:rPr>
        <w:t>NG/703/2021</w:t>
      </w:r>
    </w:p>
    <w:p w:rsidR="006671C8" w:rsidRDefault="00EE5AC8">
      <w:pPr>
        <w:pStyle w:val="Nadpis20"/>
        <w:keepNext/>
        <w:keepLines/>
        <w:shd w:val="clear" w:color="auto" w:fill="auto"/>
        <w:spacing w:after="160"/>
      </w:pPr>
      <w:bookmarkStart w:id="0" w:name="bookmark0"/>
      <w:bookmarkStart w:id="1" w:name="bookmark1"/>
      <w:r>
        <w:t>Dodatek č. 2</w:t>
      </w:r>
      <w:bookmarkEnd w:id="0"/>
      <w:bookmarkEnd w:id="1"/>
    </w:p>
    <w:p w:rsidR="006671C8" w:rsidRDefault="00EE5AC8">
      <w:pPr>
        <w:pStyle w:val="Zkladntext1"/>
        <w:shd w:val="clear" w:color="auto" w:fill="auto"/>
        <w:spacing w:after="580"/>
        <w:jc w:val="center"/>
      </w:pPr>
      <w:r>
        <w:t>ke smlouvě o přepravě věci č.j. NG/454/2020</w:t>
      </w:r>
    </w:p>
    <w:p w:rsidR="006671C8" w:rsidRDefault="00EE5AC8">
      <w:pPr>
        <w:pStyle w:val="Nadpis20"/>
        <w:keepNext/>
        <w:keepLines/>
        <w:shd w:val="clear" w:color="auto" w:fill="auto"/>
        <w:spacing w:after="0"/>
        <w:jc w:val="left"/>
      </w:pPr>
      <w:bookmarkStart w:id="2" w:name="bookmark2"/>
      <w:bookmarkStart w:id="3" w:name="bookmark3"/>
      <w:r>
        <w:t>Národní galerie v Praze</w:t>
      </w:r>
      <w:bookmarkEnd w:id="2"/>
      <w:bookmarkEnd w:id="3"/>
    </w:p>
    <w:p w:rsidR="006A009D" w:rsidRDefault="00EE5AC8">
      <w:pPr>
        <w:pStyle w:val="Zkladntext1"/>
        <w:shd w:val="clear" w:color="auto" w:fill="auto"/>
        <w:spacing w:after="0"/>
      </w:pPr>
      <w:r>
        <w:t xml:space="preserve">se sídlem Staroměstské nám. 606/12, 110 15 Praha 1 </w:t>
      </w:r>
    </w:p>
    <w:p w:rsidR="006671C8" w:rsidRDefault="00EE5AC8">
      <w:pPr>
        <w:pStyle w:val="Zkladntext1"/>
        <w:shd w:val="clear" w:color="auto" w:fill="auto"/>
        <w:spacing w:after="0"/>
      </w:pPr>
      <w:r>
        <w:t>zastoupená: Alicja Knast, generální ředitelka</w:t>
      </w:r>
    </w:p>
    <w:p w:rsidR="006671C8" w:rsidRDefault="00EE5AC8">
      <w:pPr>
        <w:pStyle w:val="Zkladntext1"/>
        <w:shd w:val="clear" w:color="auto" w:fill="auto"/>
        <w:spacing w:after="0"/>
      </w:pPr>
      <w:r>
        <w:t>IČ: 00023281; DIČ: CZ00023281</w:t>
      </w:r>
    </w:p>
    <w:p w:rsidR="006671C8" w:rsidRDefault="00EE5AC8">
      <w:pPr>
        <w:pStyle w:val="Zkladntext1"/>
        <w:shd w:val="clear" w:color="auto" w:fill="auto"/>
      </w:pPr>
      <w:r>
        <w:t xml:space="preserve">Bankovní spojení: ČNB; Číslo účtu </w:t>
      </w:r>
      <w:r>
        <w:t>05000-00088390111/0710</w:t>
      </w:r>
    </w:p>
    <w:p w:rsidR="006671C8" w:rsidRDefault="00EE5AC8">
      <w:pPr>
        <w:pStyle w:val="Zkladntext1"/>
        <w:shd w:val="clear" w:color="auto" w:fill="auto"/>
        <w:spacing w:after="420"/>
      </w:pPr>
      <w:r>
        <w:t>(dále jen „</w:t>
      </w:r>
      <w:r>
        <w:rPr>
          <w:b/>
          <w:bCs/>
        </w:rPr>
        <w:t>objednatel“</w:t>
      </w:r>
      <w:r>
        <w:t>)</w:t>
      </w:r>
    </w:p>
    <w:p w:rsidR="006671C8" w:rsidRDefault="00EE5AC8">
      <w:pPr>
        <w:pStyle w:val="Nadpis20"/>
        <w:keepNext/>
        <w:keepLines/>
        <w:shd w:val="clear" w:color="auto" w:fill="auto"/>
        <w:spacing w:after="0"/>
        <w:jc w:val="left"/>
      </w:pPr>
      <w:bookmarkStart w:id="4" w:name="bookmark4"/>
      <w:bookmarkStart w:id="5" w:name="bookmark5"/>
      <w:r>
        <w:t>KUNSTTRANS PRAHA spol. s r.o.</w:t>
      </w:r>
      <w:bookmarkEnd w:id="4"/>
      <w:bookmarkEnd w:id="5"/>
    </w:p>
    <w:p w:rsidR="006A009D" w:rsidRDefault="00EE5AC8">
      <w:pPr>
        <w:pStyle w:val="Zkladntext1"/>
        <w:shd w:val="clear" w:color="auto" w:fill="auto"/>
        <w:spacing w:after="0"/>
      </w:pPr>
      <w:r>
        <w:t xml:space="preserve">se sídlem: Dukelských hrdinů 47, 170 00 Praha 7 </w:t>
      </w:r>
    </w:p>
    <w:p w:rsidR="006671C8" w:rsidRDefault="00EE5AC8">
      <w:pPr>
        <w:pStyle w:val="Zkladntext1"/>
        <w:shd w:val="clear" w:color="auto" w:fill="auto"/>
        <w:spacing w:after="0"/>
      </w:pPr>
      <w:r>
        <w:t>zastoupená: jednatelem Ing. Liborem Veselým</w:t>
      </w:r>
    </w:p>
    <w:p w:rsidR="006671C8" w:rsidRDefault="00EE5AC8">
      <w:pPr>
        <w:pStyle w:val="Zkladntext1"/>
        <w:shd w:val="clear" w:color="auto" w:fill="auto"/>
        <w:spacing w:after="0"/>
      </w:pPr>
      <w:r>
        <w:t>IČ: 40615243, DIČ: CZ40615243</w:t>
      </w:r>
    </w:p>
    <w:p w:rsidR="006671C8" w:rsidRDefault="00EE5AC8">
      <w:pPr>
        <w:pStyle w:val="Zkladntext1"/>
        <w:shd w:val="clear" w:color="auto" w:fill="auto"/>
        <w:spacing w:after="420"/>
      </w:pPr>
      <w:r>
        <w:t>Zapsaná v obchodním rejstříku vedením Městským soudem v P</w:t>
      </w:r>
      <w:r>
        <w:t>raze pod sp. zn. C 4831 Bankovní spojení: ČSOB; Číslo účtu 300796813/0300</w:t>
      </w:r>
    </w:p>
    <w:p w:rsidR="006671C8" w:rsidRDefault="00EE5AC8">
      <w:pPr>
        <w:pStyle w:val="Zkladntext1"/>
        <w:shd w:val="clear" w:color="auto" w:fill="auto"/>
        <w:spacing w:after="160"/>
      </w:pPr>
      <w:r>
        <w:t>(dále jen „</w:t>
      </w:r>
      <w:r>
        <w:rPr>
          <w:b/>
          <w:bCs/>
        </w:rPr>
        <w:t>poskytovatel</w:t>
      </w:r>
      <w:r>
        <w:t>“)</w:t>
      </w:r>
    </w:p>
    <w:p w:rsidR="006671C8" w:rsidRDefault="00EE5AC8">
      <w:pPr>
        <w:pStyle w:val="Zkladntext1"/>
        <w:shd w:val="clear" w:color="auto" w:fill="auto"/>
        <w:spacing w:after="160"/>
      </w:pPr>
      <w:r>
        <w:t>(objednatel a poskytovatel společně dále též jen jako „</w:t>
      </w:r>
      <w:r>
        <w:rPr>
          <w:b/>
          <w:bCs/>
        </w:rPr>
        <w:t>smluvní strany</w:t>
      </w:r>
      <w:r>
        <w:t>“)</w:t>
      </w:r>
    </w:p>
    <w:p w:rsidR="006A009D" w:rsidRDefault="00EE5AC8" w:rsidP="006A009D">
      <w:pPr>
        <w:pStyle w:val="Zkladntext1"/>
        <w:shd w:val="clear" w:color="auto" w:fill="auto"/>
        <w:spacing w:after="0"/>
      </w:pPr>
      <w:r>
        <w:t xml:space="preserve">uzavřely níže uvedeného dne, měsíce a roku tento dodatek ke Smlouvě o přepravě věci </w:t>
      </w:r>
    </w:p>
    <w:p w:rsidR="006671C8" w:rsidRDefault="00EE5AC8">
      <w:pPr>
        <w:pStyle w:val="Zkladntext1"/>
        <w:shd w:val="clear" w:color="auto" w:fill="auto"/>
        <w:spacing w:after="580"/>
      </w:pPr>
      <w:r>
        <w:t>č.j. NG/454/2020 (dále jen „</w:t>
      </w:r>
      <w:r>
        <w:rPr>
          <w:b/>
          <w:bCs/>
        </w:rPr>
        <w:t>dodatek</w:t>
      </w:r>
      <w:r>
        <w:t>“)</w:t>
      </w:r>
    </w:p>
    <w:p w:rsidR="006671C8" w:rsidRDefault="00EE5AC8">
      <w:pPr>
        <w:pStyle w:val="Zkladntext1"/>
        <w:shd w:val="clear" w:color="auto" w:fill="auto"/>
        <w:spacing w:after="160"/>
        <w:jc w:val="center"/>
      </w:pPr>
      <w:r>
        <w:rPr>
          <w:b/>
          <w:bCs/>
        </w:rPr>
        <w:t>I.</w:t>
      </w:r>
    </w:p>
    <w:p w:rsidR="006671C8" w:rsidRDefault="00EE5AC8">
      <w:pPr>
        <w:pStyle w:val="Nadpis20"/>
        <w:keepNext/>
        <w:keepLines/>
        <w:shd w:val="clear" w:color="auto" w:fill="auto"/>
        <w:spacing w:after="160"/>
      </w:pPr>
      <w:bookmarkStart w:id="6" w:name="bookmark6"/>
      <w:bookmarkStart w:id="7" w:name="bookmark7"/>
      <w:r>
        <w:t>Úvodní ustanovení</w:t>
      </w:r>
      <w:bookmarkEnd w:id="6"/>
      <w:bookmarkEnd w:id="7"/>
    </w:p>
    <w:p w:rsidR="006671C8" w:rsidRDefault="00EE5AC8">
      <w:pPr>
        <w:pStyle w:val="Zkladntext1"/>
        <w:numPr>
          <w:ilvl w:val="0"/>
          <w:numId w:val="1"/>
        </w:numPr>
        <w:shd w:val="clear" w:color="auto" w:fill="auto"/>
        <w:tabs>
          <w:tab w:val="left" w:pos="710"/>
        </w:tabs>
        <w:jc w:val="both"/>
      </w:pPr>
      <w:r>
        <w:t xml:space="preserve">Smluvní strany uzavřely na základě výsledku zadávacího řízení veřejné zakázky s názvem: Transporty uměleckých děl a předmětů pro výstavu s pracovním názvem „Rembrandt - Drama of Mind in 5 Acts“ </w:t>
      </w:r>
      <w:r>
        <w:t>(dále jen „</w:t>
      </w:r>
      <w:r>
        <w:rPr>
          <w:b/>
          <w:bCs/>
        </w:rPr>
        <w:t>veřejná zakázka</w:t>
      </w:r>
      <w:r>
        <w:t>“) smlouvu o přepravě věci čj. NG/454/2020 ze dne 25. 3. 2020, ve znění dodatku č. 1 ze dne 22. 12. 2020, jejímž předmětem je závazek poskytovatele zajistit pro objednatele transporty uměleckých děl a předmětů výstavy Rembrandt: P</w:t>
      </w:r>
      <w:r>
        <w:t>říběh člověka, která se koná v Paláci Kinských od 24. 9. 2020 do 21. 3. 2021, a to včetně souvisejících služeb (dále jen „</w:t>
      </w:r>
      <w:r>
        <w:rPr>
          <w:b/>
          <w:bCs/>
        </w:rPr>
        <w:t>smlouva</w:t>
      </w:r>
      <w:r>
        <w:t>“).</w:t>
      </w:r>
    </w:p>
    <w:p w:rsidR="006671C8" w:rsidRDefault="00EE5AC8">
      <w:pPr>
        <w:pStyle w:val="Zkladntext1"/>
        <w:shd w:val="clear" w:color="auto" w:fill="auto"/>
        <w:jc w:val="both"/>
      </w:pPr>
      <w:r>
        <w:t>1.2 V důsledku okolností, vyvolaných opatřeními přijatými v České republice, v Evropě a v USA za účelem zamezení šíření epi</w:t>
      </w:r>
      <w:r>
        <w:t>demie nového koronaviru COVID-19 v období od března 2020 do dubna 2021, na něž neměly smluvní strany jakýkoliv vliv, vznikla nutnost vynaložit další, původně nepředpokládané náklady na nutné rozšíření spolupráce se zahraničními subjekty při zajišťování pře</w:t>
      </w:r>
      <w:r>
        <w:t>shraniční přepravy uměleckých děl. Navýšení nákladů odůvodňuje navýšení původně sjednané ceny.</w:t>
      </w:r>
    </w:p>
    <w:p w:rsidR="006671C8" w:rsidRDefault="00EE5AC8">
      <w:pPr>
        <w:pStyle w:val="Zkladntext1"/>
        <w:shd w:val="clear" w:color="auto" w:fill="auto"/>
        <w:spacing w:after="0"/>
        <w:jc w:val="center"/>
      </w:pPr>
      <w:r>
        <w:rPr>
          <w:b/>
          <w:bCs/>
        </w:rPr>
        <w:t>II.</w:t>
      </w:r>
    </w:p>
    <w:p w:rsidR="006671C8" w:rsidRDefault="00EE5AC8">
      <w:pPr>
        <w:pStyle w:val="Nadpis20"/>
        <w:keepNext/>
        <w:keepLines/>
        <w:shd w:val="clear" w:color="auto" w:fill="auto"/>
        <w:spacing w:after="240"/>
      </w:pPr>
      <w:bookmarkStart w:id="8" w:name="bookmark8"/>
      <w:bookmarkStart w:id="9" w:name="bookmark9"/>
      <w:r>
        <w:t>Předmět smlouvy</w:t>
      </w:r>
      <w:bookmarkEnd w:id="8"/>
      <w:bookmarkEnd w:id="9"/>
    </w:p>
    <w:p w:rsidR="006671C8" w:rsidRDefault="00EE5AC8">
      <w:pPr>
        <w:pStyle w:val="Zkladntext1"/>
        <w:numPr>
          <w:ilvl w:val="0"/>
          <w:numId w:val="2"/>
        </w:numPr>
        <w:shd w:val="clear" w:color="auto" w:fill="auto"/>
        <w:tabs>
          <w:tab w:val="left" w:pos="710"/>
        </w:tabs>
        <w:jc w:val="both"/>
      </w:pPr>
      <w:r>
        <w:t xml:space="preserve">Smluvní strany se dohodly, že celková cena dle </w:t>
      </w:r>
      <w:r>
        <w:rPr>
          <w:b/>
          <w:bCs/>
        </w:rPr>
        <w:t xml:space="preserve">čl. IV odst. 1 </w:t>
      </w:r>
      <w:r>
        <w:t xml:space="preserve">smlouvy se navyšuje o částku ve výši </w:t>
      </w:r>
      <w:r>
        <w:rPr>
          <w:b/>
          <w:bCs/>
        </w:rPr>
        <w:t>266.540,01 Kč bez DPH</w:t>
      </w:r>
      <w:r>
        <w:t>, a to v důsledku nut</w:t>
      </w:r>
      <w:r>
        <w:t>nosti vynaložit původně nepředpokládané dodatečné náklady při zajišťování přeshraniční přepravy děl. Kalkulace</w:t>
      </w:r>
      <w:r>
        <w:br w:type="page"/>
      </w:r>
      <w:r>
        <w:lastRenderedPageBreak/>
        <w:t>konečné celkové ceny za přepravu exponátů a za služby s tím související včetně kalkulace dodatečných nákladů je přílohou č. 1 tohoto dodatku, kte</w:t>
      </w:r>
      <w:r>
        <w:t xml:space="preserve">rá se stává nedílnou součástí smlouvy. Smluvní strany se v souladu s čl. VI odst. 2 smlouvy dohodly na nahrazení </w:t>
      </w:r>
      <w:r>
        <w:rPr>
          <w:b/>
          <w:bCs/>
        </w:rPr>
        <w:t xml:space="preserve">znění čl. VI. odst. 1. </w:t>
      </w:r>
      <w:r>
        <w:t>smlouvy tímto novým zněním:</w:t>
      </w:r>
    </w:p>
    <w:p w:rsidR="006671C8" w:rsidRDefault="00EE5AC8">
      <w:pPr>
        <w:pStyle w:val="Zkladntext1"/>
        <w:shd w:val="clear" w:color="auto" w:fill="auto"/>
        <w:spacing w:after="0"/>
        <w:jc w:val="center"/>
      </w:pPr>
      <w:r>
        <w:rPr>
          <w:i/>
          <w:iCs/>
        </w:rPr>
        <w:t>„</w:t>
      </w:r>
      <w:r>
        <w:rPr>
          <w:b/>
          <w:bCs/>
          <w:i/>
          <w:iCs/>
        </w:rPr>
        <w:t>VI.</w:t>
      </w:r>
    </w:p>
    <w:p w:rsidR="006671C8" w:rsidRDefault="00EE5AC8">
      <w:pPr>
        <w:pStyle w:val="Zkladntext1"/>
        <w:shd w:val="clear" w:color="auto" w:fill="auto"/>
        <w:jc w:val="center"/>
      </w:pPr>
      <w:r>
        <w:rPr>
          <w:b/>
          <w:bCs/>
          <w:i/>
          <w:iCs/>
        </w:rPr>
        <w:t>Stanovení ceny</w:t>
      </w:r>
    </w:p>
    <w:p w:rsidR="006671C8" w:rsidRDefault="00EE5AC8">
      <w:pPr>
        <w:pStyle w:val="Zkladntext1"/>
        <w:shd w:val="clear" w:color="auto" w:fill="auto"/>
        <w:ind w:left="720" w:hanging="280"/>
        <w:jc w:val="both"/>
      </w:pPr>
      <w:r>
        <w:rPr>
          <w:i/>
          <w:iCs/>
        </w:rPr>
        <w:t xml:space="preserve">1. Celková cena za přepravu exponátů a za služby s tím související podle této smlouvy, včetně zabalení a dalších nutně souvisejících činností a cena kurýrních výloh činí na základě skutečností známých ke dni uzavření dodatku č. 2 k této smlouvě částku </w:t>
      </w:r>
      <w:r>
        <w:rPr>
          <w:b/>
          <w:bCs/>
          <w:i/>
          <w:iCs/>
        </w:rPr>
        <w:t>3.35</w:t>
      </w:r>
      <w:r>
        <w:rPr>
          <w:b/>
          <w:bCs/>
          <w:i/>
          <w:iCs/>
        </w:rPr>
        <w:t xml:space="preserve">7.835,87 Kč </w:t>
      </w:r>
      <w:r>
        <w:rPr>
          <w:i/>
          <w:iCs/>
        </w:rPr>
        <w:t>bez DPH, přičemž tato cena je cenou konečnou. Výše DPH bude účtována v zákonem stanovené výši v den zdanitelného plnění.“</w:t>
      </w:r>
    </w:p>
    <w:p w:rsidR="006671C8" w:rsidRDefault="00EE5AC8">
      <w:pPr>
        <w:pStyle w:val="Zkladntext1"/>
        <w:numPr>
          <w:ilvl w:val="0"/>
          <w:numId w:val="2"/>
        </w:numPr>
        <w:shd w:val="clear" w:color="auto" w:fill="auto"/>
        <w:tabs>
          <w:tab w:val="left" w:pos="714"/>
        </w:tabs>
        <w:jc w:val="both"/>
      </w:pPr>
      <w:r>
        <w:t>Ostatní ustanovení smlouvy tímto dodatkem nedotčená zůstávají v platnosti.</w:t>
      </w:r>
    </w:p>
    <w:p w:rsidR="006671C8" w:rsidRDefault="00EE5AC8">
      <w:pPr>
        <w:pStyle w:val="Zkladntext1"/>
        <w:shd w:val="clear" w:color="auto" w:fill="auto"/>
        <w:spacing w:after="0"/>
        <w:jc w:val="center"/>
      </w:pPr>
      <w:r>
        <w:rPr>
          <w:b/>
          <w:bCs/>
        </w:rPr>
        <w:t>III.</w:t>
      </w:r>
    </w:p>
    <w:p w:rsidR="006671C8" w:rsidRDefault="00EE5AC8">
      <w:pPr>
        <w:pStyle w:val="Nadpis20"/>
        <w:keepNext/>
        <w:keepLines/>
        <w:shd w:val="clear" w:color="auto" w:fill="auto"/>
        <w:spacing w:after="240"/>
      </w:pPr>
      <w:bookmarkStart w:id="10" w:name="bookmark10"/>
      <w:bookmarkStart w:id="11" w:name="bookmark11"/>
      <w:r>
        <w:t>Ostatní ujednání</w:t>
      </w:r>
      <w:bookmarkEnd w:id="10"/>
      <w:bookmarkEnd w:id="11"/>
    </w:p>
    <w:p w:rsidR="006671C8" w:rsidRDefault="00EE5AC8">
      <w:pPr>
        <w:pStyle w:val="Zkladntext1"/>
        <w:shd w:val="clear" w:color="auto" w:fill="auto"/>
        <w:jc w:val="both"/>
      </w:pPr>
      <w:r>
        <w:t xml:space="preserve">3.1 Změna uvedená v čl. </w:t>
      </w:r>
      <w:r>
        <w:t xml:space="preserve">II, odst. 2.1 je změnou ve smyslu § 222 odst. 6 zákona č. 134/2016 Sb., zákona o zadávání veřejných zakázek, ve znění pozdějších předpisů, která nemění celkovou povahu veřejné zakázky a její potřeba vznikla v důsledku okolností, které objednatel jednající </w:t>
      </w:r>
      <w:r>
        <w:t>s náležitou péčí nemohl předvídat. Hodnota této změny nepřekračuje 50 % původní hodnoty závazku, přičemž v případě provedení více změn je rozhodný součet hodnoty všech změn podle tohoto odstavce. Celkový cenový nárůst související se změnami podle tohoto od</w:t>
      </w:r>
      <w:r>
        <w:t>stavce při odečtení služeb, které nebyly s ohledem na tyto změny realizovány, nepřesáhne 30 % původní hodnoty závazku.</w:t>
      </w:r>
    </w:p>
    <w:p w:rsidR="006671C8" w:rsidRDefault="00EE5AC8">
      <w:pPr>
        <w:pStyle w:val="Zkladntext1"/>
        <w:shd w:val="clear" w:color="auto" w:fill="auto"/>
        <w:spacing w:after="0"/>
        <w:jc w:val="center"/>
      </w:pPr>
      <w:r>
        <w:rPr>
          <w:b/>
          <w:bCs/>
        </w:rPr>
        <w:t>IV.</w:t>
      </w:r>
    </w:p>
    <w:p w:rsidR="006671C8" w:rsidRDefault="00EE5AC8">
      <w:pPr>
        <w:pStyle w:val="Nadpis20"/>
        <w:keepNext/>
        <w:keepLines/>
        <w:shd w:val="clear" w:color="auto" w:fill="auto"/>
        <w:spacing w:after="240"/>
      </w:pPr>
      <w:bookmarkStart w:id="12" w:name="bookmark12"/>
      <w:bookmarkStart w:id="13" w:name="bookmark13"/>
      <w:r>
        <w:t>Závěrečná ustanovení</w:t>
      </w:r>
      <w:bookmarkEnd w:id="12"/>
      <w:bookmarkEnd w:id="13"/>
    </w:p>
    <w:p w:rsidR="006671C8" w:rsidRDefault="00EE5AC8">
      <w:pPr>
        <w:pStyle w:val="Zkladntext1"/>
        <w:shd w:val="clear" w:color="auto" w:fill="auto"/>
        <w:jc w:val="both"/>
      </w:pPr>
      <w:r>
        <w:t>4.1. Tento dodatek je vyhotoven v elektronické podobě, podepsaný elektronickými podpisy smluvních stran.</w:t>
      </w:r>
    </w:p>
    <w:p w:rsidR="006671C8" w:rsidRDefault="00EE5AC8">
      <w:pPr>
        <w:pStyle w:val="Zkladntext1"/>
        <w:numPr>
          <w:ilvl w:val="0"/>
          <w:numId w:val="3"/>
        </w:numPr>
        <w:shd w:val="clear" w:color="auto" w:fill="auto"/>
        <w:tabs>
          <w:tab w:val="left" w:pos="714"/>
        </w:tabs>
        <w:jc w:val="both"/>
      </w:pPr>
      <w:r>
        <w:t>Tento d</w:t>
      </w:r>
      <w:r>
        <w:t>odatek nabývá platnosti podpisem obou smluvních stran a účinnosti uveřejněním v registru smluv podle zákona č. 340/2015 Sb., o zvláštních podmínkách účinnosti některých smluv, uveřejňování těchto smluv a o registru smluv (zákon o registru smluv). Smluvní s</w:t>
      </w:r>
      <w:r>
        <w:t>trany sjednávají, že uveřejnění provede objednatel. Obě smluvní strany berou na vědomí, že nebudou uveřejněny pouze ty informace, které nelze poskytnout podle předpisů upravujících svobodný přístup k informacím. Považuje-li druhá smluvní strana některé inf</w:t>
      </w:r>
      <w:r>
        <w:t>ormace uvedené v tomto dodatku za informace, které nemají být uveřejněny v registru smluv dle zákona o registru smluv, je povinna na to objednatele současně s uzavřením tohoto dodatku písemně upozornit.</w:t>
      </w:r>
    </w:p>
    <w:p w:rsidR="006671C8" w:rsidRDefault="00EE5AC8">
      <w:pPr>
        <w:pStyle w:val="Zkladntext1"/>
        <w:numPr>
          <w:ilvl w:val="0"/>
          <w:numId w:val="3"/>
        </w:numPr>
        <w:shd w:val="clear" w:color="auto" w:fill="auto"/>
        <w:tabs>
          <w:tab w:val="left" w:pos="714"/>
        </w:tabs>
        <w:jc w:val="both"/>
      </w:pPr>
      <w:r>
        <w:t>Smluvní strany prohlašují, že si tento dodatek pozorn</w:t>
      </w:r>
      <w:r>
        <w:t>ě přečetly, s dodatkem souhlasí a na důkaz toho připojují své podpisy.</w:t>
      </w:r>
    </w:p>
    <w:p w:rsidR="006671C8" w:rsidRDefault="00EE5AC8">
      <w:pPr>
        <w:pStyle w:val="Zkladntext1"/>
        <w:numPr>
          <w:ilvl w:val="0"/>
          <w:numId w:val="3"/>
        </w:numPr>
        <w:shd w:val="clear" w:color="auto" w:fill="auto"/>
        <w:tabs>
          <w:tab w:val="left" w:pos="714"/>
        </w:tabs>
        <w:spacing w:after="500"/>
        <w:jc w:val="both"/>
      </w:pPr>
      <w:r>
        <w:t>Nedílnou součástí tohoto dodatku je příloha č. 1 - kalkulace.</w:t>
      </w:r>
    </w:p>
    <w:p w:rsidR="006671C8" w:rsidRDefault="00EE5AC8">
      <w:pPr>
        <w:pStyle w:val="Zkladntext1"/>
        <w:shd w:val="clear" w:color="auto" w:fill="auto"/>
        <w:spacing w:after="0"/>
        <w:jc w:val="both"/>
        <w:sectPr w:rsidR="006671C8">
          <w:pgSz w:w="11900" w:h="16840"/>
          <w:pgMar w:top="1395" w:right="1370" w:bottom="1209" w:left="1372" w:header="967" w:footer="781" w:gutter="0"/>
          <w:pgNumType w:start="1"/>
          <w:cols w:space="720"/>
          <w:noEndnote/>
          <w:docGrid w:linePitch="360"/>
        </w:sect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4472305</wp:posOffset>
                </wp:positionH>
                <wp:positionV relativeFrom="paragraph">
                  <wp:posOffset>12700</wp:posOffset>
                </wp:positionV>
                <wp:extent cx="807720" cy="18605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807720" cy="186055"/>
                        </a:xfrm>
                        <a:prstGeom prst="rect">
                          <a:avLst/>
                        </a:prstGeom>
                        <a:noFill/>
                      </wps:spPr>
                      <wps:txbx>
                        <w:txbxContent>
                          <w:p w:rsidR="006671C8" w:rsidRDefault="00EE5AC8">
                            <w:pPr>
                              <w:pStyle w:val="Zkladntext1"/>
                              <w:shd w:val="clear" w:color="auto" w:fill="auto"/>
                              <w:spacing w:after="0"/>
                            </w:pPr>
                            <w:r>
                              <w:t>V Praze dne</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2.14999999999998pt;margin-top:1.pt;width:63.600000000000001pt;height:14.6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v:textbox>
                <w10:wrap type="square" side="left" anchorx="page"/>
              </v:shape>
            </w:pict>
          </mc:Fallback>
        </mc:AlternateContent>
      </w:r>
      <w:r>
        <w:t>V Praze dne</w:t>
      </w:r>
    </w:p>
    <w:p w:rsidR="006671C8" w:rsidRDefault="006671C8">
      <w:pPr>
        <w:pStyle w:val="Nadpis10"/>
        <w:keepNext/>
        <w:keepLines/>
        <w:framePr w:w="624" w:h="336" w:wrap="none" w:vAnchor="text" w:hAnchor="page" w:x="1471" w:y="390"/>
        <w:shd w:val="clear" w:color="auto" w:fill="auto"/>
      </w:pPr>
    </w:p>
    <w:p w:rsidR="006671C8" w:rsidRDefault="006671C8">
      <w:pPr>
        <w:spacing w:line="360" w:lineRule="exact"/>
      </w:pPr>
    </w:p>
    <w:p w:rsidR="006671C8" w:rsidRDefault="006671C8">
      <w:pPr>
        <w:spacing w:after="373" w:line="1" w:lineRule="exact"/>
      </w:pPr>
    </w:p>
    <w:p w:rsidR="006671C8" w:rsidRDefault="006671C8">
      <w:pPr>
        <w:spacing w:line="1" w:lineRule="exact"/>
        <w:sectPr w:rsidR="006671C8">
          <w:type w:val="continuous"/>
          <w:pgSz w:w="11900" w:h="16840"/>
          <w:pgMar w:top="1398" w:right="1373" w:bottom="1208" w:left="1373" w:header="0" w:footer="3" w:gutter="0"/>
          <w:cols w:space="720"/>
          <w:noEndnote/>
          <w:docGrid w:linePitch="360"/>
        </w:sectPr>
      </w:pPr>
      <w:bookmarkStart w:id="14" w:name="_GoBack"/>
      <w:bookmarkEnd w:id="14"/>
    </w:p>
    <w:p w:rsidR="006671C8" w:rsidRDefault="00EE5AC8">
      <w:pPr>
        <w:spacing w:line="1" w:lineRule="exact"/>
      </w:pPr>
      <w:r>
        <w:rPr>
          <w:noProof/>
          <w:lang w:bidi="ar-SA"/>
        </w:rPr>
        <mc:AlternateContent>
          <mc:Choice Requires="wps">
            <w:drawing>
              <wp:anchor distT="0" distB="0" distL="0" distR="0" simplePos="0" relativeHeight="125829380" behindDoc="0" locked="0" layoutInCell="1" allowOverlap="1">
                <wp:simplePos x="0" y="0"/>
                <wp:positionH relativeFrom="page">
                  <wp:posOffset>872490</wp:posOffset>
                </wp:positionH>
                <wp:positionV relativeFrom="paragraph">
                  <wp:posOffset>12700</wp:posOffset>
                </wp:positionV>
                <wp:extent cx="685800" cy="18923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685800" cy="189230"/>
                        </a:xfrm>
                        <a:prstGeom prst="rect">
                          <a:avLst/>
                        </a:prstGeom>
                        <a:noFill/>
                      </wps:spPr>
                      <wps:txbx>
                        <w:txbxContent>
                          <w:p w:rsidR="006671C8" w:rsidRDefault="00EE5AC8">
                            <w:pPr>
                              <w:pStyle w:val="Zkladntext1"/>
                              <w:shd w:val="clear" w:color="auto" w:fill="auto"/>
                              <w:spacing w:after="0"/>
                            </w:pPr>
                            <w:r>
                              <w:t>objednatel</w:t>
                            </w:r>
                          </w:p>
                        </w:txbxContent>
                      </wps:txbx>
                      <wps:bodyPr wrap="none" lIns="0" tIns="0" rIns="0" bIns="0"/>
                    </wps:wsp>
                  </a:graphicData>
                </a:graphic>
              </wp:anchor>
            </w:drawing>
          </mc:Choice>
          <mc:Fallback>
            <w:pict>
              <v:shape id="_x0000_s1029" type="#_x0000_t202" style="position:absolute;margin-left:68.700000000000003pt;margin-top:1.pt;width:54.pt;height:14.9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square" anchorx="page"/>
              </v:shape>
            </w:pict>
          </mc:Fallback>
        </mc:AlternateContent>
      </w:r>
    </w:p>
    <w:p w:rsidR="006671C8" w:rsidRDefault="00EE5AC8">
      <w:pPr>
        <w:pStyle w:val="Zkladntext1"/>
        <w:shd w:val="clear" w:color="auto" w:fill="auto"/>
        <w:spacing w:after="0"/>
        <w:ind w:left="4600"/>
      </w:pPr>
      <w:r>
        <w:t>poskytovatel</w:t>
      </w:r>
    </w:p>
    <w:sectPr w:rsidR="006671C8">
      <w:type w:val="continuous"/>
      <w:pgSz w:w="11900" w:h="16840"/>
      <w:pgMar w:top="1398" w:right="1373" w:bottom="1208" w:left="245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AC8" w:rsidRDefault="00EE5AC8">
      <w:r>
        <w:separator/>
      </w:r>
    </w:p>
  </w:endnote>
  <w:endnote w:type="continuationSeparator" w:id="0">
    <w:p w:rsidR="00EE5AC8" w:rsidRDefault="00EE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AC8" w:rsidRDefault="00EE5AC8"/>
  </w:footnote>
  <w:footnote w:type="continuationSeparator" w:id="0">
    <w:p w:rsidR="00EE5AC8" w:rsidRDefault="00EE5AC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7E92"/>
    <w:multiLevelType w:val="multilevel"/>
    <w:tmpl w:val="DB04AF18"/>
    <w:lvl w:ilvl="0">
      <w:start w:val="2"/>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7C5759"/>
    <w:multiLevelType w:val="multilevel"/>
    <w:tmpl w:val="7ADCE2A8"/>
    <w:lvl w:ilvl="0">
      <w:start w:val="1"/>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765BEC"/>
    <w:multiLevelType w:val="multilevel"/>
    <w:tmpl w:val="7C9CCF66"/>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C8"/>
    <w:rsid w:val="006671C8"/>
    <w:rsid w:val="006A009D"/>
    <w:rsid w:val="00EE5A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E68F"/>
  <w15:docId w15:val="{DC1EF0F8-B302-4F8F-B944-C36E968A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24"/>
      <w:szCs w:val="2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0"/>
      <w:szCs w:val="10"/>
      <w:u w:val="none"/>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Nadpis20">
    <w:name w:val="Nadpis #2"/>
    <w:basedOn w:val="Normln"/>
    <w:link w:val="Nadpis2"/>
    <w:pPr>
      <w:shd w:val="clear" w:color="auto" w:fill="FFFFFF"/>
      <w:spacing w:after="200"/>
      <w:jc w:val="center"/>
      <w:outlineLvl w:val="1"/>
    </w:pPr>
    <w:rPr>
      <w:rFonts w:ascii="Arial" w:eastAsia="Arial" w:hAnsi="Arial" w:cs="Arial"/>
      <w:b/>
      <w:bCs/>
      <w:sz w:val="22"/>
      <w:szCs w:val="22"/>
    </w:rPr>
  </w:style>
  <w:style w:type="paragraph" w:customStyle="1" w:styleId="Nadpis10">
    <w:name w:val="Nadpis #1"/>
    <w:basedOn w:val="Normln"/>
    <w:link w:val="Nadpis1"/>
    <w:pPr>
      <w:shd w:val="clear" w:color="auto" w:fill="FFFFFF"/>
      <w:outlineLvl w:val="0"/>
    </w:pPr>
    <w:rPr>
      <w:rFonts w:ascii="Calibri" w:eastAsia="Calibri" w:hAnsi="Calibri" w:cs="Calibri"/>
    </w:rPr>
  </w:style>
  <w:style w:type="paragraph" w:customStyle="1" w:styleId="Zkladntext20">
    <w:name w:val="Základní text (2)"/>
    <w:basedOn w:val="Normln"/>
    <w:link w:val="Zkladntext2"/>
    <w:pPr>
      <w:shd w:val="clear" w:color="auto" w:fill="FFFFFF"/>
      <w:spacing w:line="266" w:lineRule="auto"/>
    </w:pPr>
    <w:rPr>
      <w:rFonts w:ascii="Arial" w:eastAsia="Arial" w:hAnsi="Arial" w:cs="Arial"/>
      <w:sz w:val="13"/>
      <w:szCs w:val="13"/>
    </w:rPr>
  </w:style>
  <w:style w:type="paragraph" w:customStyle="1" w:styleId="Zkladntext30">
    <w:name w:val="Základní text (3)"/>
    <w:basedOn w:val="Normln"/>
    <w:link w:val="Zkladntext3"/>
    <w:pPr>
      <w:shd w:val="clear" w:color="auto" w:fill="FFFFFF"/>
      <w:spacing w:line="290" w:lineRule="auto"/>
    </w:pPr>
    <w:rPr>
      <w:rFonts w:ascii="Arial" w:eastAsia="Arial" w:hAnsi="Arial" w:cs="Arial"/>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680</Words>
  <Characters>4018</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Vokřálová</dc:creator>
  <cp:keywords/>
  <cp:lastModifiedBy>Zdenka Šímová</cp:lastModifiedBy>
  <cp:revision>2</cp:revision>
  <dcterms:created xsi:type="dcterms:W3CDTF">2021-06-04T09:37:00Z</dcterms:created>
  <dcterms:modified xsi:type="dcterms:W3CDTF">2021-06-04T09:39:00Z</dcterms:modified>
</cp:coreProperties>
</file>