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97" w:rsidRPr="0037391F" w:rsidRDefault="00655040" w:rsidP="00F7028E">
      <w:pPr>
        <w:pStyle w:val="Nadpis4"/>
        <w:jc w:val="center"/>
      </w:pPr>
      <w:r>
        <w:t xml:space="preserve">Dodatek č. </w:t>
      </w:r>
      <w:r w:rsidR="00DE15AC">
        <w:t>2</w:t>
      </w:r>
    </w:p>
    <w:p w:rsidR="002F4331" w:rsidRPr="0037391F" w:rsidRDefault="00655040" w:rsidP="002F4331">
      <w:pPr>
        <w:ind w:left="708" w:hanging="708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k </w:t>
      </w:r>
      <w:r w:rsidR="002F4331" w:rsidRPr="0037391F">
        <w:rPr>
          <w:b/>
          <w:sz w:val="28"/>
          <w:szCs w:val="28"/>
        </w:rPr>
        <w:t>Příkazní smlouv</w:t>
      </w:r>
      <w:r>
        <w:rPr>
          <w:b/>
          <w:sz w:val="28"/>
          <w:szCs w:val="28"/>
        </w:rPr>
        <w:t>ě</w:t>
      </w:r>
      <w:r w:rsidR="002F4331" w:rsidRPr="0037391F">
        <w:rPr>
          <w:b/>
          <w:sz w:val="28"/>
          <w:szCs w:val="28"/>
        </w:rPr>
        <w:t xml:space="preserve"> č.</w:t>
      </w:r>
      <w:r w:rsidR="008264E1">
        <w:rPr>
          <w:b/>
          <w:sz w:val="28"/>
          <w:szCs w:val="28"/>
        </w:rPr>
        <w:t xml:space="preserve"> 84/2020/8/36/1</w:t>
      </w:r>
    </w:p>
    <w:p w:rsidR="002F4331" w:rsidRPr="0037391F" w:rsidRDefault="002F4331" w:rsidP="002F4331">
      <w:pPr>
        <w:jc w:val="center"/>
        <w:rPr>
          <w:sz w:val="20"/>
          <w:szCs w:val="20"/>
        </w:rPr>
      </w:pPr>
    </w:p>
    <w:p w:rsidR="002F4331" w:rsidRPr="0037391F" w:rsidRDefault="002F4331" w:rsidP="002F4331">
      <w:pPr>
        <w:jc w:val="center"/>
        <w:rPr>
          <w:sz w:val="20"/>
          <w:szCs w:val="20"/>
        </w:rPr>
      </w:pPr>
      <w:r w:rsidRPr="0037391F">
        <w:rPr>
          <w:sz w:val="20"/>
          <w:szCs w:val="20"/>
        </w:rPr>
        <w:t xml:space="preserve">ve smyslu ustanovení § 2430 a následujících zákona č. 89/2012 Sb., občanský zákoník (dále jen „občanský zákoník“), </w:t>
      </w:r>
    </w:p>
    <w:p w:rsidR="002F4331" w:rsidRPr="0037391F" w:rsidRDefault="00F635C1" w:rsidP="002F4331">
      <w:pPr>
        <w:jc w:val="center"/>
        <w:rPr>
          <w:b/>
        </w:rPr>
      </w:pPr>
      <w:r>
        <w:rPr>
          <w:b/>
        </w:rPr>
        <w:t xml:space="preserve">(dále jen dodatek č. </w:t>
      </w:r>
      <w:r w:rsidR="002343ED">
        <w:rPr>
          <w:b/>
        </w:rPr>
        <w:t>2</w:t>
      </w:r>
      <w:r>
        <w:rPr>
          <w:b/>
        </w:rPr>
        <w:t>)</w:t>
      </w:r>
    </w:p>
    <w:p w:rsidR="002F4331" w:rsidRPr="0037391F" w:rsidRDefault="002F4331" w:rsidP="002F4331">
      <w:pPr>
        <w:tabs>
          <w:tab w:val="left" w:pos="6550"/>
        </w:tabs>
        <w:rPr>
          <w:b/>
        </w:rPr>
      </w:pPr>
      <w:r w:rsidRPr="0037391F">
        <w:rPr>
          <w:b/>
        </w:rPr>
        <w:tab/>
      </w:r>
    </w:p>
    <w:p w:rsidR="00B47247" w:rsidRPr="0037391F" w:rsidRDefault="00B47247" w:rsidP="002F4331">
      <w:pPr>
        <w:tabs>
          <w:tab w:val="left" w:pos="6550"/>
        </w:tabs>
        <w:rPr>
          <w:b/>
        </w:rPr>
      </w:pPr>
    </w:p>
    <w:p w:rsidR="002F4331" w:rsidRPr="0037391F" w:rsidRDefault="002F4331" w:rsidP="002F4331">
      <w:pPr>
        <w:jc w:val="both"/>
        <w:rPr>
          <w:b/>
        </w:rPr>
      </w:pPr>
      <w:r w:rsidRPr="0037391F">
        <w:rPr>
          <w:b/>
        </w:rPr>
        <w:t xml:space="preserve">Moravské zemské muzeum </w:t>
      </w:r>
    </w:p>
    <w:p w:rsidR="002F4331" w:rsidRPr="0037391F" w:rsidRDefault="002F4331" w:rsidP="002F4331">
      <w:pPr>
        <w:jc w:val="both"/>
      </w:pPr>
      <w:r w:rsidRPr="0037391F">
        <w:t>státní příspěvková organizace</w:t>
      </w:r>
    </w:p>
    <w:p w:rsidR="002F4331" w:rsidRPr="0037391F" w:rsidRDefault="002F4331" w:rsidP="002F4331">
      <w:pPr>
        <w:jc w:val="both"/>
      </w:pPr>
      <w:r w:rsidRPr="0037391F">
        <w:t>se sídlem Zelný trh 6, 659 37 Brno</w:t>
      </w:r>
    </w:p>
    <w:p w:rsidR="002F4331" w:rsidRPr="0037391F" w:rsidRDefault="002F4331" w:rsidP="002F4331">
      <w:pPr>
        <w:jc w:val="both"/>
      </w:pPr>
      <w:r w:rsidRPr="0037391F">
        <w:t>IČO: 00094862</w:t>
      </w:r>
    </w:p>
    <w:p w:rsidR="002F4331" w:rsidRPr="0037391F" w:rsidRDefault="002F4331" w:rsidP="002F4331">
      <w:pPr>
        <w:jc w:val="both"/>
      </w:pPr>
      <w:r w:rsidRPr="0037391F">
        <w:t>DIČ: CZ00094862</w:t>
      </w:r>
    </w:p>
    <w:p w:rsidR="002F4331" w:rsidRPr="0037391F" w:rsidRDefault="002F4331" w:rsidP="002F4331">
      <w:pPr>
        <w:jc w:val="both"/>
      </w:pPr>
      <w:r w:rsidRPr="0037391F">
        <w:t>zastoupená generálním ředitelem Mgr. Jiřím Mitáčkem, Ph.D.</w:t>
      </w:r>
    </w:p>
    <w:p w:rsidR="00F077A3" w:rsidRPr="0037391F" w:rsidRDefault="00F077A3" w:rsidP="002F4331">
      <w:pPr>
        <w:jc w:val="both"/>
      </w:pPr>
      <w:r w:rsidRPr="0037391F">
        <w:t xml:space="preserve">kontaktní osoba: </w:t>
      </w:r>
      <w:r w:rsidR="00B63F70">
        <w:t>RNDr</w:t>
      </w:r>
      <w:r w:rsidR="0047655F" w:rsidRPr="0037391F">
        <w:t xml:space="preserve">. Barbora Javorová </w:t>
      </w:r>
    </w:p>
    <w:p w:rsidR="002F4331" w:rsidRPr="0037391F" w:rsidRDefault="002F4331" w:rsidP="002F4331">
      <w:pPr>
        <w:jc w:val="both"/>
      </w:pPr>
    </w:p>
    <w:p w:rsidR="002F4331" w:rsidRPr="0037391F" w:rsidRDefault="002F4331" w:rsidP="002F4331">
      <w:pPr>
        <w:jc w:val="both"/>
        <w:rPr>
          <w:b/>
        </w:rPr>
      </w:pPr>
      <w:r w:rsidRPr="0037391F">
        <w:t>(dále jen „příkazce“ nebo též „zadavatel“)</w:t>
      </w:r>
    </w:p>
    <w:p w:rsidR="002F4331" w:rsidRPr="0037391F" w:rsidRDefault="002F4331" w:rsidP="002F4331">
      <w:pPr>
        <w:ind w:left="708"/>
        <w:jc w:val="both"/>
        <w:rPr>
          <w:b/>
        </w:rPr>
      </w:pPr>
    </w:p>
    <w:p w:rsidR="002F4331" w:rsidRPr="0037391F" w:rsidRDefault="002F4331" w:rsidP="002F4331">
      <w:pPr>
        <w:jc w:val="both"/>
        <w:rPr>
          <w:shd w:val="clear" w:color="auto" w:fill="FFFF00"/>
        </w:rPr>
      </w:pPr>
      <w:r w:rsidRPr="0037391F">
        <w:t>a</w:t>
      </w:r>
    </w:p>
    <w:p w:rsidR="002F4331" w:rsidRPr="0037391F" w:rsidRDefault="002F4331" w:rsidP="002F4331">
      <w:pPr>
        <w:jc w:val="both"/>
        <w:rPr>
          <w:shd w:val="clear" w:color="auto" w:fill="FFFF00"/>
        </w:rPr>
      </w:pPr>
    </w:p>
    <w:p w:rsidR="001278DA" w:rsidRPr="0037391F" w:rsidRDefault="008F1563" w:rsidP="001278DA">
      <w:pPr>
        <w:suppressAutoHyphens w:val="0"/>
        <w:rPr>
          <w:b/>
          <w:lang w:eastAsia="cs-CZ"/>
        </w:rPr>
      </w:pPr>
      <w:r w:rsidRPr="0037391F">
        <w:rPr>
          <w:b/>
          <w:bCs/>
        </w:rPr>
        <w:t xml:space="preserve">PhDr. </w:t>
      </w:r>
      <w:r w:rsidR="001278DA" w:rsidRPr="0037391F">
        <w:rPr>
          <w:b/>
          <w:bCs/>
        </w:rPr>
        <w:t xml:space="preserve">Jan </w:t>
      </w:r>
      <w:proofErr w:type="spellStart"/>
      <w:r w:rsidR="001278DA" w:rsidRPr="0037391F">
        <w:rPr>
          <w:b/>
          <w:bCs/>
        </w:rPr>
        <w:t>Stolár</w:t>
      </w:r>
      <w:proofErr w:type="spellEnd"/>
      <w:r w:rsidR="001278DA" w:rsidRPr="0037391F">
        <w:rPr>
          <w:b/>
          <w:lang w:eastAsia="cs-CZ"/>
        </w:rPr>
        <w:t xml:space="preserve"> </w:t>
      </w:r>
    </w:p>
    <w:p w:rsidR="001278DA" w:rsidRPr="0037391F" w:rsidRDefault="001278DA" w:rsidP="001278DA">
      <w:pPr>
        <w:suppressAutoHyphens w:val="0"/>
        <w:rPr>
          <w:lang w:eastAsia="cs-CZ"/>
        </w:rPr>
      </w:pPr>
      <w:r w:rsidRPr="0037391F">
        <w:rPr>
          <w:lang w:eastAsia="cs-CZ"/>
        </w:rPr>
        <w:t xml:space="preserve">bytem/se sídlem </w:t>
      </w:r>
      <w:r w:rsidRPr="0037391F">
        <w:t>Svárov 109, 273 51</w:t>
      </w:r>
    </w:p>
    <w:p w:rsidR="001278DA" w:rsidRPr="0037391F" w:rsidRDefault="001278DA" w:rsidP="001278DA">
      <w:pPr>
        <w:suppressAutoHyphens w:val="0"/>
        <w:rPr>
          <w:lang w:eastAsia="cs-CZ"/>
        </w:rPr>
      </w:pPr>
      <w:r w:rsidRPr="0037391F">
        <w:rPr>
          <w:lang w:eastAsia="cs-CZ"/>
        </w:rPr>
        <w:t xml:space="preserve">IČ: </w:t>
      </w:r>
      <w:r w:rsidRPr="0037391F">
        <w:t>70769648</w:t>
      </w:r>
      <w:r w:rsidRPr="0037391F">
        <w:rPr>
          <w:lang w:eastAsia="cs-CZ"/>
        </w:rPr>
        <w:t xml:space="preserve">, DIČ: </w:t>
      </w:r>
      <w:r w:rsidRPr="0037391F">
        <w:t>CZ490812083</w:t>
      </w:r>
    </w:p>
    <w:p w:rsidR="001278DA" w:rsidRPr="0037391F" w:rsidRDefault="001278DA" w:rsidP="001278DA">
      <w:pPr>
        <w:suppressAutoHyphens w:val="0"/>
        <w:rPr>
          <w:lang w:eastAsia="cs-CZ"/>
        </w:rPr>
      </w:pPr>
      <w:r w:rsidRPr="0037391F">
        <w:rPr>
          <w:lang w:eastAsia="cs-CZ"/>
        </w:rPr>
        <w:t xml:space="preserve">bankovní spojení </w:t>
      </w:r>
      <w:r w:rsidRPr="0037391F">
        <w:t>578166963/0300</w:t>
      </w:r>
    </w:p>
    <w:p w:rsidR="001278DA" w:rsidRPr="0037391F" w:rsidRDefault="008F1563" w:rsidP="001278DA">
      <w:pPr>
        <w:suppressAutoHyphens w:val="0"/>
        <w:rPr>
          <w:lang w:eastAsia="cs-CZ"/>
        </w:rPr>
      </w:pPr>
      <w:r w:rsidRPr="0037391F">
        <w:rPr>
          <w:lang w:eastAsia="cs-CZ"/>
        </w:rPr>
        <w:t>e-mail: mumbay@seznam.cz</w:t>
      </w:r>
      <w:r w:rsidR="001278DA" w:rsidRPr="0037391F">
        <w:rPr>
          <w:lang w:eastAsia="cs-CZ"/>
        </w:rPr>
        <w:t xml:space="preserve"> </w:t>
      </w:r>
      <w:proofErr w:type="gramStart"/>
      <w:r w:rsidR="001278DA" w:rsidRPr="0037391F">
        <w:rPr>
          <w:lang w:eastAsia="cs-CZ"/>
        </w:rPr>
        <w:t>tel.č.</w:t>
      </w:r>
      <w:proofErr w:type="gramEnd"/>
      <w:r w:rsidR="001278DA" w:rsidRPr="0037391F">
        <w:rPr>
          <w:lang w:eastAsia="cs-CZ"/>
        </w:rPr>
        <w:t xml:space="preserve">: </w:t>
      </w:r>
      <w:r w:rsidR="001278DA" w:rsidRPr="0037391F">
        <w:t>605 221 093</w:t>
      </w:r>
    </w:p>
    <w:p w:rsidR="002F4331" w:rsidRPr="0037391F" w:rsidRDefault="002F4331" w:rsidP="002F4331">
      <w:pPr>
        <w:shd w:val="clear" w:color="auto" w:fill="FFFFFF"/>
        <w:jc w:val="both"/>
      </w:pPr>
      <w:r w:rsidRPr="0037391F">
        <w:tab/>
      </w:r>
    </w:p>
    <w:p w:rsidR="002F4331" w:rsidRPr="0037391F" w:rsidRDefault="002F4331" w:rsidP="002F4331">
      <w:pPr>
        <w:jc w:val="both"/>
      </w:pPr>
      <w:r w:rsidRPr="0037391F">
        <w:t>(dále jen „příkazník“)</w:t>
      </w:r>
    </w:p>
    <w:p w:rsidR="002F4331" w:rsidRPr="0037391F" w:rsidRDefault="002F4331" w:rsidP="002F4331">
      <w:pPr>
        <w:jc w:val="both"/>
      </w:pPr>
    </w:p>
    <w:p w:rsidR="004975CC" w:rsidRPr="0037391F" w:rsidRDefault="002F4331" w:rsidP="00DE15AC">
      <w:pPr>
        <w:jc w:val="both"/>
      </w:pPr>
      <w:r w:rsidRPr="0037391F">
        <w:t>(dále společně též jen „smluvní strany“ nebo „strany této smlouvy“)</w:t>
      </w:r>
    </w:p>
    <w:p w:rsidR="001278DA" w:rsidRPr="0037391F" w:rsidRDefault="001278DA"/>
    <w:p w:rsidR="001278DA" w:rsidRPr="0037391F" w:rsidRDefault="001278DA"/>
    <w:p w:rsidR="00F94A14" w:rsidRPr="0037391F" w:rsidRDefault="00655040" w:rsidP="00F94A14">
      <w:pPr>
        <w:jc w:val="center"/>
        <w:rPr>
          <w:b/>
        </w:rPr>
      </w:pPr>
      <w:r>
        <w:rPr>
          <w:b/>
        </w:rPr>
        <w:t>A.</w:t>
      </w:r>
    </w:p>
    <w:p w:rsidR="001278DA" w:rsidRDefault="00655040" w:rsidP="00655040">
      <w:pPr>
        <w:pStyle w:val="Odstavecseseznamem"/>
        <w:widowControl w:val="0"/>
        <w:numPr>
          <w:ilvl w:val="0"/>
          <w:numId w:val="27"/>
        </w:numPr>
        <w:jc w:val="both"/>
        <w:rPr>
          <w:lang w:eastAsia="ar-SA"/>
        </w:rPr>
      </w:pPr>
      <w:r w:rsidRPr="00655040">
        <w:t xml:space="preserve">Shora označené smluvní strany </w:t>
      </w:r>
      <w:r>
        <w:t>uzavřely Příkazní smlouvu č. 84/2020/8/36/1</w:t>
      </w:r>
      <w:r w:rsidR="00DE15AC">
        <w:t xml:space="preserve">, kterou následně upravily Dodatkem č. 1 ze dne 25. 5. 2020 (dále jen Příkazní smlouva), </w:t>
      </w:r>
      <w:r>
        <w:t xml:space="preserve"> jejímž předmětem je </w:t>
      </w:r>
      <w:r w:rsidRPr="0037391F">
        <w:rPr>
          <w:szCs w:val="24"/>
        </w:rPr>
        <w:t>obstarání některých záležitosti příkazce, které jako závazky pro příkazce vyplývají</w:t>
      </w:r>
      <w:r>
        <w:t xml:space="preserve"> ze </w:t>
      </w:r>
      <w:r w:rsidR="001278DA" w:rsidRPr="0037391F">
        <w:t>Smlouv</w:t>
      </w:r>
      <w:r>
        <w:t>y</w:t>
      </w:r>
      <w:r w:rsidR="001278DA" w:rsidRPr="0037391F">
        <w:t xml:space="preserve"> o </w:t>
      </w:r>
      <w:r w:rsidR="001278DA" w:rsidRPr="00655040">
        <w:rPr>
          <w:bCs/>
        </w:rPr>
        <w:t xml:space="preserve">vzájemné spolupráci při pořádání výstavy </w:t>
      </w:r>
      <w:proofErr w:type="gramStart"/>
      <w:r w:rsidR="001278DA" w:rsidRPr="00655040">
        <w:rPr>
          <w:bCs/>
        </w:rPr>
        <w:t>č.j.</w:t>
      </w:r>
      <w:proofErr w:type="gramEnd"/>
      <w:r w:rsidR="001278DA" w:rsidRPr="00655040">
        <w:rPr>
          <w:bCs/>
        </w:rPr>
        <w:t xml:space="preserve"> SPH 915/2019 ze dne 5. 6. 2019  ve znění  Dodatku č. </w:t>
      </w:r>
      <w:r w:rsidR="00BE75BF">
        <w:rPr>
          <w:bCs/>
        </w:rPr>
        <w:t>4</w:t>
      </w:r>
      <w:r w:rsidR="001278DA" w:rsidRPr="00655040">
        <w:rPr>
          <w:bCs/>
        </w:rPr>
        <w:t xml:space="preserve"> uzavřené mezi Moravským zemským muzeem na straně jedné a Správou Pražského hradu na straně druhé </w:t>
      </w:r>
      <w:r w:rsidR="008D3E77" w:rsidRPr="00655040">
        <w:rPr>
          <w:bCs/>
        </w:rPr>
        <w:t xml:space="preserve">(dále jen Smlouva SPH 915/2019) </w:t>
      </w:r>
      <w:r w:rsidR="001278DA" w:rsidRPr="00655040">
        <w:rPr>
          <w:bCs/>
        </w:rPr>
        <w:t xml:space="preserve">v souvislosti s výstavou s </w:t>
      </w:r>
      <w:r w:rsidR="001278DA" w:rsidRPr="0037391F">
        <w:rPr>
          <w:lang w:eastAsia="zh-CN"/>
        </w:rPr>
        <w:t xml:space="preserve">pracovním názvem </w:t>
      </w:r>
      <w:r w:rsidR="001278DA" w:rsidRPr="00655040">
        <w:rPr>
          <w:lang w:eastAsia="zh-CN"/>
        </w:rPr>
        <w:t>„Jan Amos Komenský“</w:t>
      </w:r>
      <w:r w:rsidR="001278DA" w:rsidRPr="0037391F">
        <w:rPr>
          <w:lang w:eastAsia="zh-CN"/>
        </w:rPr>
        <w:t>,</w:t>
      </w:r>
      <w:r w:rsidR="001278DA" w:rsidRPr="00655040">
        <w:rPr>
          <w:b/>
          <w:lang w:eastAsia="zh-CN"/>
        </w:rPr>
        <w:t xml:space="preserve"> </w:t>
      </w:r>
      <w:r w:rsidR="001278DA" w:rsidRPr="0037391F">
        <w:rPr>
          <w:lang w:eastAsia="zh-CN"/>
        </w:rPr>
        <w:t xml:space="preserve">která se </w:t>
      </w:r>
      <w:r w:rsidR="00BE75BF">
        <w:rPr>
          <w:lang w:eastAsia="zh-CN"/>
        </w:rPr>
        <w:t xml:space="preserve">koná </w:t>
      </w:r>
      <w:r w:rsidR="001278DA" w:rsidRPr="00BE75BF">
        <w:rPr>
          <w:lang w:eastAsia="zh-CN"/>
        </w:rPr>
        <w:t>v</w:t>
      </w:r>
      <w:r w:rsidR="001278DA" w:rsidRPr="00655040">
        <w:rPr>
          <w:b/>
          <w:lang w:eastAsia="zh-CN"/>
        </w:rPr>
        <w:t xml:space="preserve"> </w:t>
      </w:r>
      <w:r w:rsidR="001278DA" w:rsidRPr="00655040">
        <w:rPr>
          <w:lang w:eastAsia="zh-CN"/>
        </w:rPr>
        <w:t>Jízdárně Pražského hradu</w:t>
      </w:r>
      <w:r w:rsidR="001278DA" w:rsidRPr="00655040">
        <w:rPr>
          <w:b/>
          <w:lang w:eastAsia="zh-CN"/>
        </w:rPr>
        <w:t xml:space="preserve"> </w:t>
      </w:r>
      <w:r w:rsidR="001278DA" w:rsidRPr="0037391F">
        <w:rPr>
          <w:lang w:eastAsia="zh-CN"/>
        </w:rPr>
        <w:t xml:space="preserve">v období </w:t>
      </w:r>
      <w:r w:rsidR="00B47247" w:rsidRPr="00655040">
        <w:t xml:space="preserve">do </w:t>
      </w:r>
      <w:r w:rsidR="00BE75BF">
        <w:t>31. 5. 2021</w:t>
      </w:r>
      <w:r w:rsidR="001278DA" w:rsidRPr="00655040">
        <w:rPr>
          <w:b/>
          <w:lang w:eastAsia="zh-CN"/>
        </w:rPr>
        <w:t xml:space="preserve"> </w:t>
      </w:r>
      <w:r w:rsidR="001278DA" w:rsidRPr="0037391F">
        <w:rPr>
          <w:lang w:eastAsia="zh-CN"/>
        </w:rPr>
        <w:t xml:space="preserve">(dále jen „Výstava“). </w:t>
      </w:r>
    </w:p>
    <w:p w:rsidR="00655040" w:rsidRDefault="00655040" w:rsidP="00655040">
      <w:pPr>
        <w:pStyle w:val="Odstavecseseznamem"/>
        <w:widowControl w:val="0"/>
        <w:jc w:val="both"/>
        <w:rPr>
          <w:lang w:eastAsia="ar-SA"/>
        </w:rPr>
      </w:pPr>
    </w:p>
    <w:p w:rsidR="00655040" w:rsidRDefault="00655040" w:rsidP="00655040">
      <w:pPr>
        <w:pStyle w:val="Odstavecseseznamem"/>
        <w:widowControl w:val="0"/>
        <w:numPr>
          <w:ilvl w:val="0"/>
          <w:numId w:val="27"/>
        </w:numPr>
        <w:jc w:val="both"/>
        <w:rPr>
          <w:lang w:eastAsia="ar-SA"/>
        </w:rPr>
      </w:pPr>
      <w:r>
        <w:rPr>
          <w:lang w:eastAsia="ar-SA"/>
        </w:rPr>
        <w:t xml:space="preserve">S ohledem na skutečnost, že </w:t>
      </w:r>
      <w:r w:rsidR="00DE15AC">
        <w:rPr>
          <w:lang w:eastAsia="ar-SA"/>
        </w:rPr>
        <w:t xml:space="preserve">z důvodů proti epidemiologických opatření přijatých vládou České republiky v souvislosti se šířením viru COVID-19 došlo ke změně termínu konání výstavy specifikované v odst. 1 článku A. tohoto dodatku, </w:t>
      </w:r>
      <w:r>
        <w:rPr>
          <w:lang w:eastAsia="ar-SA"/>
        </w:rPr>
        <w:t xml:space="preserve">vyvstala potřeba </w:t>
      </w:r>
      <w:r w:rsidR="00DE15AC">
        <w:rPr>
          <w:lang w:eastAsia="ar-SA"/>
        </w:rPr>
        <w:t>upravit některá práva a povinnosti smluvních stran Příkazní smlouvy a prodloužit dobu jejího trvání</w:t>
      </w:r>
      <w:r>
        <w:rPr>
          <w:lang w:eastAsia="ar-SA"/>
        </w:rPr>
        <w:t xml:space="preserve">, dohodly se smluvní strany na tomto </w:t>
      </w:r>
      <w:r w:rsidR="00DE15AC">
        <w:rPr>
          <w:lang w:eastAsia="ar-SA"/>
        </w:rPr>
        <w:t>D</w:t>
      </w:r>
      <w:r>
        <w:rPr>
          <w:lang w:eastAsia="ar-SA"/>
        </w:rPr>
        <w:t xml:space="preserve">odatku č. </w:t>
      </w:r>
      <w:r w:rsidR="00DE15AC">
        <w:rPr>
          <w:lang w:eastAsia="ar-SA"/>
        </w:rPr>
        <w:t>2 k Příkazní smlouvě</w:t>
      </w:r>
      <w:r>
        <w:rPr>
          <w:lang w:eastAsia="ar-SA"/>
        </w:rPr>
        <w:t>.</w:t>
      </w:r>
    </w:p>
    <w:p w:rsidR="00DE15AC" w:rsidRDefault="00655040" w:rsidP="00DE15AC">
      <w:pPr>
        <w:pStyle w:val="Odstavecseseznamem"/>
        <w:widowControl w:val="0"/>
        <w:ind w:left="0"/>
        <w:jc w:val="center"/>
        <w:rPr>
          <w:b/>
          <w:lang w:eastAsia="ar-SA"/>
        </w:rPr>
      </w:pPr>
      <w:r w:rsidRPr="00655040">
        <w:rPr>
          <w:b/>
          <w:lang w:eastAsia="ar-SA"/>
        </w:rPr>
        <w:lastRenderedPageBreak/>
        <w:t>B.</w:t>
      </w:r>
    </w:p>
    <w:p w:rsidR="00655040" w:rsidRPr="00DE15AC" w:rsidRDefault="00DE15AC" w:rsidP="00DE15AC">
      <w:pPr>
        <w:pStyle w:val="Odstavecseseznamem"/>
        <w:widowControl w:val="0"/>
        <w:numPr>
          <w:ilvl w:val="0"/>
          <w:numId w:val="34"/>
        </w:numPr>
        <w:rPr>
          <w:b/>
          <w:lang w:eastAsia="ar-SA"/>
        </w:rPr>
      </w:pPr>
      <w:r>
        <w:t xml:space="preserve">Shora označené smluvní strany se dohodly na změně článku II. Doba trvání smlouvy odstavce </w:t>
      </w:r>
      <w:proofErr w:type="gramStart"/>
      <w:r>
        <w:t>2.1., který</w:t>
      </w:r>
      <w:proofErr w:type="gramEnd"/>
      <w:r>
        <w:t xml:space="preserve"> nově zní:</w:t>
      </w:r>
    </w:p>
    <w:p w:rsidR="00DE15AC" w:rsidRDefault="00DE15AC" w:rsidP="00DE15AC">
      <w:pPr>
        <w:pStyle w:val="Odstavecseseznamem"/>
        <w:rPr>
          <w:b/>
          <w:bCs/>
          <w:i/>
          <w:iCs/>
        </w:rPr>
      </w:pPr>
    </w:p>
    <w:p w:rsidR="00DE15AC" w:rsidRPr="00DE15AC" w:rsidRDefault="00DE15AC" w:rsidP="00DE15AC">
      <w:pPr>
        <w:pStyle w:val="Odstavecseseznamem"/>
        <w:rPr>
          <w:b/>
          <w:bCs/>
          <w:i/>
          <w:iCs/>
        </w:rPr>
      </w:pPr>
      <w:r>
        <w:rPr>
          <w:b/>
          <w:bCs/>
          <w:i/>
          <w:iCs/>
        </w:rPr>
        <w:t xml:space="preserve">2.1. </w:t>
      </w:r>
      <w:r w:rsidRPr="00DE15AC">
        <w:rPr>
          <w:b/>
          <w:bCs/>
          <w:i/>
          <w:iCs/>
        </w:rPr>
        <w:t>Smlouva se uzavírá na dobu od 3. 4. 2020 do 30. 6. 2021.</w:t>
      </w:r>
    </w:p>
    <w:p w:rsidR="00DE15AC" w:rsidRPr="00DE15AC" w:rsidRDefault="00DE15AC" w:rsidP="00DE15AC">
      <w:pPr>
        <w:pStyle w:val="Odstavecseseznamem"/>
        <w:widowControl w:val="0"/>
        <w:rPr>
          <w:b/>
          <w:lang w:eastAsia="ar-SA"/>
        </w:rPr>
      </w:pPr>
    </w:p>
    <w:p w:rsidR="00DE15AC" w:rsidRPr="00DE15AC" w:rsidRDefault="00DE15AC" w:rsidP="00DE15AC">
      <w:pPr>
        <w:pStyle w:val="Odstavecseseznamem"/>
        <w:widowControl w:val="0"/>
        <w:numPr>
          <w:ilvl w:val="0"/>
          <w:numId w:val="34"/>
        </w:numPr>
        <w:rPr>
          <w:b/>
          <w:lang w:eastAsia="ar-SA"/>
        </w:rPr>
      </w:pPr>
      <w:r>
        <w:rPr>
          <w:bCs/>
          <w:lang w:eastAsia="ar-SA"/>
        </w:rPr>
        <w:t xml:space="preserve">Smluvní strany se dále dohodly </w:t>
      </w:r>
      <w:r w:rsidR="00873197">
        <w:rPr>
          <w:bCs/>
          <w:lang w:eastAsia="ar-SA"/>
        </w:rPr>
        <w:t xml:space="preserve">na změně čl. VI. Odměna a její splatnost tak, že tento článek nově zní: </w:t>
      </w:r>
    </w:p>
    <w:p w:rsidR="00F94A14" w:rsidRPr="0037391F" w:rsidRDefault="00F94A14" w:rsidP="00873197">
      <w:pPr>
        <w:rPr>
          <w:b/>
        </w:rPr>
      </w:pPr>
    </w:p>
    <w:p w:rsidR="00F94A14" w:rsidRPr="00873197" w:rsidRDefault="00F94A14" w:rsidP="00F94A14">
      <w:pPr>
        <w:jc w:val="center"/>
        <w:rPr>
          <w:b/>
          <w:i/>
          <w:iCs/>
        </w:rPr>
      </w:pPr>
      <w:r w:rsidRPr="00873197">
        <w:rPr>
          <w:b/>
          <w:i/>
          <w:iCs/>
        </w:rPr>
        <w:t>VI.</w:t>
      </w:r>
    </w:p>
    <w:p w:rsidR="00F94A14" w:rsidRPr="00873197" w:rsidRDefault="006063DA" w:rsidP="00F94A14">
      <w:pPr>
        <w:jc w:val="center"/>
        <w:rPr>
          <w:b/>
          <w:i/>
          <w:iCs/>
        </w:rPr>
      </w:pPr>
      <w:r w:rsidRPr="00873197">
        <w:rPr>
          <w:b/>
          <w:i/>
          <w:iCs/>
        </w:rPr>
        <w:t>Odměna a její splatnost</w:t>
      </w:r>
    </w:p>
    <w:p w:rsidR="006063DA" w:rsidRPr="00873197" w:rsidRDefault="006063DA" w:rsidP="006063DA">
      <w:pPr>
        <w:jc w:val="both"/>
        <w:textAlignment w:val="baseline"/>
        <w:rPr>
          <w:b/>
          <w:i/>
          <w:iCs/>
        </w:rPr>
      </w:pPr>
    </w:p>
    <w:p w:rsidR="0079267C" w:rsidRPr="00873197" w:rsidRDefault="0079267C" w:rsidP="00655040">
      <w:pPr>
        <w:pStyle w:val="Odstavecseseznamem"/>
        <w:numPr>
          <w:ilvl w:val="1"/>
          <w:numId w:val="23"/>
        </w:numPr>
        <w:jc w:val="both"/>
        <w:textAlignment w:val="baseline"/>
        <w:rPr>
          <w:b/>
          <w:i/>
          <w:iCs/>
          <w:szCs w:val="24"/>
        </w:rPr>
      </w:pPr>
      <w:r w:rsidRPr="00873197">
        <w:rPr>
          <w:b/>
          <w:i/>
          <w:iCs/>
          <w:szCs w:val="24"/>
        </w:rPr>
        <w:t xml:space="preserve"> </w:t>
      </w:r>
      <w:r w:rsidR="006063DA" w:rsidRPr="00873197">
        <w:rPr>
          <w:b/>
          <w:i/>
          <w:iCs/>
          <w:szCs w:val="24"/>
        </w:rPr>
        <w:t xml:space="preserve">Odměna za činnost dle této smlouvy se sjednává ve výši </w:t>
      </w:r>
      <w:r w:rsidR="00873197" w:rsidRPr="00873197">
        <w:rPr>
          <w:b/>
          <w:i/>
          <w:iCs/>
          <w:szCs w:val="24"/>
        </w:rPr>
        <w:t>479</w:t>
      </w:r>
      <w:r w:rsidR="00841B89" w:rsidRPr="00873197">
        <w:rPr>
          <w:b/>
          <w:i/>
          <w:iCs/>
          <w:szCs w:val="24"/>
        </w:rPr>
        <w:t>.000,- Kč</w:t>
      </w:r>
    </w:p>
    <w:p w:rsidR="008264E1" w:rsidRPr="00873197" w:rsidRDefault="008264E1" w:rsidP="008264E1">
      <w:pPr>
        <w:pStyle w:val="Odstavecseseznamem"/>
        <w:ind w:left="360"/>
        <w:jc w:val="both"/>
        <w:textAlignment w:val="baseline"/>
        <w:rPr>
          <w:b/>
          <w:i/>
          <w:iCs/>
          <w:szCs w:val="24"/>
        </w:rPr>
      </w:pPr>
    </w:p>
    <w:p w:rsidR="00873197" w:rsidRPr="00873197" w:rsidRDefault="0079267C" w:rsidP="00873197">
      <w:pPr>
        <w:pStyle w:val="Odstavecseseznamem"/>
        <w:numPr>
          <w:ilvl w:val="1"/>
          <w:numId w:val="23"/>
        </w:numPr>
        <w:jc w:val="both"/>
        <w:textAlignment w:val="baseline"/>
        <w:rPr>
          <w:b/>
          <w:i/>
          <w:iCs/>
          <w:szCs w:val="24"/>
        </w:rPr>
      </w:pPr>
      <w:r w:rsidRPr="00873197">
        <w:rPr>
          <w:b/>
          <w:i/>
          <w:iCs/>
          <w:szCs w:val="24"/>
        </w:rPr>
        <w:t>V takto sjednané odměně jsou zohledněny</w:t>
      </w:r>
      <w:r w:rsidR="00F94A14" w:rsidRPr="00873197">
        <w:rPr>
          <w:b/>
          <w:i/>
          <w:iCs/>
          <w:szCs w:val="24"/>
        </w:rPr>
        <w:t xml:space="preserve"> všech</w:t>
      </w:r>
      <w:r w:rsidRPr="00873197">
        <w:rPr>
          <w:b/>
          <w:i/>
          <w:iCs/>
          <w:szCs w:val="24"/>
        </w:rPr>
        <w:t>ny činnosti</w:t>
      </w:r>
      <w:r w:rsidR="00F94A14" w:rsidRPr="00873197">
        <w:rPr>
          <w:b/>
          <w:i/>
          <w:iCs/>
          <w:szCs w:val="24"/>
        </w:rPr>
        <w:t xml:space="preserve"> a náklad</w:t>
      </w:r>
      <w:r w:rsidRPr="00873197">
        <w:rPr>
          <w:b/>
          <w:i/>
          <w:iCs/>
          <w:szCs w:val="24"/>
        </w:rPr>
        <w:t>y</w:t>
      </w:r>
      <w:r w:rsidR="00F94A14" w:rsidRPr="00873197">
        <w:rPr>
          <w:b/>
          <w:i/>
          <w:iCs/>
          <w:szCs w:val="24"/>
        </w:rPr>
        <w:t xml:space="preserve"> příkazníka, tedy jak odměn</w:t>
      </w:r>
      <w:r w:rsidRPr="00873197">
        <w:rPr>
          <w:b/>
          <w:i/>
          <w:iCs/>
          <w:szCs w:val="24"/>
        </w:rPr>
        <w:t>a</w:t>
      </w:r>
      <w:r w:rsidR="00F94A14" w:rsidRPr="00873197">
        <w:rPr>
          <w:b/>
          <w:i/>
          <w:iCs/>
          <w:szCs w:val="24"/>
        </w:rPr>
        <w:t xml:space="preserve"> za vykonanou práci, tak i náhrad</w:t>
      </w:r>
      <w:r w:rsidRPr="00873197">
        <w:rPr>
          <w:b/>
          <w:i/>
          <w:iCs/>
          <w:szCs w:val="24"/>
        </w:rPr>
        <w:t>a vynaložených nákladů.</w:t>
      </w:r>
      <w:r w:rsidR="00A22C64" w:rsidRPr="00873197">
        <w:rPr>
          <w:b/>
          <w:i/>
          <w:iCs/>
          <w:szCs w:val="24"/>
        </w:rPr>
        <w:t xml:space="preserve"> </w:t>
      </w:r>
    </w:p>
    <w:p w:rsidR="00873197" w:rsidRPr="00873197" w:rsidRDefault="00873197" w:rsidP="00873197">
      <w:pPr>
        <w:jc w:val="both"/>
        <w:textAlignment w:val="baseline"/>
        <w:rPr>
          <w:b/>
          <w:i/>
          <w:iCs/>
        </w:rPr>
      </w:pPr>
    </w:p>
    <w:p w:rsidR="00F94A14" w:rsidRPr="00873197" w:rsidRDefault="0079267C" w:rsidP="0079267C">
      <w:pPr>
        <w:pStyle w:val="Odstavecseseznamem"/>
        <w:numPr>
          <w:ilvl w:val="1"/>
          <w:numId w:val="23"/>
        </w:numPr>
        <w:jc w:val="both"/>
        <w:textAlignment w:val="baseline"/>
        <w:rPr>
          <w:b/>
          <w:i/>
          <w:iCs/>
          <w:szCs w:val="24"/>
        </w:rPr>
      </w:pPr>
      <w:r w:rsidRPr="00873197">
        <w:rPr>
          <w:b/>
          <w:i/>
          <w:iCs/>
          <w:szCs w:val="24"/>
        </w:rPr>
        <w:t xml:space="preserve">Odměna je smluvena jako </w:t>
      </w:r>
      <w:r w:rsidR="00F94A14" w:rsidRPr="00873197">
        <w:rPr>
          <w:b/>
          <w:i/>
          <w:iCs/>
          <w:szCs w:val="24"/>
        </w:rPr>
        <w:t xml:space="preserve">nejvýše přípustná po celou dobu trvání smlouvy. </w:t>
      </w:r>
      <w:r w:rsidRPr="00873197">
        <w:rPr>
          <w:b/>
          <w:i/>
          <w:iCs/>
          <w:szCs w:val="24"/>
        </w:rPr>
        <w:t xml:space="preserve">Sjednanou výši odměny nelze </w:t>
      </w:r>
      <w:r w:rsidR="00F94A14" w:rsidRPr="00873197">
        <w:rPr>
          <w:b/>
          <w:i/>
          <w:iCs/>
          <w:szCs w:val="24"/>
        </w:rPr>
        <w:t>překročit</w:t>
      </w:r>
      <w:r w:rsidRPr="00873197">
        <w:rPr>
          <w:b/>
          <w:i/>
          <w:iCs/>
          <w:szCs w:val="24"/>
        </w:rPr>
        <w:t xml:space="preserve">. </w:t>
      </w:r>
      <w:r w:rsidR="00F94A14" w:rsidRPr="00873197">
        <w:rPr>
          <w:b/>
          <w:i/>
          <w:iCs/>
          <w:szCs w:val="24"/>
        </w:rPr>
        <w:t xml:space="preserve"> </w:t>
      </w:r>
    </w:p>
    <w:p w:rsidR="0079267C" w:rsidRPr="00873197" w:rsidRDefault="0079267C" w:rsidP="0079267C">
      <w:pPr>
        <w:pStyle w:val="Odstavecseseznamem"/>
        <w:rPr>
          <w:b/>
          <w:i/>
          <w:iCs/>
          <w:szCs w:val="24"/>
        </w:rPr>
      </w:pPr>
    </w:p>
    <w:p w:rsidR="00F94A14" w:rsidRPr="00873197" w:rsidRDefault="0079267C" w:rsidP="008264E1">
      <w:pPr>
        <w:pStyle w:val="Odstavecseseznamem"/>
        <w:numPr>
          <w:ilvl w:val="1"/>
          <w:numId w:val="23"/>
        </w:numPr>
        <w:jc w:val="both"/>
        <w:textAlignment w:val="baseline"/>
        <w:rPr>
          <w:b/>
          <w:i/>
          <w:iCs/>
          <w:szCs w:val="24"/>
        </w:rPr>
      </w:pPr>
      <w:r w:rsidRPr="00873197">
        <w:rPr>
          <w:b/>
          <w:i/>
          <w:iCs/>
          <w:szCs w:val="24"/>
        </w:rPr>
        <w:t xml:space="preserve"> </w:t>
      </w:r>
      <w:r w:rsidR="00F94A14" w:rsidRPr="00873197">
        <w:rPr>
          <w:b/>
          <w:i/>
          <w:iCs/>
          <w:szCs w:val="24"/>
        </w:rPr>
        <w:t xml:space="preserve">Příkazce </w:t>
      </w:r>
      <w:r w:rsidRPr="00873197">
        <w:rPr>
          <w:b/>
          <w:i/>
          <w:iCs/>
          <w:szCs w:val="24"/>
        </w:rPr>
        <w:t>se zavazuje uhradit příkazníkovi odměnu v</w:t>
      </w:r>
      <w:r w:rsidR="00873197" w:rsidRPr="00873197">
        <w:rPr>
          <w:b/>
          <w:i/>
          <w:iCs/>
          <w:szCs w:val="24"/>
        </w:rPr>
        <w:t>e čtrnácti (14)</w:t>
      </w:r>
      <w:r w:rsidR="00841B89" w:rsidRPr="00873197">
        <w:rPr>
          <w:b/>
          <w:i/>
          <w:iCs/>
          <w:szCs w:val="24"/>
        </w:rPr>
        <w:t xml:space="preserve"> pravidelných měsíčních splátkách po 33.000,- Kč </w:t>
      </w:r>
      <w:r w:rsidR="00873197" w:rsidRPr="00873197">
        <w:rPr>
          <w:b/>
          <w:i/>
          <w:iCs/>
          <w:szCs w:val="24"/>
        </w:rPr>
        <w:t xml:space="preserve">a jedné (1) splátce ve výši 17.000,- </w:t>
      </w:r>
      <w:proofErr w:type="gramStart"/>
      <w:r w:rsidR="00873197" w:rsidRPr="00873197">
        <w:rPr>
          <w:b/>
          <w:i/>
          <w:iCs/>
          <w:szCs w:val="24"/>
        </w:rPr>
        <w:t xml:space="preserve">Kč,  </w:t>
      </w:r>
      <w:r w:rsidR="00841B89" w:rsidRPr="00873197">
        <w:rPr>
          <w:b/>
          <w:i/>
          <w:iCs/>
          <w:szCs w:val="24"/>
        </w:rPr>
        <w:t>počínaje</w:t>
      </w:r>
      <w:proofErr w:type="gramEnd"/>
      <w:r w:rsidR="00841B89" w:rsidRPr="00873197">
        <w:rPr>
          <w:b/>
          <w:i/>
          <w:iCs/>
          <w:szCs w:val="24"/>
        </w:rPr>
        <w:t xml:space="preserve"> měsícem dubnem 2020. </w:t>
      </w:r>
      <w:r w:rsidR="008264E1" w:rsidRPr="00873197">
        <w:rPr>
          <w:b/>
          <w:i/>
          <w:iCs/>
          <w:szCs w:val="24"/>
        </w:rPr>
        <w:t>Příkazník není plátcem DPH.</w:t>
      </w:r>
    </w:p>
    <w:p w:rsidR="008264E1" w:rsidRPr="00873197" w:rsidRDefault="008264E1" w:rsidP="008264E1">
      <w:pPr>
        <w:pStyle w:val="Odstavecseseznamem"/>
        <w:rPr>
          <w:b/>
          <w:i/>
          <w:iCs/>
          <w:szCs w:val="24"/>
        </w:rPr>
      </w:pPr>
    </w:p>
    <w:p w:rsidR="0079267C" w:rsidRPr="00873197" w:rsidRDefault="0079267C" w:rsidP="0079267C">
      <w:pPr>
        <w:pStyle w:val="Odstavecseseznamem"/>
        <w:numPr>
          <w:ilvl w:val="1"/>
          <w:numId w:val="23"/>
        </w:numPr>
        <w:jc w:val="both"/>
        <w:textAlignment w:val="baseline"/>
        <w:rPr>
          <w:b/>
          <w:i/>
          <w:iCs/>
          <w:szCs w:val="24"/>
        </w:rPr>
      </w:pPr>
      <w:r w:rsidRPr="00873197">
        <w:rPr>
          <w:b/>
          <w:i/>
          <w:iCs/>
          <w:szCs w:val="24"/>
        </w:rPr>
        <w:t xml:space="preserve"> Odměna je splatná na základě faktur vystavených příkazníkem se splatností 30 dnů od doručení příkazci. </w:t>
      </w:r>
      <w:r w:rsidR="00F94A14" w:rsidRPr="00873197">
        <w:rPr>
          <w:b/>
          <w:i/>
          <w:iCs/>
          <w:szCs w:val="24"/>
        </w:rPr>
        <w:t>Faktura musí vždy splňovat náležitosti daňového dokladu podle platných právních předpisů, zejména označení faktury, číslo, IČO a DIČ, název a sídlo příkazce a příkazníka, účtovanou částku, DPH v platné výši, datum uskutečnění zdanitelného plnění, den vystavení a splatnosti faktury a podpis příkazníka.</w:t>
      </w:r>
      <w:r w:rsidRPr="00873197">
        <w:rPr>
          <w:b/>
          <w:i/>
          <w:iCs/>
          <w:szCs w:val="24"/>
        </w:rPr>
        <w:t xml:space="preserve"> </w:t>
      </w:r>
      <w:r w:rsidR="00F94A14" w:rsidRPr="00873197">
        <w:rPr>
          <w:rFonts w:eastAsia="Tahoma"/>
          <w:b/>
          <w:i/>
          <w:iCs/>
          <w:szCs w:val="24"/>
        </w:rPr>
        <w:t>Dnem zaplacení je den odepsání fakturované částky z účtu příkazce ve prospěch účtu příkazníka.</w:t>
      </w:r>
    </w:p>
    <w:p w:rsidR="0079267C" w:rsidRPr="00873197" w:rsidRDefault="0079267C" w:rsidP="0079267C">
      <w:pPr>
        <w:pStyle w:val="Odstavecseseznamem"/>
        <w:ind w:left="360"/>
        <w:jc w:val="both"/>
        <w:textAlignment w:val="baseline"/>
        <w:rPr>
          <w:b/>
          <w:i/>
          <w:iCs/>
          <w:szCs w:val="24"/>
        </w:rPr>
      </w:pPr>
    </w:p>
    <w:p w:rsidR="00F635C1" w:rsidRPr="00873197" w:rsidRDefault="00F94A14" w:rsidP="008264E1">
      <w:pPr>
        <w:pStyle w:val="Odstavecseseznamem"/>
        <w:numPr>
          <w:ilvl w:val="1"/>
          <w:numId w:val="23"/>
        </w:numPr>
        <w:jc w:val="both"/>
        <w:textAlignment w:val="baseline"/>
        <w:rPr>
          <w:b/>
          <w:i/>
          <w:iCs/>
          <w:szCs w:val="24"/>
        </w:rPr>
      </w:pPr>
      <w:r w:rsidRPr="00873197">
        <w:rPr>
          <w:b/>
          <w:i/>
          <w:iCs/>
          <w:szCs w:val="24"/>
        </w:rPr>
        <w:t>Nebude-li faktura obsahovat stanovené náležitosti, nebo v ní nebudou správně uvedené údaje, je příkazce oprávněn vrátit ji ve lhůtě 7 pracovních dnů od jejího doručení zpět příkazníkovi s uvedením chybějících náležitostí nebo nesprávných údajů. V takovém případě příkazce není v prodlení s úhradou faktury a lhůta k její úhradě počne běžet až dnem doručení opravené faktury příkazci.</w:t>
      </w:r>
    </w:p>
    <w:p w:rsidR="00F94A14" w:rsidRPr="00F635C1" w:rsidRDefault="00F94A14" w:rsidP="00F635C1">
      <w:pPr>
        <w:jc w:val="both"/>
        <w:textAlignment w:val="baseline"/>
      </w:pPr>
    </w:p>
    <w:p w:rsidR="00F94A14" w:rsidRPr="00873197" w:rsidRDefault="00873197" w:rsidP="00873197">
      <w:pPr>
        <w:jc w:val="center"/>
        <w:rPr>
          <w:b/>
        </w:rPr>
      </w:pPr>
      <w:r w:rsidRPr="00873197">
        <w:rPr>
          <w:b/>
        </w:rPr>
        <w:t>C.</w:t>
      </w:r>
    </w:p>
    <w:p w:rsidR="00873197" w:rsidRPr="00873197" w:rsidRDefault="00873197" w:rsidP="00873197">
      <w:pPr>
        <w:pStyle w:val="Odstavecseseznamem"/>
        <w:numPr>
          <w:ilvl w:val="0"/>
          <w:numId w:val="29"/>
        </w:numPr>
        <w:jc w:val="both"/>
        <w:rPr>
          <w:bCs/>
        </w:rPr>
      </w:pPr>
      <w:r w:rsidRPr="00873197">
        <w:rPr>
          <w:bCs/>
        </w:rPr>
        <w:t xml:space="preserve">Ostatní ujednání Příkazní smlouvy zůstávají nezměněny. </w:t>
      </w:r>
    </w:p>
    <w:p w:rsidR="00873197" w:rsidRPr="00873197" w:rsidRDefault="00873197" w:rsidP="00873197">
      <w:pPr>
        <w:jc w:val="both"/>
        <w:rPr>
          <w:bCs/>
        </w:rPr>
      </w:pPr>
    </w:p>
    <w:p w:rsidR="00F635C1" w:rsidRDefault="00F635C1" w:rsidP="00F635C1">
      <w:pPr>
        <w:pStyle w:val="Odstavecseseznamem"/>
        <w:numPr>
          <w:ilvl w:val="0"/>
          <w:numId w:val="29"/>
        </w:numPr>
        <w:ind w:left="426"/>
        <w:jc w:val="both"/>
        <w:textAlignment w:val="baseline"/>
      </w:pPr>
      <w:r w:rsidRPr="0037391F">
        <w:lastRenderedPageBreak/>
        <w:t>T</w:t>
      </w:r>
      <w:r>
        <w:t xml:space="preserve">ento dodatek č. </w:t>
      </w:r>
      <w:r w:rsidR="00873197">
        <w:t>2</w:t>
      </w:r>
      <w:r w:rsidRPr="0037391F">
        <w:t xml:space="preserve"> nabývá platnosti dnem jeho podpisu oběma smluvními stranami a účinnosti dnem jejího uveřejnění v registru smluv, přičemž k uveřejnění smlouvy v registru smluv se zavazuje příkazce</w:t>
      </w:r>
      <w:r>
        <w:t>.</w:t>
      </w:r>
    </w:p>
    <w:p w:rsidR="00F635C1" w:rsidRDefault="00F635C1" w:rsidP="00F635C1">
      <w:pPr>
        <w:pStyle w:val="Odstavecseseznamem"/>
        <w:ind w:left="426"/>
        <w:jc w:val="both"/>
        <w:textAlignment w:val="baseline"/>
      </w:pPr>
    </w:p>
    <w:p w:rsidR="00F635C1" w:rsidRPr="00F635C1" w:rsidRDefault="00F635C1" w:rsidP="00F635C1">
      <w:pPr>
        <w:pStyle w:val="Odstavecseseznamem"/>
        <w:numPr>
          <w:ilvl w:val="0"/>
          <w:numId w:val="29"/>
        </w:numPr>
        <w:ind w:left="426"/>
        <w:jc w:val="both"/>
        <w:textAlignment w:val="baseline"/>
      </w:pPr>
      <w:r w:rsidRPr="00F635C1">
        <w:rPr>
          <w:szCs w:val="24"/>
        </w:rPr>
        <w:t>T</w:t>
      </w:r>
      <w:r>
        <w:rPr>
          <w:szCs w:val="24"/>
        </w:rPr>
        <w:t xml:space="preserve">ento dodatek č. </w:t>
      </w:r>
      <w:r w:rsidR="00873197">
        <w:rPr>
          <w:szCs w:val="24"/>
        </w:rPr>
        <w:t>2</w:t>
      </w:r>
      <w:r>
        <w:rPr>
          <w:szCs w:val="24"/>
        </w:rPr>
        <w:t xml:space="preserve"> </w:t>
      </w:r>
      <w:r w:rsidRPr="00F635C1">
        <w:rPr>
          <w:szCs w:val="24"/>
        </w:rPr>
        <w:t>je vyhotoven ve 4 stejnopisech s platností originálu, z nichž příkazce obdrží 3 vyhotovení a příkazník 1 vyhotovení.</w:t>
      </w:r>
    </w:p>
    <w:p w:rsidR="00E51D76" w:rsidRPr="0037391F" w:rsidRDefault="00E51D76" w:rsidP="00E51D76">
      <w:pPr>
        <w:jc w:val="both"/>
        <w:textAlignment w:val="baseline"/>
      </w:pPr>
    </w:p>
    <w:p w:rsidR="00F94A14" w:rsidRPr="0037391F" w:rsidRDefault="00F94A14" w:rsidP="00F94A14">
      <w:pPr>
        <w:jc w:val="both"/>
        <w:rPr>
          <w:shd w:val="clear" w:color="auto" w:fill="FFFFFF"/>
        </w:rPr>
      </w:pPr>
      <w:r w:rsidRPr="0037391F">
        <w:tab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7391F" w:rsidRPr="00F635C1" w:rsidTr="00841B89">
        <w:tc>
          <w:tcPr>
            <w:tcW w:w="4606" w:type="dxa"/>
            <w:shd w:val="clear" w:color="auto" w:fill="auto"/>
          </w:tcPr>
          <w:p w:rsidR="00F94A14" w:rsidRPr="00F635C1" w:rsidRDefault="00F94A14" w:rsidP="00F635C1">
            <w:pPr>
              <w:jc w:val="both"/>
              <w:rPr>
                <w:shd w:val="clear" w:color="auto" w:fill="FFFFFF"/>
              </w:rPr>
            </w:pPr>
            <w:r w:rsidRPr="00F635C1">
              <w:rPr>
                <w:shd w:val="clear" w:color="auto" w:fill="FFFFFF"/>
              </w:rPr>
              <w:t>V</w:t>
            </w:r>
            <w:r w:rsidR="00E55703" w:rsidRPr="00F635C1">
              <w:rPr>
                <w:shd w:val="clear" w:color="auto" w:fill="FFFFFF"/>
              </w:rPr>
              <w:t xml:space="preserve"> </w:t>
            </w:r>
            <w:r w:rsidR="008264E1" w:rsidRPr="00F635C1">
              <w:rPr>
                <w:shd w:val="clear" w:color="auto" w:fill="FFFFFF"/>
              </w:rPr>
              <w:t>Brně</w:t>
            </w:r>
            <w:r w:rsidRPr="00F635C1">
              <w:rPr>
                <w:shd w:val="clear" w:color="auto" w:fill="FFFFFF"/>
              </w:rPr>
              <w:t xml:space="preserve"> dne</w:t>
            </w:r>
            <w:r w:rsidR="008264E1" w:rsidRPr="00F635C1">
              <w:rPr>
                <w:shd w:val="clear" w:color="auto" w:fill="FFFFFF"/>
              </w:rPr>
              <w:t xml:space="preserve"> </w:t>
            </w:r>
            <w:proofErr w:type="gramStart"/>
            <w:r w:rsidR="00F47220">
              <w:rPr>
                <w:shd w:val="clear" w:color="auto" w:fill="FFFFFF"/>
              </w:rPr>
              <w:t>28.4.2021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F94A14" w:rsidRPr="00F635C1" w:rsidRDefault="00B47247" w:rsidP="0087029D">
            <w:pPr>
              <w:jc w:val="both"/>
            </w:pPr>
            <w:r w:rsidRPr="00F635C1">
              <w:rPr>
                <w:shd w:val="clear" w:color="auto" w:fill="FFFFFF"/>
              </w:rPr>
              <w:t xml:space="preserve">       </w:t>
            </w:r>
            <w:r w:rsidR="00E55703" w:rsidRPr="00F635C1">
              <w:rPr>
                <w:shd w:val="clear" w:color="auto" w:fill="FFFFFF"/>
              </w:rPr>
              <w:t xml:space="preserve">         V</w:t>
            </w:r>
            <w:r w:rsidR="00873197">
              <w:rPr>
                <w:shd w:val="clear" w:color="auto" w:fill="FFFFFF"/>
              </w:rPr>
              <w:t xml:space="preserve">e </w:t>
            </w:r>
            <w:r w:rsidR="00F47220">
              <w:rPr>
                <w:shd w:val="clear" w:color="auto" w:fill="FFFFFF"/>
              </w:rPr>
              <w:t>Svárově</w:t>
            </w:r>
            <w:r w:rsidR="00F94A14" w:rsidRPr="00F635C1">
              <w:rPr>
                <w:shd w:val="clear" w:color="auto" w:fill="FFFFFF"/>
              </w:rPr>
              <w:t xml:space="preserve"> dne</w:t>
            </w:r>
            <w:r w:rsidR="00F47220">
              <w:rPr>
                <w:shd w:val="clear" w:color="auto" w:fill="FFFFFF"/>
              </w:rPr>
              <w:t xml:space="preserve"> 27.</w:t>
            </w:r>
            <w:r w:rsidR="0087029D">
              <w:rPr>
                <w:shd w:val="clear" w:color="auto" w:fill="FFFFFF"/>
              </w:rPr>
              <w:t>4</w:t>
            </w:r>
            <w:bookmarkStart w:id="0" w:name="_GoBack"/>
            <w:bookmarkEnd w:id="0"/>
            <w:r w:rsidR="00F47220">
              <w:rPr>
                <w:shd w:val="clear" w:color="auto" w:fill="FFFFFF"/>
              </w:rPr>
              <w:t>.2021</w:t>
            </w:r>
            <w:r w:rsidR="00F94A14" w:rsidRPr="00F635C1">
              <w:rPr>
                <w:shd w:val="clear" w:color="auto" w:fill="FFFFFF"/>
              </w:rPr>
              <w:t xml:space="preserve"> </w:t>
            </w:r>
          </w:p>
        </w:tc>
      </w:tr>
      <w:tr w:rsidR="0037391F" w:rsidRPr="00F635C1" w:rsidTr="00841B89">
        <w:tc>
          <w:tcPr>
            <w:tcW w:w="4606" w:type="dxa"/>
            <w:shd w:val="clear" w:color="auto" w:fill="auto"/>
          </w:tcPr>
          <w:p w:rsidR="00F94A14" w:rsidRPr="00F635C1" w:rsidRDefault="00F94A14" w:rsidP="00841B89">
            <w:pPr>
              <w:snapToGrid w:val="0"/>
              <w:jc w:val="both"/>
            </w:pPr>
          </w:p>
          <w:p w:rsidR="00F94A14" w:rsidRPr="00F635C1" w:rsidRDefault="00F94A14" w:rsidP="00841B89">
            <w:pPr>
              <w:jc w:val="both"/>
            </w:pPr>
          </w:p>
          <w:p w:rsidR="00F94A14" w:rsidRPr="00F635C1" w:rsidRDefault="00F94A14" w:rsidP="00841B89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F94A14" w:rsidRPr="00F635C1" w:rsidRDefault="00F94A14" w:rsidP="00841B89">
            <w:pPr>
              <w:snapToGrid w:val="0"/>
              <w:jc w:val="both"/>
            </w:pPr>
          </w:p>
          <w:p w:rsidR="00F94A14" w:rsidRPr="00F635C1" w:rsidRDefault="00F94A14" w:rsidP="00841B89">
            <w:pPr>
              <w:jc w:val="both"/>
            </w:pPr>
          </w:p>
          <w:p w:rsidR="00E55703" w:rsidRPr="00F635C1" w:rsidRDefault="00E55703" w:rsidP="00841B89">
            <w:pPr>
              <w:jc w:val="both"/>
            </w:pPr>
          </w:p>
          <w:p w:rsidR="00E55703" w:rsidRPr="00F635C1" w:rsidRDefault="00E55703" w:rsidP="00841B89">
            <w:pPr>
              <w:jc w:val="both"/>
            </w:pPr>
          </w:p>
          <w:p w:rsidR="00F94A14" w:rsidRPr="00F635C1" w:rsidRDefault="00F94A14" w:rsidP="00841B89">
            <w:pPr>
              <w:jc w:val="both"/>
            </w:pPr>
          </w:p>
        </w:tc>
      </w:tr>
      <w:tr w:rsidR="0037391F" w:rsidRPr="0037391F" w:rsidTr="00841B89">
        <w:tc>
          <w:tcPr>
            <w:tcW w:w="4606" w:type="dxa"/>
            <w:shd w:val="clear" w:color="auto" w:fill="auto"/>
          </w:tcPr>
          <w:p w:rsidR="00F47220" w:rsidRDefault="00F47220" w:rsidP="00E55703">
            <w:proofErr w:type="spellStart"/>
            <w:r>
              <w:t>Xxxxxxxx</w:t>
            </w:r>
            <w:proofErr w:type="spellEnd"/>
          </w:p>
          <w:p w:rsidR="00F077A3" w:rsidRPr="00F635C1" w:rsidRDefault="008264E1" w:rsidP="00E55703">
            <w:r w:rsidRPr="00F635C1">
              <w:t>G</w:t>
            </w:r>
            <w:r w:rsidR="00F077A3" w:rsidRPr="00F635C1">
              <w:t>enerální ředitel MZM</w:t>
            </w:r>
          </w:p>
        </w:tc>
        <w:tc>
          <w:tcPr>
            <w:tcW w:w="4606" w:type="dxa"/>
            <w:shd w:val="clear" w:color="auto" w:fill="auto"/>
          </w:tcPr>
          <w:p w:rsidR="00F94A14" w:rsidRPr="0037391F" w:rsidRDefault="007708A9" w:rsidP="00F077A3">
            <w:pPr>
              <w:jc w:val="center"/>
            </w:pPr>
            <w:r w:rsidRPr="00F635C1">
              <w:t xml:space="preserve">PhDr. </w:t>
            </w:r>
            <w:r w:rsidR="00F077A3" w:rsidRPr="00F635C1">
              <w:t xml:space="preserve">Jan </w:t>
            </w:r>
            <w:proofErr w:type="spellStart"/>
            <w:r w:rsidR="00F077A3" w:rsidRPr="00F635C1">
              <w:t>Stolár</w:t>
            </w:r>
            <w:proofErr w:type="spellEnd"/>
          </w:p>
        </w:tc>
      </w:tr>
      <w:tr w:rsidR="00F94A14" w:rsidRPr="0037391F" w:rsidTr="00841B89">
        <w:tc>
          <w:tcPr>
            <w:tcW w:w="4606" w:type="dxa"/>
            <w:shd w:val="clear" w:color="auto" w:fill="auto"/>
          </w:tcPr>
          <w:p w:rsidR="00F94A14" w:rsidRPr="0037391F" w:rsidRDefault="00F94A14" w:rsidP="00F077A3">
            <w:pPr>
              <w:snapToGrid w:val="0"/>
            </w:pPr>
          </w:p>
        </w:tc>
        <w:tc>
          <w:tcPr>
            <w:tcW w:w="4606" w:type="dxa"/>
            <w:shd w:val="clear" w:color="auto" w:fill="auto"/>
          </w:tcPr>
          <w:p w:rsidR="00F94A14" w:rsidRPr="0037391F" w:rsidRDefault="00F94A14" w:rsidP="00841B89">
            <w:pPr>
              <w:snapToGrid w:val="0"/>
              <w:jc w:val="center"/>
            </w:pPr>
          </w:p>
        </w:tc>
      </w:tr>
    </w:tbl>
    <w:p w:rsidR="00F94A14" w:rsidRPr="0037391F" w:rsidRDefault="00F94A14" w:rsidP="00F94A14">
      <w:pPr>
        <w:jc w:val="both"/>
      </w:pPr>
    </w:p>
    <w:p w:rsidR="00E51D76" w:rsidRPr="0037391F" w:rsidRDefault="00E51D76" w:rsidP="00F94A14">
      <w:pPr>
        <w:jc w:val="both"/>
      </w:pPr>
    </w:p>
    <w:p w:rsidR="00E51D76" w:rsidRPr="0037391F" w:rsidRDefault="00E51D76" w:rsidP="00F94A14">
      <w:pPr>
        <w:jc w:val="both"/>
      </w:pPr>
    </w:p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53522D" w:rsidRPr="0037391F" w:rsidRDefault="0053522D"/>
    <w:p w:rsidR="009A32B3" w:rsidRPr="0037391F" w:rsidRDefault="009A32B3"/>
    <w:sectPr w:rsidR="009A32B3" w:rsidRPr="0037391F" w:rsidSect="00F94A14">
      <w:pgSz w:w="11906" w:h="16838"/>
      <w:pgMar w:top="1417" w:right="1417" w:bottom="1417" w:left="141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CE" w:rsidRDefault="009540CE" w:rsidP="00F94A14">
      <w:r>
        <w:separator/>
      </w:r>
    </w:p>
  </w:endnote>
  <w:endnote w:type="continuationSeparator" w:id="0">
    <w:p w:rsidR="009540CE" w:rsidRDefault="009540CE" w:rsidP="00F9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CE" w:rsidRDefault="009540CE" w:rsidP="00F94A14">
      <w:r>
        <w:separator/>
      </w:r>
    </w:p>
  </w:footnote>
  <w:footnote w:type="continuationSeparator" w:id="0">
    <w:p w:rsidR="009540CE" w:rsidRDefault="009540CE" w:rsidP="00F94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6"/>
    <w:multiLevelType w:val="multilevel"/>
    <w:tmpl w:val="04D85150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ahoma"/>
        <w:b w:val="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00000007"/>
    <w:multiLevelType w:val="multilevel"/>
    <w:tmpl w:val="EE248D2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ahoma"/>
        <w:color w:val="auto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9"/>
    <w:multiLevelType w:val="multilevel"/>
    <w:tmpl w:val="758A9AF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02AC30D6"/>
    <w:multiLevelType w:val="multilevel"/>
    <w:tmpl w:val="93C43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B764F64"/>
    <w:multiLevelType w:val="multilevel"/>
    <w:tmpl w:val="93C43E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CF6B37"/>
    <w:multiLevelType w:val="multilevel"/>
    <w:tmpl w:val="C03A0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6474F9C"/>
    <w:multiLevelType w:val="multilevel"/>
    <w:tmpl w:val="93C43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CD3065B"/>
    <w:multiLevelType w:val="multilevel"/>
    <w:tmpl w:val="02F0FE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33FFD"/>
    <w:multiLevelType w:val="hybridMultilevel"/>
    <w:tmpl w:val="1A50D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537E5"/>
    <w:multiLevelType w:val="multilevel"/>
    <w:tmpl w:val="A29A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5292D61"/>
    <w:multiLevelType w:val="hybridMultilevel"/>
    <w:tmpl w:val="3716C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41CAD"/>
    <w:multiLevelType w:val="multilevel"/>
    <w:tmpl w:val="A29A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A144D6F"/>
    <w:multiLevelType w:val="multilevel"/>
    <w:tmpl w:val="A29A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CC76D67"/>
    <w:multiLevelType w:val="multilevel"/>
    <w:tmpl w:val="93C43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07B6933"/>
    <w:multiLevelType w:val="hybridMultilevel"/>
    <w:tmpl w:val="A806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113DB"/>
    <w:multiLevelType w:val="hybridMultilevel"/>
    <w:tmpl w:val="806A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C59E7"/>
    <w:multiLevelType w:val="multilevel"/>
    <w:tmpl w:val="93C43E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3E5CE6"/>
    <w:multiLevelType w:val="hybridMultilevel"/>
    <w:tmpl w:val="82B26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C79CC"/>
    <w:multiLevelType w:val="hybridMultilevel"/>
    <w:tmpl w:val="C3F67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373C15"/>
    <w:multiLevelType w:val="hybridMultilevel"/>
    <w:tmpl w:val="E45C3FDC"/>
    <w:lvl w:ilvl="0" w:tplc="34284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9B5487"/>
    <w:multiLevelType w:val="multilevel"/>
    <w:tmpl w:val="93C43E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10A0F07"/>
    <w:multiLevelType w:val="hybridMultilevel"/>
    <w:tmpl w:val="CD72235C"/>
    <w:lvl w:ilvl="0" w:tplc="AB5A2D3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0BCDC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56BC6"/>
    <w:multiLevelType w:val="multilevel"/>
    <w:tmpl w:val="93C43E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5000E5B"/>
    <w:multiLevelType w:val="multilevel"/>
    <w:tmpl w:val="FA6EFE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550C79"/>
    <w:multiLevelType w:val="multilevel"/>
    <w:tmpl w:val="A29A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E177C19"/>
    <w:multiLevelType w:val="multilevel"/>
    <w:tmpl w:val="A29A8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EAE32AE"/>
    <w:multiLevelType w:val="multilevel"/>
    <w:tmpl w:val="93C43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FFA7F8C"/>
    <w:multiLevelType w:val="hybridMultilevel"/>
    <w:tmpl w:val="F57E8F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4"/>
  </w:num>
  <w:num w:numId="11">
    <w:abstractNumId w:val="27"/>
  </w:num>
  <w:num w:numId="12">
    <w:abstractNumId w:val="33"/>
  </w:num>
  <w:num w:numId="13">
    <w:abstractNumId w:val="9"/>
  </w:num>
  <w:num w:numId="14">
    <w:abstractNumId w:val="13"/>
  </w:num>
  <w:num w:numId="15">
    <w:abstractNumId w:val="29"/>
  </w:num>
  <w:num w:numId="16">
    <w:abstractNumId w:val="25"/>
  </w:num>
  <w:num w:numId="17">
    <w:abstractNumId w:val="20"/>
  </w:num>
  <w:num w:numId="18">
    <w:abstractNumId w:val="20"/>
  </w:num>
  <w:num w:numId="19">
    <w:abstractNumId w:val="32"/>
  </w:num>
  <w:num w:numId="20">
    <w:abstractNumId w:val="12"/>
  </w:num>
  <w:num w:numId="21">
    <w:abstractNumId w:val="22"/>
  </w:num>
  <w:num w:numId="22">
    <w:abstractNumId w:val="10"/>
  </w:num>
  <w:num w:numId="23">
    <w:abstractNumId w:val="26"/>
  </w:num>
  <w:num w:numId="24">
    <w:abstractNumId w:val="28"/>
  </w:num>
  <w:num w:numId="25">
    <w:abstractNumId w:val="19"/>
  </w:num>
  <w:num w:numId="26">
    <w:abstractNumId w:val="11"/>
  </w:num>
  <w:num w:numId="27">
    <w:abstractNumId w:val="31"/>
  </w:num>
  <w:num w:numId="28">
    <w:abstractNumId w:val="16"/>
  </w:num>
  <w:num w:numId="29">
    <w:abstractNumId w:val="14"/>
  </w:num>
  <w:num w:numId="30">
    <w:abstractNumId w:val="17"/>
  </w:num>
  <w:num w:numId="31">
    <w:abstractNumId w:val="15"/>
  </w:num>
  <w:num w:numId="32">
    <w:abstractNumId w:val="30"/>
  </w:num>
  <w:num w:numId="33">
    <w:abstractNumId w:val="18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331"/>
    <w:rsid w:val="000341B8"/>
    <w:rsid w:val="00055051"/>
    <w:rsid w:val="0009262B"/>
    <w:rsid w:val="000A1178"/>
    <w:rsid w:val="001278DA"/>
    <w:rsid w:val="00205599"/>
    <w:rsid w:val="002343ED"/>
    <w:rsid w:val="002613F6"/>
    <w:rsid w:val="002F4331"/>
    <w:rsid w:val="003344AA"/>
    <w:rsid w:val="003518B4"/>
    <w:rsid w:val="0037391F"/>
    <w:rsid w:val="003777E1"/>
    <w:rsid w:val="0047655F"/>
    <w:rsid w:val="004975CC"/>
    <w:rsid w:val="0053522D"/>
    <w:rsid w:val="0054447F"/>
    <w:rsid w:val="00565690"/>
    <w:rsid w:val="00571EA6"/>
    <w:rsid w:val="00574A15"/>
    <w:rsid w:val="006063DA"/>
    <w:rsid w:val="00645E23"/>
    <w:rsid w:val="00655040"/>
    <w:rsid w:val="0066679E"/>
    <w:rsid w:val="006703F1"/>
    <w:rsid w:val="006926E7"/>
    <w:rsid w:val="00705F94"/>
    <w:rsid w:val="0076404B"/>
    <w:rsid w:val="007708A9"/>
    <w:rsid w:val="0079267C"/>
    <w:rsid w:val="007D690A"/>
    <w:rsid w:val="008165AF"/>
    <w:rsid w:val="008264E1"/>
    <w:rsid w:val="00841B89"/>
    <w:rsid w:val="0087029D"/>
    <w:rsid w:val="00873197"/>
    <w:rsid w:val="008B1496"/>
    <w:rsid w:val="008D3E77"/>
    <w:rsid w:val="008F1563"/>
    <w:rsid w:val="00905894"/>
    <w:rsid w:val="009319C6"/>
    <w:rsid w:val="009540CE"/>
    <w:rsid w:val="00965E96"/>
    <w:rsid w:val="00982B6F"/>
    <w:rsid w:val="00996D1C"/>
    <w:rsid w:val="009A32B3"/>
    <w:rsid w:val="009E5886"/>
    <w:rsid w:val="00A22C64"/>
    <w:rsid w:val="00AB7C6D"/>
    <w:rsid w:val="00AC5684"/>
    <w:rsid w:val="00B20009"/>
    <w:rsid w:val="00B40C0E"/>
    <w:rsid w:val="00B47247"/>
    <w:rsid w:val="00B63F70"/>
    <w:rsid w:val="00BC6558"/>
    <w:rsid w:val="00BE283E"/>
    <w:rsid w:val="00BE75BF"/>
    <w:rsid w:val="00C77831"/>
    <w:rsid w:val="00CA5BAB"/>
    <w:rsid w:val="00CB7C97"/>
    <w:rsid w:val="00CD30ED"/>
    <w:rsid w:val="00DE15AC"/>
    <w:rsid w:val="00E51D76"/>
    <w:rsid w:val="00E55703"/>
    <w:rsid w:val="00E81BDF"/>
    <w:rsid w:val="00EA6CA0"/>
    <w:rsid w:val="00F077A3"/>
    <w:rsid w:val="00F16905"/>
    <w:rsid w:val="00F20CBD"/>
    <w:rsid w:val="00F4650D"/>
    <w:rsid w:val="00F47220"/>
    <w:rsid w:val="00F635C1"/>
    <w:rsid w:val="00F7028E"/>
    <w:rsid w:val="00F94A14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331"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link w:val="Nadpis4Char"/>
    <w:qFormat/>
    <w:rsid w:val="00B20009"/>
    <w:pPr>
      <w:keepNext/>
      <w:suppressAutoHyphens w:val="0"/>
      <w:outlineLvl w:val="3"/>
    </w:pPr>
    <w:rPr>
      <w:rFonts w:eastAsia="Calibri" w:cs="Arial"/>
      <w:b/>
      <w:bCs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20009"/>
    <w:rPr>
      <w:rFonts w:eastAsia="Calibri" w:cs="Arial"/>
      <w:b/>
      <w:bCs/>
      <w:sz w:val="24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B20009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94A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A14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94A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A14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A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A14"/>
    <w:rPr>
      <w:rFonts w:ascii="Tahoma" w:hAnsi="Tahoma" w:cs="Tahoma"/>
      <w:sz w:val="16"/>
      <w:szCs w:val="16"/>
      <w:lang w:eastAsia="ar-SA"/>
    </w:rPr>
  </w:style>
  <w:style w:type="character" w:customStyle="1" w:styleId="datalabel">
    <w:name w:val="datalabel"/>
    <w:rsid w:val="00F94A14"/>
  </w:style>
  <w:style w:type="paragraph" w:customStyle="1" w:styleId="Zkladntext-prvnodsazen1">
    <w:name w:val="Základní text - první odsazený1"/>
    <w:basedOn w:val="Zkladntext"/>
    <w:rsid w:val="00F94A14"/>
    <w:pPr>
      <w:suppressAutoHyphens w:val="0"/>
      <w:ind w:firstLine="210"/>
    </w:pPr>
  </w:style>
  <w:style w:type="character" w:customStyle="1" w:styleId="st">
    <w:name w:val="st"/>
    <w:rsid w:val="00F94A14"/>
  </w:style>
  <w:style w:type="character" w:styleId="Odkaznakoment">
    <w:name w:val="annotation reference"/>
    <w:uiPriority w:val="99"/>
    <w:semiHidden/>
    <w:unhideWhenUsed/>
    <w:rsid w:val="00F94A1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94A14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F94A14"/>
    <w:rPr>
      <w:lang w:eastAsia="ar-SA"/>
    </w:rPr>
  </w:style>
  <w:style w:type="character" w:customStyle="1" w:styleId="TextkomenteChar1">
    <w:name w:val="Text komentáře Char1"/>
    <w:link w:val="Textkomente"/>
    <w:uiPriority w:val="99"/>
    <w:semiHidden/>
    <w:rsid w:val="00F94A14"/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4A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4A14"/>
    <w:rPr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53522D"/>
    <w:rPr>
      <w:rFonts w:eastAsia="Calibri"/>
      <w:sz w:val="24"/>
      <w:szCs w:val="22"/>
    </w:rPr>
  </w:style>
  <w:style w:type="paragraph" w:customStyle="1" w:styleId="Tlotextu">
    <w:name w:val="Tělo textu"/>
    <w:basedOn w:val="Normln"/>
    <w:rsid w:val="001278DA"/>
    <w:pPr>
      <w:spacing w:after="120"/>
      <w:jc w:val="both"/>
    </w:pPr>
    <w:rPr>
      <w:rFonts w:ascii="Arial" w:hAnsi="Arial"/>
      <w:sz w:val="22"/>
      <w:szCs w:val="20"/>
      <w:lang w:val="de-DE"/>
    </w:rPr>
  </w:style>
  <w:style w:type="character" w:customStyle="1" w:styleId="Zdraznnjemn1">
    <w:name w:val="Zdůraznění – jemné1"/>
    <w:rsid w:val="00F077A3"/>
    <w:rPr>
      <w:i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F697-0FDB-462D-B3D6-603D043B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mkaderova</dc:creator>
  <cp:lastModifiedBy>adivisova</cp:lastModifiedBy>
  <cp:revision>3</cp:revision>
  <cp:lastPrinted>2020-04-14T08:30:00Z</cp:lastPrinted>
  <dcterms:created xsi:type="dcterms:W3CDTF">2021-06-03T07:20:00Z</dcterms:created>
  <dcterms:modified xsi:type="dcterms:W3CDTF">2021-06-03T07:35:00Z</dcterms:modified>
</cp:coreProperties>
</file>