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429" w:h="730" w:wrap="none" w:hAnchor="page" w:x="873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iiiiniiiiiiiiiiu</w:t>
      </w:r>
      <w:bookmarkEnd w:id="0"/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68" w:right="738" w:bottom="1548" w:left="1280" w:header="240" w:footer="1120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12700</wp:posOffset>
                </wp:positionV>
                <wp:extent cx="570230" cy="12192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2009008641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pt;margin-top:1.pt;width:44.899999999999999pt;height:9.599999999999999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2009008641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28"/>
          <w:b/>
          <w:bCs/>
        </w:rPr>
        <w:t>Dodatek č. 2</w:t>
      </w:r>
      <w:bookmarkEnd w:id="2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9"/>
        </w:rPr>
        <w:t>ke smlouvě o nájmu nebytových prostor ze dne 30.4.2007, ve znění dodatku č. 1 ze dne 31.3.2008/dáíe jen „smlouva“/, uzavřené mezi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9" w:val="left"/>
        </w:tabs>
        <w:bidi w:val="0"/>
        <w:spacing w:before="0" w:line="240" w:lineRule="auto"/>
        <w:ind w:left="0" w:right="0"/>
        <w:jc w:val="both"/>
      </w:pPr>
      <w:r>
        <w:rPr>
          <w:rStyle w:val="CharStyle19"/>
          <w:b/>
          <w:bCs/>
        </w:rPr>
        <w:t xml:space="preserve">Zdravotnickou záchrannou službou Jihomoravského kraje, příspěvkovou organizaci, </w:t>
      </w:r>
      <w:r>
        <w:rPr>
          <w:rStyle w:val="CharStyle19"/>
        </w:rPr>
        <w:t>IČ 00346292, se sídlem v Brně, nám. 28. října 23, zapsanou do OR u rejstříkového soudu v Brně pod zn. Pr 1245, zastoupenou svým ředitelem panem Ing. Milanem Klusákem, MBA jako pronajimatelem /dále jen „pronajímatel“/, a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4" w:val="left"/>
        </w:tabs>
        <w:bidi w:val="0"/>
        <w:spacing w:before="0" w:after="740" w:line="240" w:lineRule="auto"/>
        <w:ind w:left="0" w:right="0"/>
        <w:jc w:val="both"/>
      </w:pPr>
      <w:r>
        <w:rPr>
          <w:rStyle w:val="CharStyle19"/>
          <w:b/>
          <w:bCs/>
        </w:rPr>
        <w:t xml:space="preserve">Nemocnicí Blansko, příspěvkovou organizací, </w:t>
      </w:r>
      <w:r>
        <w:rPr>
          <w:rStyle w:val="CharStyle19"/>
        </w:rPr>
        <w:t>IČ 00386634, se sídlem v Blansku, Sadová 33, zapsanou do OR u rejstříkového soudu v Brně pod. zn. Pr 1603, zastoupenou svou ředitelkou paní MUDr. Vladimírou Danihelkovou, MBA jako nájemcem /dále jen „nájemce“/.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19"/>
        </w:rPr>
        <w:t>ČI. 1 smlouvy se mění a nadále zní takto: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Style w:val="CharStyle19"/>
        </w:rPr>
        <w:t>Pronajímatel má ve správě dům ve vlastnictví Jihomoravského kraje v Blansku, K.H. Máchy 17, čp. 2342, těch, vyb., umístěný na pozemku p.č. 3791, k.ú.. Blansko a na pozemku p.č. 2328, k.ú. Blansko, a zapsaný na LV č. 4401 pro katastrální území a obec Blansko. Na prvním nadzemním podlaží této nemovitosti je umístěn mimo jiné a) soubor 6-ti místností, tvořený místností č. 141 o výměře 29,5 m2, č. 142 o výměře 10,5 m2, č. 129 o výměře 17,6 m2, č. 132 o výměře 6,33 m2, č. 143 o výměře 4,35 m2, tedy celkem o výměře 68,28 m2, a b) soubor 5 garáží č. 8, č. 9, 10, 11, každá o výměře 19,52 m2 a č. 12 o výměře 17,85 m2, tedy celkem o výměře 95,93 m2.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9"/>
        </w:rPr>
        <w:t>Všechny tyto prostory jsou určeny k jiným, než bytovým účelům.</w:t>
      </w:r>
    </w:p>
    <w:p>
      <w:pPr>
        <w:pStyle w:val="Style1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19"/>
        </w:rPr>
        <w:t>Vkládá se nový článek 1a: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both"/>
      </w:pPr>
      <w:r>
        <w:rPr>
          <w:rStyle w:val="CharStyle19"/>
        </w:rPr>
        <w:t>V nebytových prostorách dle čl. 1 této smlouvy je umístěn soubor movitých věcí, které tvoří jejich vnitřní vybavení a zařízení. Bližší specifikace těchto věcí je uvedena v příloze č. 2, která je nedílnou součástí této smlouvy.</w:t>
      </w:r>
    </w:p>
    <w:p>
      <w:pPr>
        <w:pStyle w:val="Style1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19"/>
        </w:rPr>
        <w:t>Čl. 5 smlouvy se mění a nadále zní takto: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19"/>
        </w:rPr>
        <w:t>Nájemce se zavazuje za užívání nebytových prostor podle a) čl. 1 písm. a) této smlouvy platit pronajímateli nájemné ve výši 56.921,-- Kč/rok, b) čl. 1 písm. b) této smlouvy platit pronajímateli nájemné ve výši 42.555,-- Kč/rok, tedy celkem nájemné ve výši 99.476,- Kč/rok (viz příloha č. 1).</w:t>
      </w:r>
    </w:p>
    <w:p>
      <w:pPr>
        <w:pStyle w:val="Style1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19"/>
        </w:rPr>
        <w:t>Čl. 6 smlouvy se mění a nadále zní takto: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both"/>
      </w:pPr>
      <w:r>
        <w:rPr>
          <w:rStyle w:val="CharStyle19"/>
        </w:rPr>
        <w:t>Nájemce se zavazuje platit pronajímateli za služby podle čl. 2. této smlouvy úhradu ve výši nákladů, pronajímatelem na tyto služby vynaložených. Nebude-li možno tyto náklady odečítat přímo ze zvláštních měřících zařízení, stanoví se tyto náklady podle vzájemného poměru ploch, výkonu elektrických spotřebičů, apod. užívaných v domě podle čl. 1 této smlouvy nájemcem a ostatními uživateli tohoto domu.</w:t>
      </w: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200" w:right="0" w:firstLine="0"/>
        <w:jc w:val="left"/>
      </w:pPr>
      <w:r>
        <w:rPr>
          <w:rStyle w:val="CharStyle19"/>
        </w:rPr>
        <w:t>ČI. 7 smlouvy se mění a nadále zní takto: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720"/>
        <w:jc w:val="both"/>
      </w:pPr>
      <w:r>
        <w:rPr>
          <w:rStyle w:val="CharStyle19"/>
        </w:rPr>
        <w:t>Nájemce se zavazuje platit pronajímateli za užívání movitých věcí podle čl. 1a této smlouvy nájemné ve výši 25.259,- Kč/rok.</w:t>
      </w:r>
    </w:p>
    <w:p>
      <w:pPr>
        <w:pStyle w:val="Style1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4820" w:right="0" w:firstLine="0"/>
        <w:jc w:val="lef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200" w:right="0" w:firstLine="0"/>
        <w:jc w:val="left"/>
      </w:pPr>
      <w:r>
        <w:rPr>
          <w:rStyle w:val="CharStyle19"/>
        </w:rPr>
        <w:t>Čl. 9 smlouvy se mění a nadále zní takto: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720"/>
        <w:jc w:val="both"/>
      </w:pPr>
      <w:r>
        <w:rPr>
          <w:rStyle w:val="CharStyle19"/>
        </w:rPr>
        <w:t xml:space="preserve">Nájemné podle čl. 5 a 6a této smlouvy je splatné na účet pronajímatele u GE Money bank a.s. číslo </w:t>
      </w:r>
      <w:r>
        <w:rPr>
          <w:rStyle w:val="CharStyle19"/>
          <w:spacing w:val="7"/>
          <w:shd w:val="clear" w:color="auto" w:fill="000000"/>
        </w:rPr>
        <w:t>...</w:t>
      </w:r>
      <w:r>
        <w:rPr>
          <w:rStyle w:val="CharStyle19"/>
          <w:spacing w:val="8"/>
          <w:shd w:val="clear" w:color="auto" w:fill="000000"/>
        </w:rPr>
        <w:t>...</w:t>
      </w:r>
      <w:r>
        <w:rPr>
          <w:rStyle w:val="CharStyle19"/>
          <w:shd w:val="clear" w:color="auto" w:fill="000000"/>
        </w:rPr>
        <w:t>​.......​...............</w:t>
      </w:r>
      <w:r>
        <w:rPr>
          <w:rStyle w:val="CharStyle19"/>
        </w:rPr>
        <w:t xml:space="preserve"> formou pravidelných čtvrtletních splátek ve výši jedné čtvrtiny ročního plnění a ve lhůtě vždy do konce prvního měsíce příslušného čtvrtletí kalendářního roku, a to na základě písemného vyúčtování příslušné splátky /faktury/.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rStyle w:val="CharStyle19"/>
        </w:rPr>
        <w:t>VIL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200" w:right="0" w:firstLine="0"/>
        <w:jc w:val="left"/>
      </w:pPr>
      <w:r>
        <w:rPr>
          <w:rStyle w:val="CharStyle19"/>
        </w:rPr>
        <w:t>Čl. 10 smlouvy se mění a nadále zní takto: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480" w:right="0" w:firstLine="720"/>
        <w:jc w:val="both"/>
      </w:pPr>
      <w:r>
        <w:rPr>
          <w:rStyle w:val="CharStyle19"/>
        </w:rPr>
        <w:t>Úhrada za služby podle čl. 6 této smlouvy je splatná na účet pronajimatele podle čl. 9 této smlouvy formou pravidelných čtvrtletních záloh ve výši 20.500,-- Kč čtvrtletně a ve lhůtě zároveň s nájemným, a formou ročního vyúčtování po skončení příslušného kalendářního roku ve lhůtě do 10-ti dnů od předložení jeho písemného vyhotovení /faktury/.</w:t>
      </w:r>
    </w:p>
    <w:p>
      <w:pPr>
        <w:pStyle w:val="Style1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4820" w:right="0" w:firstLine="0"/>
        <w:jc w:val="lef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1200" w:right="0" w:firstLine="0"/>
        <w:jc w:val="left"/>
      </w:pPr>
      <w:r>
        <w:rPr>
          <w:rStyle w:val="CharStyle19"/>
        </w:rPr>
        <w:t>Ostatní ujednání smlouvy nejsou tímto dodatkem nijak dotčena.</w:t>
      </w:r>
    </w:p>
    <w:p>
      <w:pPr>
        <w:pStyle w:val="Style1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4820" w:right="0" w:firstLine="0"/>
        <w:jc w:val="lef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480" w:right="0" w:firstLine="720"/>
        <w:jc w:val="both"/>
      </w:pPr>
      <w:r>
        <w:rPr>
          <w:rStyle w:val="CharStyle19"/>
        </w:rPr>
        <w:t>Tento dodatek lze změnit nebo zrušit pouze jinou písemnou dohodou obou smluvních stran.</w:t>
      </w:r>
    </w:p>
    <w:p>
      <w:pPr>
        <w:pStyle w:val="Style1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4820" w:right="0" w:firstLine="0"/>
        <w:jc w:val="lef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80"/>
        <w:jc w:val="left"/>
      </w:pPr>
      <w:r>
        <w:rPr>
          <w:rStyle w:val="CharStyle19"/>
        </w:rPr>
        <w:t>Tento dodatek nabývá účinnosti dnem 1.3.2011.</w:t>
      </w:r>
    </w:p>
    <w:p>
      <w:pPr>
        <w:pStyle w:val="Style1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4820" w:right="0" w:firstLine="0"/>
        <w:jc w:val="lef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480" w:right="0" w:firstLine="440"/>
        <w:jc w:val="both"/>
      </w:pPr>
      <w:r>
        <w:rPr>
          <w:rStyle w:val="CharStyle19"/>
        </w:rPr>
        <w:t>Dáno v Brně dne 24.2.2011 ve dvou originálních písemných vyhotoveních, z nichž každá ze smluvních stran obdrží po jednom.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34"/>
          <w:szCs w:val="34"/>
        </w:rPr>
      </w:pPr>
      <w:r>
        <w:drawing>
          <wp:anchor distT="545465" distB="204470" distL="114300" distR="129540" simplePos="0" relativeHeight="125829380" behindDoc="0" locked="0" layoutInCell="1" allowOverlap="1">
            <wp:simplePos x="0" y="0"/>
            <wp:positionH relativeFrom="page">
              <wp:posOffset>1252855</wp:posOffset>
            </wp:positionH>
            <wp:positionV relativeFrom="margin">
              <wp:posOffset>7083425</wp:posOffset>
            </wp:positionV>
            <wp:extent cx="2091055" cy="45720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9105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1731645</wp:posOffset>
                </wp:positionH>
                <wp:positionV relativeFrom="margin">
                  <wp:posOffset>6537960</wp:posOffset>
                </wp:positionV>
                <wp:extent cx="1627505" cy="54229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rFonts w:ascii="Arial Narrow" w:eastAsia="Arial Narrow" w:hAnsi="Arial Narrow" w:cs="Arial Narrow"/>
                                <w:b/>
                                <w:bCs/>
                                <w:w w:val="100"/>
                                <w:sz w:val="20"/>
                                <w:szCs w:val="20"/>
                              </w:rPr>
                              <w:t xml:space="preserve">Zdravotnická záchranná služba 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​......................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7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7"/>
                                <w:spacing w:val="8"/>
                                <w:shd w:val="clear" w:color="auto" w:fill="000000"/>
                              </w:rPr>
                              <w:t>....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7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7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6.34999999999999pt;margin-top:514.79999999999995pt;width:128.15000000000001pt;height:42.700000000000003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rFonts w:ascii="Arial Narrow" w:eastAsia="Arial Narrow" w:hAnsi="Arial Narrow" w:cs="Arial Narrow"/>
                          <w:b/>
                          <w:bCs/>
                          <w:w w:val="100"/>
                          <w:sz w:val="20"/>
                          <w:szCs w:val="20"/>
                        </w:rPr>
                        <w:t xml:space="preserve">Zdravotnická záchranná služba 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​......................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7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7"/>
                          <w:spacing w:val="8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7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7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1734185</wp:posOffset>
                </wp:positionH>
                <wp:positionV relativeFrom="margin">
                  <wp:posOffset>7562215</wp:posOffset>
                </wp:positionV>
                <wp:extent cx="801370" cy="17970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7"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7"/>
                                <w:spacing w:val="3"/>
                                <w:sz w:val="22"/>
                                <w:szCs w:val="22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6.55000000000001pt;margin-top:595.45000000000005pt;width:63.100000000000001pt;height:14.1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7"/>
                          <w:spacing w:val="2"/>
                          <w:sz w:val="22"/>
                          <w:szCs w:val="2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7"/>
                          <w:spacing w:val="3"/>
                          <w:sz w:val="22"/>
                          <w:szCs w:val="22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33"/>
          <w:sz w:val="30"/>
          <w:szCs w:val="30"/>
          <w:shd w:val="clear" w:color="auto" w:fill="000000"/>
        </w:rPr>
        <w:t>...</w:t>
      </w:r>
      <w:r>
        <w:rPr>
          <w:rStyle w:val="CharStyle33"/>
          <w:spacing w:val="1"/>
          <w:sz w:val="30"/>
          <w:szCs w:val="30"/>
          <w:shd w:val="clear" w:color="auto" w:fill="000000"/>
        </w:rPr>
        <w:t>.</w:t>
      </w:r>
      <w:bookmarkStart w:id="4" w:name="bookmark4"/>
      <w:r>
        <w:rPr>
          <w:rStyle w:val="CharStyle33"/>
          <w:sz w:val="30"/>
          <w:szCs w:val="30"/>
          <w:shd w:val="clear" w:color="auto" w:fill="000000"/>
        </w:rPr>
        <w:t>​</w:t>
      </w:r>
      <w:r>
        <w:rPr>
          <w:rStyle w:val="CharStyle33"/>
          <w:spacing w:val="33"/>
          <w:sz w:val="30"/>
          <w:szCs w:val="30"/>
          <w:shd w:val="clear" w:color="auto" w:fill="000000"/>
        </w:rPr>
        <w:t>.</w:t>
      </w:r>
      <w:r>
        <w:rPr>
          <w:rStyle w:val="CharStyle33"/>
          <w:spacing w:val="34"/>
          <w:sz w:val="30"/>
          <w:szCs w:val="30"/>
          <w:shd w:val="clear" w:color="auto" w:fill="000000"/>
        </w:rPr>
        <w:t>.</w:t>
      </w:r>
      <w:r>
        <w:rPr>
          <w:rStyle w:val="CharStyle33"/>
          <w:sz w:val="30"/>
          <w:szCs w:val="30"/>
          <w:shd w:val="clear" w:color="auto" w:fill="000000"/>
        </w:rPr>
        <w:t>​</w:t>
      </w:r>
      <w:r>
        <w:rPr>
          <w:rStyle w:val="CharStyle33"/>
          <w:spacing w:val="-16"/>
          <w:sz w:val="30"/>
          <w:szCs w:val="30"/>
          <w:shd w:val="clear" w:color="auto" w:fill="000000"/>
        </w:rPr>
        <w:t>.</w:t>
      </w:r>
      <w:r>
        <w:rPr>
          <w:rStyle w:val="CharStyle33"/>
          <w:smallCaps/>
          <w:shd w:val="clear" w:color="auto" w:fill="000000"/>
        </w:rPr>
        <w:t>...........</w:t>
      </w:r>
      <w:r>
        <w:rPr>
          <w:rStyle w:val="CharStyle33"/>
          <w:smallCaps/>
          <w:spacing w:val="1"/>
          <w:shd w:val="clear" w:color="auto" w:fill="000000"/>
        </w:rPr>
        <w:t>...........</w:t>
      </w:r>
      <w:r>
        <w:rPr>
          <w:rStyle w:val="CharStyle33"/>
          <w:smallCaps/>
          <w:shd w:val="clear" w:color="auto" w:fill="000000"/>
        </w:rPr>
        <w:t>.​</w:t>
      </w:r>
      <w:r>
        <w:rPr>
          <w:rStyle w:val="CharStyle33"/>
          <w:smallCaps/>
          <w:spacing w:val="-5"/>
          <w:shd w:val="clear" w:color="auto" w:fill="000000"/>
        </w:rPr>
        <w:t>.</w:t>
      </w:r>
      <w:r>
        <w:rPr>
          <w:rStyle w:val="CharStyle33"/>
          <w:smallCaps/>
        </w:rPr>
        <w:br/>
      </w:r>
      <w:r>
        <w:rPr>
          <w:rStyle w:val="CharStyle33"/>
          <w:sz w:val="30"/>
          <w:szCs w:val="30"/>
          <w:shd w:val="clear" w:color="auto" w:fill="000000"/>
        </w:rPr>
        <w:t>​</w:t>
      </w:r>
      <w:r>
        <w:rPr>
          <w:rStyle w:val="CharStyle33"/>
          <w:spacing w:val="67"/>
          <w:sz w:val="30"/>
          <w:szCs w:val="30"/>
          <w:shd w:val="clear" w:color="auto" w:fill="000000"/>
        </w:rPr>
        <w:t>.</w:t>
      </w:r>
      <w:r>
        <w:rPr>
          <w:rStyle w:val="CharStyle33"/>
          <w:sz w:val="30"/>
          <w:szCs w:val="30"/>
          <w:shd w:val="clear" w:color="auto" w:fill="000000"/>
        </w:rPr>
        <w:t>​.</w:t>
      </w:r>
      <w:r>
        <w:rPr>
          <w:rStyle w:val="CharStyle33"/>
          <w:spacing w:val="1"/>
          <w:sz w:val="30"/>
          <w:szCs w:val="30"/>
          <w:shd w:val="clear" w:color="auto" w:fill="000000"/>
        </w:rPr>
        <w:t>.</w:t>
      </w:r>
      <w:r>
        <w:rPr>
          <w:rStyle w:val="CharStyle33"/>
          <w:spacing w:val="5"/>
          <w:sz w:val="30"/>
          <w:szCs w:val="30"/>
          <w:u w:val="single"/>
          <w:shd w:val="clear" w:color="auto" w:fill="000000"/>
        </w:rPr>
        <w:t>.</w:t>
      </w:r>
      <w:r>
        <w:rPr>
          <w:rStyle w:val="CharStyle33"/>
          <w:spacing w:val="6"/>
          <w:sz w:val="30"/>
          <w:szCs w:val="30"/>
          <w:u w:val="single"/>
          <w:shd w:val="clear" w:color="auto" w:fill="000000"/>
        </w:rPr>
        <w:t>.....</w:t>
      </w:r>
      <w:r>
        <w:rPr>
          <w:rStyle w:val="CharStyle33"/>
          <w:i/>
          <w:iCs/>
          <w:sz w:val="34"/>
          <w:szCs w:val="34"/>
          <w:u w:val="single"/>
          <w:shd w:val="clear" w:color="auto" w:fill="000000"/>
        </w:rPr>
        <w:t>​</w:t>
      </w:r>
      <w:r>
        <w:rPr>
          <w:rStyle w:val="CharStyle33"/>
          <w:i/>
          <w:iCs/>
          <w:spacing w:val="6"/>
          <w:sz w:val="34"/>
          <w:szCs w:val="34"/>
          <w:u w:val="single"/>
          <w:shd w:val="clear" w:color="auto" w:fill="000000"/>
        </w:rPr>
        <w:t>.........</w:t>
      </w:r>
      <w:r>
        <w:rPr>
          <w:rStyle w:val="CharStyle33"/>
          <w:i/>
          <w:iCs/>
          <w:spacing w:val="7"/>
          <w:sz w:val="34"/>
          <w:szCs w:val="34"/>
          <w:u w:val="single"/>
          <w:shd w:val="clear" w:color="auto" w:fill="000000"/>
        </w:rPr>
        <w:t>....</w:t>
      </w:r>
      <w:r>
        <w:rPr>
          <w:rStyle w:val="CharStyle33"/>
          <w:i/>
          <w:iCs/>
          <w:sz w:val="34"/>
          <w:szCs w:val="34"/>
          <w:u w:val="single"/>
          <w:shd w:val="clear" w:color="auto" w:fill="000000"/>
        </w:rPr>
        <w:t>​</w:t>
      </w:r>
      <w:r>
        <w:rPr>
          <w:rStyle w:val="CharStyle33"/>
          <w:i/>
          <w:iCs/>
          <w:spacing w:val="-6"/>
          <w:sz w:val="34"/>
          <w:szCs w:val="34"/>
          <w:u w:val="single"/>
          <w:shd w:val="clear" w:color="auto" w:fill="000000"/>
        </w:rPr>
        <w:t>.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240" w:lineRule="auto"/>
        <w:ind w:left="0" w:right="1580" w:firstLine="0"/>
        <w:jc w:val="right"/>
      </w:pPr>
      <w:r>
        <w:rPr>
          <w:rStyle w:val="CharStyle5"/>
          <w:spacing w:val="13"/>
          <w:shd w:val="clear" w:color="auto" w:fill="000000"/>
        </w:rPr>
        <w:t>..</w:t>
      </w:r>
      <w:r>
        <w:rPr>
          <w:rStyle w:val="CharStyle5"/>
          <w:spacing w:val="14"/>
          <w:shd w:val="clear" w:color="auto" w:fill="000000"/>
        </w:rPr>
        <w:t>.</w:t>
      </w:r>
      <w:r>
        <w:rPr>
          <w:rStyle w:val="CharStyle5"/>
          <w:shd w:val="clear" w:color="auto" w:fill="000000"/>
        </w:rPr>
        <w:t>..​</w:t>
      </w:r>
      <w:r>
        <w:rPr>
          <w:rStyle w:val="CharStyle5"/>
          <w:spacing w:val="33"/>
          <w:shd w:val="clear" w:color="auto" w:fill="000000"/>
        </w:rPr>
        <w:t>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8"/>
          <w:shd w:val="clear" w:color="auto" w:fill="000000"/>
        </w:rPr>
        <w:t>...</w:t>
      </w:r>
      <w:r>
        <w:rPr>
          <w:rStyle w:val="CharStyle5"/>
          <w:spacing w:val="9"/>
          <w:shd w:val="clear" w:color="auto" w:fill="000000"/>
        </w:rPr>
        <w:t>.</w:t>
      </w:r>
      <w:r>
        <w:rPr>
          <w:rStyle w:val="CharStyle5"/>
          <w:shd w:val="clear" w:color="auto" w:fill="000000"/>
        </w:rPr>
        <w:t>..........................</w:t>
      </w:r>
      <w:r>
        <w:rPr>
          <w:rStyle w:val="CharStyle5"/>
          <w:spacing w:val="13"/>
          <w:shd w:val="clear" w:color="auto" w:fill="000000"/>
        </w:rPr>
        <w:t>.</w:t>
      </w:r>
      <w:r>
        <w:rPr>
          <w:rStyle w:val="CharStyle5"/>
          <w:spacing w:val="14"/>
          <w:shd w:val="clear" w:color="auto" w:fill="000000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917" w:val="left"/>
        </w:tabs>
        <w:bidi w:val="0"/>
        <w:spacing w:before="0" w:after="300" w:line="240" w:lineRule="auto"/>
        <w:ind w:left="0" w:right="0" w:firstLine="88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4340225</wp:posOffset>
                </wp:positionH>
                <wp:positionV relativeFrom="margin">
                  <wp:posOffset>7324090</wp:posOffset>
                </wp:positionV>
                <wp:extent cx="1161415" cy="4146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1550" w:val="left"/>
                                <w:tab w:leader="hyphen" w:pos="179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  <w:shd w:val="clear" w:color="auto" w:fill="000000"/>
                              </w:rPr>
                              <w:t>...​</w:t>
                            </w:r>
                            <w:r>
                              <w:rPr>
                                <w:rStyle w:val="CharStyle19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9"/>
                                <w:spacing w:val="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9"/>
                                <w:shd w:val="clear" w:color="auto" w:fill="000000"/>
                              </w:rPr>
                              <w:t>​................</w:t>
                            </w:r>
                            <w:r>
                              <w:rPr>
                                <w:rStyle w:val="CharStyle19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9"/>
                                <w:spacing w:val="19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1.75pt;margin-top:576.70000000000005pt;width:91.450000000000003pt;height:32.649999999999999pt;z-index:-12582937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1550" w:val="left"/>
                          <w:tab w:leader="hyphen" w:pos="179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shd w:val="clear" w:color="auto" w:fill="000000"/>
                        </w:rPr>
                        <w:t>...​</w:t>
                      </w:r>
                      <w:r>
                        <w:rPr>
                          <w:rStyle w:val="CharStyle19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9"/>
                          <w:spacing w:val="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9"/>
                          <w:shd w:val="clear" w:color="auto" w:fill="000000"/>
                        </w:rPr>
                        <w:t>​................</w:t>
                      </w:r>
                      <w:r>
                        <w:rPr>
                          <w:rStyle w:val="CharStyle19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9"/>
                          <w:spacing w:val="19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nájemce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5"/>
          <w:spacing w:val="3"/>
          <w:shd w:val="clear" w:color="auto" w:fill="000000"/>
        </w:rPr>
        <w:t>.</w:t>
      </w:r>
      <w:r>
        <w:rPr>
          <w:rStyle w:val="CharStyle5"/>
          <w:spacing w:val="4"/>
          <w:shd w:val="clear" w:color="auto" w:fill="000000"/>
        </w:rPr>
        <w:t>.</w:t>
      </w:r>
      <w:r>
        <w:rPr>
          <w:rStyle w:val="CharStyle5"/>
          <w:spacing w:val="-9"/>
          <w:shd w:val="clear" w:color="auto" w:fill="000000"/>
        </w:rPr>
        <w:t>.</w:t>
      </w:r>
      <w:r>
        <w:rPr>
          <w:rStyle w:val="CharStyle5"/>
          <w:spacing w:val="8"/>
          <w:shd w:val="clear" w:color="auto" w:fill="000000"/>
        </w:rPr>
        <w:t>...</w:t>
      </w:r>
      <w:r>
        <w:rPr>
          <w:rStyle w:val="CharStyle5"/>
          <w:spacing w:val="9"/>
          <w:shd w:val="clear" w:color="auto" w:fill="000000"/>
        </w:rPr>
        <w:t>.</w:t>
      </w:r>
      <w:r>
        <w:rPr>
          <w:rStyle w:val="CharStyle5"/>
          <w:spacing w:val="2"/>
          <w:shd w:val="clear" w:color="auto" w:fill="000000"/>
        </w:rPr>
        <w:t>........</w:t>
      </w:r>
      <w:r>
        <w:rPr>
          <w:rStyle w:val="CharStyle5"/>
          <w:spacing w:val="3"/>
          <w:shd w:val="clear" w:color="auto" w:fill="000000"/>
        </w:rPr>
        <w:t>........</w:t>
      </w:r>
      <w:r>
        <w:rPr>
          <w:rStyle w:val="CharStyle5"/>
          <w:shd w:val="clear" w:color="auto" w:fill="000000"/>
        </w:rPr>
        <w:t>..</w:t>
      </w:r>
      <w:r>
        <w:rPr>
          <w:rStyle w:val="CharStyle5"/>
          <w:spacing w:val="1"/>
          <w:shd w:val="clear" w:color="auto" w:fill="000000"/>
        </w:rPr>
        <w:t>......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4"/>
          <w:shd w:val="clear" w:color="auto" w:fill="000000"/>
        </w:rPr>
        <w:t>....</w:t>
      </w:r>
      <w:r>
        <w:rPr>
          <w:rStyle w:val="CharStyle5"/>
          <w:spacing w:val="5"/>
          <w:shd w:val="clear" w:color="auto" w:fill="000000"/>
        </w:rPr>
        <w:t>...</w:t>
      </w:r>
      <w:r>
        <w:rPr>
          <w:rStyle w:val="CharStyle5"/>
          <w:spacing w:val="41"/>
          <w:shd w:val="clear" w:color="auto" w:fill="000000"/>
        </w:rPr>
        <w:t>.</w:t>
      </w:r>
      <w:r>
        <w:rPr>
          <w:rStyle w:val="CharStyle5"/>
          <w:spacing w:val="8"/>
          <w:shd w:val="clear" w:color="auto" w:fill="000000"/>
        </w:rPr>
        <w:t>..</w:t>
      </w:r>
      <w:r>
        <w:rPr>
          <w:rStyle w:val="CharStyle5"/>
          <w:spacing w:val="5"/>
          <w:shd w:val="clear" w:color="auto" w:fill="000000"/>
        </w:rPr>
        <w:t>....</w:t>
      </w:r>
      <w:r>
        <w:rPr>
          <w:rStyle w:val="CharStyle5"/>
          <w:spacing w:val="6"/>
          <w:shd w:val="clear" w:color="auto" w:fill="000000"/>
        </w:rPr>
        <w:t>...</w:t>
      </w: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7061200</wp:posOffset>
                </wp:positionV>
                <wp:extent cx="829310" cy="34163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6"/>
                                <w:b/>
                                <w:bCs/>
                              </w:rPr>
                              <w:t>6 314,76 Kč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6"/>
                                <w:b/>
                                <w:bCs/>
                              </w:rPr>
                              <w:t>25 259,03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5.85000000000002pt;margin-top:556.pt;width:65.299999999999997pt;height:26.900000000000002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6"/>
                          <w:b/>
                          <w:bCs/>
                        </w:rPr>
                        <w:t>6 314,76 Kč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b/>
                          <w:bCs/>
                        </w:rPr>
                        <w:t>25 259,03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9"/>
          <w:b/>
          <w:bCs/>
          <w:i/>
          <w:iCs/>
          <w:sz w:val="24"/>
          <w:szCs w:val="24"/>
          <w:u w:val="single"/>
        </w:rPr>
        <w:t>Soupis movitého majetku - Nemocnice Blansko</w:t>
      </w:r>
    </w:p>
    <w:tbl>
      <w:tblPr>
        <w:tblOverlap w:val="never"/>
        <w:jc w:val="center"/>
        <w:tblLayout w:type="fixed"/>
      </w:tblPr>
      <w:tblGrid>
        <w:gridCol w:w="2232"/>
        <w:gridCol w:w="1320"/>
        <w:gridCol w:w="3566"/>
        <w:gridCol w:w="1176"/>
        <w:gridCol w:w="1334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Style w:val="CharStyle65"/>
                <w:i/>
                <w:iCs/>
                <w:sz w:val="18"/>
                <w:szCs w:val="18"/>
              </w:rPr>
              <w:t>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65"/>
                <w:i/>
                <w:iCs/>
                <w:sz w:val="18"/>
                <w:szCs w:val="18"/>
              </w:rPr>
              <w:t>inv.číslo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5"/>
                <w:i/>
                <w:iCs/>
                <w:sz w:val="18"/>
                <w:szCs w:val="1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5"/>
                <w:i/>
                <w:iCs/>
                <w:sz w:val="18"/>
                <w:szCs w:val="18"/>
              </w:rPr>
              <w:t>pořízení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rStyle w:val="CharStyle65"/>
                <w:i/>
                <w:iCs/>
                <w:sz w:val="18"/>
                <w:szCs w:val="18"/>
              </w:rPr>
              <w:t>cena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Kontejner zás. poj.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4 741,00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Kontejner zás. poj.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4 741,00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200600661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Konzola na televizi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12.12.2001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2 257,00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Koš nerezový 5I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20.12.2001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1 112,00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200600807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Křeslo polohovací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20.12.2001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7 680,00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20070117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Kuchyně (součást budovy)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1.1.2007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30 000,00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Lednička Zanussi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1.1.2000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6 990,00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Obraceč průhl. tabulek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27.9.1999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7 210,00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200601064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Podpěrka nohou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30.9.2002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934,00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200601065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Podpěrka nohou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30.9.2002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934,00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Pohovka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17.12.2001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9 727,00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Radiopřijímač Thomson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28.12.2001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5 245,00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200601063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Rampa osvětlovací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30.9.2002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3 440,00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dělená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6 657,00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dělená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6 657,00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dělená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6 657,00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dělená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4 339,00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dělená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4 339,00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dělená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8 282,00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otevřená se stolkem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6 670,00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rohová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7 794,00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Skříň vestavěná do 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22.10.2001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4 133,00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200601109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Souprava přepážková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31.12.2002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19 776,00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200601062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Stolek konf. mobilní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30.9.2002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4 112,00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Stůl operačního střediska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1.1.2006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45 020,00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200600843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Tabule magnetická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20.12.2001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2 989,00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Televizor barevný Elekta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1.1.2000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9 900,00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Trouba mikrovlnná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1.1.2000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4 660,00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200670812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Váha osobní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1.1.2000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20070060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Zařízení záznamové 4kan.DVR Tripx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30.4.2007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20 194,30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141-inf.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200600958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Židle kane. stoh.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31.1.2002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5 050,00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CELKEM: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252 590,30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480" w:line="338" w:lineRule="auto"/>
        <w:ind w:left="0" w:right="0" w:firstLine="0"/>
        <w:jc w:val="left"/>
      </w:pPr>
      <w:r>
        <w:rPr>
          <w:rStyle w:val="CharStyle26"/>
          <w:b/>
          <w:bCs/>
        </w:rPr>
        <w:t>nájemné/čtvrtletí nájemné/rok</w:t>
      </w:r>
    </w:p>
    <w:p>
      <w:pPr>
        <w:pStyle w:val="Style69"/>
        <w:keepNext w:val="0"/>
        <w:keepLines w:val="0"/>
        <w:widowControl w:val="0"/>
        <w:shd w:val="clear" w:color="auto" w:fill="auto"/>
        <w:tabs>
          <w:tab w:pos="710" w:val="left"/>
          <w:tab w:leader="hyphen" w:pos="1596" w:val="left"/>
          <w:tab w:leader="hyphen" w:pos="1731" w:val="left"/>
        </w:tabs>
        <w:bidi w:val="0"/>
        <w:spacing w:before="0" w:line="240" w:lineRule="auto"/>
        <w:ind w:left="0" w:right="0" w:firstLine="0"/>
        <w:jc w:val="center"/>
      </w:pPr>
      <w:r>
        <w:rPr>
          <w:rStyle w:val="CharStyle70"/>
        </w:rPr>
        <w:t>..</w:t>
        <w:tab/>
        <w:t>i</w:t>
        <w:tab/>
        <w:tab/>
      </w:r>
    </w:p>
    <w:p>
      <w:pPr>
        <w:pStyle w:val="Style7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72"/>
        </w:rPr>
        <w:t>MUDr. Vladimíra Danihelková, MBA</w:t>
        <w:br/>
        <w:t>ředitelka "Nemocnice Blansko</w:t>
      </w:r>
      <w:bookmarkEnd w:id="6"/>
      <w:r>
        <w:br w:type="page"/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00"/>
        <w:jc w:val="left"/>
      </w:pPr>
      <w:r>
        <w:rPr>
          <w:rStyle w:val="CharStyle26"/>
        </w:rPr>
        <w:t>Příloha č. 1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00"/>
        <w:jc w:val="left"/>
      </w:pPr>
      <w:r>
        <w:rPr>
          <w:rStyle w:val="CharStyle26"/>
          <w:b/>
          <w:bCs/>
          <w:u w:val="single"/>
        </w:rPr>
        <w:t>Nebytové prostory - informační centrum, garáže</w:t>
      </w:r>
    </w:p>
    <w:tbl>
      <w:tblPr>
        <w:tblOverlap w:val="never"/>
        <w:jc w:val="left"/>
        <w:tblLayout w:type="fixed"/>
      </w:tblPr>
      <w:tblGrid>
        <w:gridCol w:w="662"/>
        <w:gridCol w:w="1954"/>
        <w:gridCol w:w="312"/>
        <w:gridCol w:w="893"/>
        <w:gridCol w:w="1046"/>
        <w:gridCol w:w="1013"/>
      </w:tblGrid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tabs>
                <w:tab w:pos="10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i/>
                <w:iCs/>
                <w:sz w:val="19"/>
                <w:szCs w:val="19"/>
              </w:rPr>
              <w:t>č. míst. |.</w:t>
              <w:tab/>
              <w:t>název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rStyle w:val="CharStyle65"/>
                <w:i/>
                <w:iCs/>
                <w:sz w:val="15"/>
                <w:szCs w:val="15"/>
              </w:rPr>
              <w:t>plocha-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rStyle w:val="CharStyle65"/>
                <w:i/>
                <w:iCs/>
                <w:sz w:val="15"/>
                <w:szCs w:val="15"/>
              </w:rPr>
              <w:t>Kč/m2/rok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65"/>
                <w:i/>
                <w:iCs/>
                <w:sz w:val="15"/>
                <w:szCs w:val="15"/>
              </w:rPr>
              <w:t>nájemně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i/>
                <w:iCs/>
                <w:sz w:val="19"/>
                <w:szCs w:val="19"/>
              </w:rPr>
              <w:t>Informační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129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šatna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17,60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7 807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132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chodba - podíl 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2 808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informační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29,50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1 109,40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32 727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informační centrum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1 109,40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11 649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143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sprcha, 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1 930</w:t>
            </w:r>
          </w:p>
        </w:tc>
      </w:tr>
      <w:tr>
        <w:trPr>
          <w:trHeight w:val="25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&lt;68,28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3 549,60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56 921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i/>
                <w:iCs/>
                <w:sz w:val="19"/>
                <w:szCs w:val="19"/>
              </w:rPr>
              <w:t>Garáže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8 659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8 659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8 659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garáž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8 659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garáž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17,85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sz w:val="19"/>
                <w:szCs w:val="19"/>
              </w:rPr>
              <w:t>7 918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 xml:space="preserve">celkem $A </w:t>
            </w:r>
            <w:r>
              <w:rPr>
                <w:rStyle w:val="CharStyle65"/>
                <w:b/>
                <w:bCs/>
                <w:sz w:val="19"/>
                <w:szCs w:val="19"/>
                <w:vertAlign w:val="superscript"/>
              </w:rPr>
              <w:t>:</w:t>
            </w:r>
            <w:r>
              <w:rPr>
                <w:rStyle w:val="CharStyle65"/>
                <w:b/>
                <w:bCs/>
                <w:sz w:val="19"/>
                <w:szCs w:val="19"/>
              </w:rPr>
              <w:t xml:space="preserve"> í"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: 95’93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; 2 218-00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42555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čělkén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... . .*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5"/>
                <w:b/>
                <w:bCs/>
                <w:sz w:val="19"/>
                <w:szCs w:val="19"/>
              </w:rPr>
              <w:t>: :: 99 476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79" w:right="1570" w:bottom="570" w:left="701" w:header="1151" w:footer="142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39"/>
        <w:gridCol w:w="1450"/>
      </w:tblGrid>
      <w:tr>
        <w:trPr>
          <w:trHeight w:val="46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5"/>
                <w:i/>
                <w:iCs/>
                <w:spacing w:val="2"/>
                <w:sz w:val="18"/>
                <w:szCs w:val="18"/>
                <w:shd w:val="clear" w:color="auto" w:fill="000000"/>
              </w:rPr>
              <w:t>..........</w:t>
            </w:r>
          </w:p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65"/>
                <w:b/>
                <w:bCs/>
                <w:spacing w:val="1"/>
                <w:w w:val="70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65"/>
                <w:b/>
                <w:bCs/>
                <w:spacing w:val="2"/>
                <w:w w:val="70"/>
                <w:sz w:val="18"/>
                <w:szCs w:val="18"/>
                <w:shd w:val="clear" w:color="auto" w:fill="000000"/>
              </w:rPr>
              <w:t>..........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8"/>
                <w:szCs w:val="18"/>
              </w:rPr>
            </w:pPr>
            <w:r>
              <w:rPr>
                <w:rStyle w:val="CharStyle65"/>
                <w:b/>
                <w:bCs/>
                <w:spacing w:val="1"/>
                <w:w w:val="70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CharStyle65"/>
                <w:b/>
                <w:bCs/>
                <w:spacing w:val="2"/>
                <w:w w:val="70"/>
                <w:sz w:val="18"/>
                <w:szCs w:val="18"/>
                <w:shd w:val="clear" w:color="auto" w:fill="000000"/>
              </w:rPr>
              <w:t>.............</w:t>
            </w:r>
            <w:r>
              <w:rPr>
                <w:rStyle w:val="CharStyle65"/>
                <w:b/>
                <w:bCs/>
                <w:w w:val="70"/>
                <w:sz w:val="18"/>
                <w:szCs w:val="18"/>
                <w:shd w:val="clear" w:color="auto" w:fill="000000"/>
              </w:rPr>
              <w:t>​....</w:t>
            </w:r>
            <w:r>
              <w:rPr>
                <w:rStyle w:val="CharStyle65"/>
                <w:b/>
                <w:bCs/>
                <w:spacing w:val="1"/>
                <w:w w:val="70"/>
                <w:sz w:val="18"/>
                <w:szCs w:val="18"/>
                <w:shd w:val="clear" w:color="auto" w:fill="000000"/>
              </w:rPr>
              <w:t>.......</w:t>
            </w:r>
            <w:r>
              <w:rPr>
                <w:rStyle w:val="CharStyle65"/>
                <w:b/>
                <w:bCs/>
                <w:w w:val="70"/>
                <w:sz w:val="18"/>
                <w:szCs w:val="18"/>
              </w:rPr>
              <w:t xml:space="preserve"> </w:t>
            </w:r>
            <w:r>
              <w:rPr>
                <w:rStyle w:val="CharStyle65"/>
                <w:b/>
                <w:bCs/>
                <w:w w:val="70"/>
                <w:sz w:val="18"/>
                <w:szCs w:val="18"/>
                <w:shd w:val="clear" w:color="auto" w:fill="000000"/>
              </w:rPr>
              <w:t>​.</w:t>
            </w:r>
            <w:r>
              <w:rPr>
                <w:rStyle w:val="CharStyle65"/>
                <w:b/>
                <w:bCs/>
                <w:spacing w:val="4"/>
                <w:w w:val="70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CharStyle65"/>
                <w:b/>
                <w:bCs/>
                <w:spacing w:val="5"/>
                <w:w w:val="70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65"/>
                <w:b/>
                <w:bCs/>
                <w:spacing w:val="1"/>
                <w:w w:val="70"/>
                <w:sz w:val="18"/>
                <w:szCs w:val="18"/>
                <w:shd w:val="clear" w:color="auto" w:fill="000000"/>
              </w:rPr>
              <w:t>......</w:t>
            </w:r>
            <w:r>
              <w:rPr>
                <w:rStyle w:val="CharStyle65"/>
                <w:b/>
                <w:bCs/>
                <w:spacing w:val="2"/>
                <w:w w:val="70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CharStyle65"/>
                <w:b/>
                <w:bCs/>
                <w:w w:val="70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CharStyle65"/>
                <w:b/>
                <w:bCs/>
                <w:spacing w:val="1"/>
                <w:w w:val="70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CharStyle65"/>
                <w:b/>
                <w:bCs/>
                <w:spacing w:val="2"/>
                <w:w w:val="70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CharStyle65"/>
                <w:b/>
                <w:bCs/>
                <w:w w:val="70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CharStyle65"/>
                <w:b/>
                <w:bCs/>
                <w:spacing w:val="2"/>
                <w:w w:val="70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CharStyle65"/>
                <w:b/>
                <w:bCs/>
                <w:spacing w:val="3"/>
                <w:w w:val="70"/>
                <w:sz w:val="18"/>
                <w:szCs w:val="18"/>
                <w:shd w:val="clear" w:color="auto" w:fill="000000"/>
              </w:rPr>
              <w:t>..</w:t>
            </w:r>
          </w:p>
        </w:tc>
      </w:tr>
    </w:tbl>
    <w:p>
      <w:pPr>
        <w:widowControl w:val="0"/>
        <w:spacing w:after="79" w:line="1" w:lineRule="exact"/>
      </w:pPr>
    </w:p>
    <w:tbl>
      <w:tblPr>
        <w:tblOverlap w:val="never"/>
        <w:jc w:val="center"/>
        <w:tblLayout w:type="fixed"/>
      </w:tblPr>
      <w:tblGrid>
        <w:gridCol w:w="739"/>
        <w:gridCol w:w="1450"/>
      </w:tblGrid>
      <w:tr>
        <w:trPr>
          <w:trHeight w:val="11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65"/>
                <w:b/>
                <w:bCs/>
                <w:spacing w:val="3"/>
                <w:sz w:val="12"/>
                <w:szCs w:val="12"/>
                <w:shd w:val="clear" w:color="auto" w:fill="000000"/>
              </w:rPr>
              <w:t>......</w:t>
            </w:r>
            <w:r>
              <w:rPr>
                <w:rStyle w:val="CharStyle65"/>
                <w:b/>
                <w:bCs/>
                <w:spacing w:val="4"/>
                <w:sz w:val="12"/>
                <w:szCs w:val="12"/>
                <w:shd w:val="clear" w:color="auto" w:fill="000000"/>
              </w:rPr>
              <w:t>...</w:t>
            </w:r>
          </w:p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5"/>
                <w:spacing w:val="16"/>
                <w:shd w:val="clear" w:color="auto" w:fill="000000"/>
              </w:rPr>
              <w:t>..</w:t>
            </w:r>
            <w:r>
              <w:rPr>
                <w:rStyle w:val="CharStyle65"/>
                <w:spacing w:val="17"/>
                <w:shd w:val="clear" w:color="auto" w:fill="000000"/>
              </w:rPr>
              <w:t>.</w:t>
            </w:r>
            <w:r>
              <w:rPr>
                <w:rStyle w:val="CharStyle65"/>
                <w:shd w:val="clear" w:color="auto" w:fill="000000"/>
              </w:rPr>
              <w:t>​..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65"/>
                <w:b/>
                <w:bCs/>
                <w:spacing w:val="3"/>
                <w:sz w:val="12"/>
                <w:szCs w:val="12"/>
                <w:shd w:val="clear" w:color="auto" w:fill="000000"/>
              </w:rPr>
              <w:t>..........</w:t>
            </w:r>
            <w:r>
              <w:rPr>
                <w:rStyle w:val="CharStyle65"/>
                <w:b/>
                <w:bCs/>
                <w:sz w:val="12"/>
                <w:szCs w:val="12"/>
                <w:shd w:val="clear" w:color="auto" w:fill="000000"/>
              </w:rPr>
              <w:t>​</w:t>
            </w:r>
            <w:r>
              <w:rPr>
                <w:rStyle w:val="CharStyle65"/>
                <w:b/>
                <w:bCs/>
                <w:spacing w:val="2"/>
                <w:sz w:val="12"/>
                <w:szCs w:val="12"/>
                <w:shd w:val="clear" w:color="auto" w:fill="000000"/>
              </w:rPr>
              <w:t>......</w:t>
            </w:r>
            <w:r>
              <w:rPr>
                <w:rStyle w:val="CharStyle65"/>
                <w:b/>
                <w:bCs/>
                <w:spacing w:val="3"/>
                <w:sz w:val="12"/>
                <w:szCs w:val="12"/>
                <w:shd w:val="clear" w:color="auto" w:fill="000000"/>
              </w:rPr>
              <w:t>.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53" w:right="1735" w:bottom="793" w:left="537" w:header="725" w:footer="3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6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8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Nadpis #3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3">
    <w:name w:val="Nadpis #2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CharStyle65">
    <w:name w:val="Jiné_"/>
    <w:basedOn w:val="DefaultParagraphFont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">
    <w:name w:val="Základní text (4)_"/>
    <w:basedOn w:val="DefaultParagraphFont"/>
    <w:link w:val="Style6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2">
    <w:name w:val="Nadpis #4_"/>
    <w:basedOn w:val="DefaultParagraphFont"/>
    <w:link w:val="Styl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150"/>
      <w:ind w:right="790" w:firstLine="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auto"/>
      <w:spacing w:line="24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auto"/>
      <w:spacing w:after="24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auto"/>
      <w:spacing w:after="38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Nadpis #3"/>
    <w:basedOn w:val="Normal"/>
    <w:link w:val="CharStyle28"/>
    <w:pPr>
      <w:widowControl w:val="0"/>
      <w:shd w:val="clear" w:color="auto" w:fill="auto"/>
      <w:spacing w:after="32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2">
    <w:name w:val="Nadpis #2"/>
    <w:basedOn w:val="Normal"/>
    <w:link w:val="CharStyle33"/>
    <w:pPr>
      <w:widowControl w:val="0"/>
      <w:shd w:val="clear" w:color="auto" w:fill="auto"/>
      <w:spacing w:line="218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/>
      <w:strike w:val="0"/>
      <w:sz w:val="20"/>
      <w:szCs w:val="20"/>
      <w:u w:val="none"/>
    </w:rPr>
  </w:style>
  <w:style w:type="paragraph" w:customStyle="1" w:styleId="Style64">
    <w:name w:val="Jiné"/>
    <w:basedOn w:val="Normal"/>
    <w:link w:val="CharStyle65"/>
    <w:pPr>
      <w:widowControl w:val="0"/>
      <w:shd w:val="clear" w:color="auto" w:fill="auto"/>
      <w:spacing w:after="24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9">
    <w:name w:val="Základní text (4)"/>
    <w:basedOn w:val="Normal"/>
    <w:link w:val="CharStyle70"/>
    <w:pPr>
      <w:widowControl w:val="0"/>
      <w:shd w:val="clear" w:color="auto" w:fill="auto"/>
      <w:spacing w:after="160"/>
      <w:jc w:val="center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1">
    <w:name w:val="Nadpis #4"/>
    <w:basedOn w:val="Normal"/>
    <w:link w:val="CharStyle72"/>
    <w:pPr>
      <w:widowControl w:val="0"/>
      <w:shd w:val="clear" w:color="auto" w:fill="auto"/>
      <w:spacing w:after="360"/>
      <w:jc w:val="center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