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4710" w:val="left"/>
        </w:tabs>
        <w:bidi w:val="0"/>
        <w:spacing w:line="240" w:lineRule="auto"/>
        <w:ind w:right="0" w:firstLine="0"/>
        <w:jc w:val="left"/>
      </w:pPr>
      <w:r>
        <w:rPr>
          <w:rStyle w:val="CharStyle3"/>
          <w:b/>
          <w:bCs/>
        </w:rPr>
        <w:tab/>
        <w:t xml:space="preserve"> 2012000973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20"/>
        <w:jc w:val="both"/>
      </w:pPr>
      <w:r>
        <w:rPr>
          <w:rStyle w:val="CharStyle5"/>
        </w:rPr>
        <w:t xml:space="preserve">ke smlouvě o nájmu nebytových prostor ze dne 30.4.2007 ve znění dodatku č. 1 ze dne 31.3.2008 a dodatku č. 2 ze dne 24.2.2011 / dále jen „smlouva“ </w:t>
      </w:r>
      <w:r>
        <w:rPr>
          <w:rStyle w:val="CharStyle5"/>
          <w:i/>
          <w:iCs/>
        </w:rPr>
        <w:t>I,</w:t>
      </w:r>
      <w:r>
        <w:rPr>
          <w:rStyle w:val="CharStyle5"/>
        </w:rPr>
        <w:t xml:space="preserve"> uzavřené mezi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both"/>
      </w:pPr>
      <w:r>
        <w:rPr>
          <w:rStyle w:val="CharStyle5"/>
        </w:rPr>
        <w:t>1/ Zdravotnickou záchrannou službou Jihomoravského kraje, příspěvkovou organizací, IC 00346292, se sídlem v Brně, nám. 28. října 23, zastoupenou svým ředitelem panem ing. Milanem Klusákcm, MBA jako pronajímatelem / dále jen „pronajímatel“/, 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rStyle w:val="CharStyle5"/>
        </w:rPr>
        <w:t>2/ Nemocnicí Blansko, příspěvkovou organizací, IČ 00386634, se sídlem v Blansku, Sadová 33, zastoupenou svou ředitelkou paní MUDr. Vladimírou Danihelkovou, MBA jako nájemcem /dále jen „ nájemce“/.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80"/>
        <w:jc w:val="left"/>
      </w:pPr>
      <w:r>
        <w:rPr>
          <w:rStyle w:val="CharStyle5"/>
        </w:rPr>
        <w:t>ČI. 1 smlouvy se mění a nadále zní takto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both"/>
      </w:pPr>
      <w:r>
        <w:rPr>
          <w:rStyle w:val="CharStyle5"/>
        </w:rPr>
        <w:t>Pronajímatel má ve správě dům ve vlastnictví Jihomoravského kraje v Blansku, K.H. Máchy 17, čp. 2342, těch, vyb., umístěný na pozemku p.č. 3791, k.ú. Blansko a na pozemku p.č. 2328, k.ú. Blansko, a zapsaný na LV č. 4401 pro katastrální území a obec Blansko. Na prvním nadzemním podlaží této nemovitosti je umístěn mimo jiné soubor 5-ti garáží č. 8, č. 9, č. 10, č. 11, každá o výměře 19,52 m2 a č. 12 o výměře 17,85 m2, tedy celkem 95,93 m2. Všechny tyto prostory jsou určeny k jiným, než bytovým účelům.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20"/>
        <w:jc w:val="both"/>
      </w:pPr>
      <w:r>
        <w:rPr>
          <w:rStyle w:val="CharStyle5"/>
        </w:rPr>
        <w:t>ČI. 1 a smlouvy se ruší.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20"/>
        <w:jc w:val="left"/>
      </w:pPr>
      <w:r>
        <w:rPr>
          <w:rStyle w:val="CharStyle5"/>
        </w:rPr>
        <w:t>ČI. 2 smlouvy se mění a nadále zní takto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20"/>
        <w:jc w:val="both"/>
      </w:pPr>
      <w:r>
        <w:rPr>
          <w:rStyle w:val="CharStyle5"/>
        </w:rPr>
        <w:t>Pronajímatel se zavazuje, žc nebytové prostory podle čl. 1 této smlouvy přenechá nájemci k jeho výhradnímu užívání pro jeho účely. Pronajímatel se současně zavazuje, že bude nájemci poskytovat služby s užíváním těchto prostor spojené, a to nepřetržitě po celou dobu nájmu podle této smlouvy, nedohodnou-li se obě strany v jednotlivém případě později jinak. Službami se pro účely této smlouvy rozumí dodávka elektrické energie, tepla a osvětlení společných prostor.</w:t>
      </w:r>
      <w:r>
        <w:br w:type="page"/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4040" w:right="0" w:firstLine="0"/>
        <w:jc w:val="both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20"/>
        <w:jc w:val="both"/>
      </w:pPr>
      <w:r>
        <w:rPr>
          <w:rStyle w:val="CharStyle5"/>
        </w:rPr>
        <w:t>ČI. 5 smlouvy se mění a nadále zní takto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Style w:val="CharStyle5"/>
        </w:rPr>
        <w:t>Nájemce se zavazuje za užívání nebytových prostor podle čl. 1 této smlouvy platit pronajímateli nájemné ve výši 47.965,- Kč ročně.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80" w:line="240" w:lineRule="auto"/>
        <w:ind w:left="404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60"/>
        <w:jc w:val="both"/>
      </w:pPr>
      <w:r>
        <w:rPr>
          <w:rStyle w:val="CharStyle5"/>
        </w:rPr>
        <w:t>Čl. 7 smlouvy se ruší.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4040" w:right="0" w:firstLine="0"/>
        <w:jc w:val="both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40"/>
        <w:jc w:val="both"/>
      </w:pPr>
      <w:r>
        <w:rPr>
          <w:rStyle w:val="CharStyle5"/>
        </w:rPr>
        <w:t>Čl. 10 smlouvy se mění a nadále zní takto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Style w:val="CharStyle5"/>
        </w:rPr>
        <w:t>Úhrada za služby podle čl. 6 této smlouvy je splatná na účet pronajímatele podle čl. 9 této smlouvy formou pravidelných čtvrtletních záloh ve výši 4.250,- Kč a ve lhůtě zároveň s nájemným, a formou ročního vyúčtování po skončení příslušného kalendářního roku ve lhůtě do 10-ti dnů od předložení jeho písemného vyhotovení /faktury/.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390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rStyle w:val="CharStyle5"/>
        </w:rPr>
        <w:t>Ostatní ujednání smlouvy nejsou tímto dodatkem nijak dotčena.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390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rStyle w:val="CharStyle5"/>
        </w:rPr>
        <w:t>Tento dodatek lze změnit nebo zrušit pouze jinou písemnou dohodou obou smluvních stran.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4040" w:right="0" w:firstLine="0"/>
        <w:jc w:val="both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460"/>
        <w:jc w:val="both"/>
      </w:pPr>
      <w:r>
        <w:rPr>
          <w:rStyle w:val="CharStyle5"/>
        </w:rPr>
        <w:t>Tento dodatek nabývá účinnosti dnem 1.1.2012.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457" w:right="1397" w:bottom="2127" w:left="1296" w:header="1029" w:footer="1699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5"/>
        </w:rPr>
        <w:t>Dáno v Brně dne 1.1.2012 ve dvou originálních písemných vyhotoveních, z nichž každá ze smluvních stran obdrží po jednom.</w:t>
      </w:r>
    </w:p>
    <w:p>
      <w:pPr>
        <w:pStyle w:val="Style9"/>
        <w:keepNext w:val="0"/>
        <w:keepLines w:val="0"/>
        <w:framePr w:w="5390" w:h="341" w:wrap="none" w:vAnchor="text" w:hAnchor="page" w:x="2949" w:y="462"/>
        <w:widowControl w:val="0"/>
        <w:shd w:val="clear" w:color="auto" w:fill="auto"/>
        <w:tabs>
          <w:tab w:pos="4445" w:val="left"/>
        </w:tabs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10"/>
          <w:rFonts w:ascii="Times New Roman" w:eastAsia="Times New Roman" w:hAnsi="Times New Roman" w:cs="Times New Roman"/>
          <w:sz w:val="26"/>
          <w:szCs w:val="26"/>
          <w:shd w:val="clear" w:color="auto" w:fill="000000"/>
        </w:rPr>
        <w:t>........</w:t>
      </w:r>
      <w:r>
        <w:rPr>
          <w:rStyle w:val="CharStyle10"/>
          <w:rFonts w:ascii="Times New Roman" w:eastAsia="Times New Roman" w:hAnsi="Times New Roman" w:cs="Times New Roman"/>
          <w:spacing w:val="1"/>
          <w:sz w:val="26"/>
          <w:szCs w:val="26"/>
          <w:shd w:val="clear" w:color="auto" w:fill="000000"/>
        </w:rPr>
        <w:t>............</w:t>
      </w:r>
      <w:r>
        <w:rPr>
          <w:rStyle w:val="CharStyle10"/>
          <w:rFonts w:ascii="Times New Roman" w:eastAsia="Times New Roman" w:hAnsi="Times New Roman" w:cs="Times New Roman"/>
          <w:sz w:val="26"/>
          <w:szCs w:val="26"/>
          <w:shd w:val="clear" w:color="auto" w:fill="000000"/>
        </w:rPr>
        <w:t>...................................</w:t>
      </w:r>
      <w:r>
        <w:rPr>
          <w:rStyle w:val="CharStyle10"/>
          <w:rFonts w:ascii="Times New Roman" w:eastAsia="Times New Roman" w:hAnsi="Times New Roman" w:cs="Times New Roman"/>
          <w:spacing w:val="1"/>
          <w:sz w:val="26"/>
          <w:szCs w:val="26"/>
          <w:shd w:val="clear" w:color="auto" w:fill="000000"/>
        </w:rPr>
        <w:t>....................</w:t>
      </w:r>
      <w:r>
        <w:rPr>
          <w:rStyle w:val="CharStyle10"/>
          <w:rFonts w:ascii="Times New Roman" w:eastAsia="Times New Roman" w:hAnsi="Times New Roman" w:cs="Times New Roman"/>
          <w:spacing w:val="2"/>
          <w:sz w:val="26"/>
          <w:szCs w:val="26"/>
          <w:shd w:val="clear" w:color="auto" w:fill="000000"/>
        </w:rPr>
        <w:t>......</w:t>
      </w:r>
    </w:p>
    <w:p>
      <w:pPr>
        <w:pStyle w:val="Style9"/>
        <w:keepNext w:val="0"/>
        <w:keepLines w:val="0"/>
        <w:framePr w:w="2381" w:h="360" w:wrap="none" w:vAnchor="text" w:hAnchor="page" w:x="7321" w:y="1480"/>
        <w:widowControl w:val="0"/>
        <w:shd w:val="clear" w:color="auto" w:fill="auto"/>
        <w:tabs>
          <w:tab w:pos="218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10"/>
          <w:b/>
          <w:bCs/>
        </w:rPr>
        <w:t>Sadová 33, 678 31</w:t>
        <w:tab/>
        <w:t>®</w:t>
      </w:r>
    </w:p>
    <w:p>
      <w:pPr>
        <w:pStyle w:val="Style9"/>
        <w:keepNext w:val="0"/>
        <w:keepLines w:val="0"/>
        <w:framePr w:w="2381" w:h="360" w:wrap="none" w:vAnchor="text" w:hAnchor="page" w:x="7321" w:y="148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rStyle w:val="CharStyle10"/>
          <w:b/>
          <w:bCs/>
        </w:rPr>
        <w:t xml:space="preserve">iČO: 00386634 </w:t>
      </w:r>
      <w:r>
        <w:rPr>
          <w:rStyle w:val="CharStyle10"/>
          <w:b/>
          <w:bCs/>
          <w:i/>
          <w:iCs/>
        </w:rPr>
        <w:t>DIČ: CZ00386634</w:t>
      </w:r>
    </w:p>
    <w:p>
      <w:pPr>
        <w:widowControl w:val="0"/>
        <w:spacing w:after="281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4017645</wp:posOffset>
            </wp:positionH>
            <wp:positionV relativeFrom="paragraph">
              <wp:posOffset>12700</wp:posOffset>
            </wp:positionV>
            <wp:extent cx="2419985" cy="3289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19985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34950" distB="39370" distL="0" distR="27305" simplePos="0" relativeHeight="62914691" behindDoc="1" locked="0" layoutInCell="1" allowOverlap="1">
            <wp:simplePos x="0" y="0"/>
            <wp:positionH relativeFrom="page">
              <wp:posOffset>1347470</wp:posOffset>
            </wp:positionH>
            <wp:positionV relativeFrom="paragraph">
              <wp:posOffset>527685</wp:posOffset>
            </wp:positionV>
            <wp:extent cx="4785360" cy="6032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785360" cy="6032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22" w:right="1408" w:bottom="405" w:left="132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Style w:val="CharStyle16"/>
        </w:rPr>
        <w:t>Příloha č. 1 k Dodatku č. 3 smlouvy o nájmu nebytových prostor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Style w:val="CharStyle16"/>
          <w:b/>
          <w:bCs/>
        </w:rPr>
        <w:t>Nájemce: Nemocnice Blansko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rStyle w:val="CharStyle19"/>
          <w:b/>
          <w:bCs/>
        </w:rPr>
        <w:t>Nájemné</w:t>
      </w:r>
    </w:p>
    <w:tbl>
      <w:tblPr>
        <w:tblOverlap w:val="never"/>
        <w:jc w:val="center"/>
        <w:tblLayout w:type="fixed"/>
      </w:tblPr>
      <w:tblGrid>
        <w:gridCol w:w="1018"/>
        <w:gridCol w:w="1997"/>
        <w:gridCol w:w="1123"/>
        <w:gridCol w:w="998"/>
        <w:gridCol w:w="1027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Style w:val="CharStyle21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Číslom. 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1"/>
                <w:rFonts w:ascii="Courier New" w:eastAsia="Courier New" w:hAnsi="Courier New" w:cs="Courier New"/>
                <w:sz w:val="14"/>
                <w:szCs w:val="14"/>
              </w:rPr>
              <w:t xml:space="preserve">t </w:t>
            </w:r>
            <w:r>
              <w:rPr>
                <w:rStyle w:val="CharStyle21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označeni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1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výměra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Kč/m2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1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celkemKč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31 1080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garáž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19,52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9 760,00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31 1090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garáž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19,52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9 760,00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31 1100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garáž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19,52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9 760,00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31 111.0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garáž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19,52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9 760,00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31 1120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garáž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sz w:val="20"/>
                <w:szCs w:val="20"/>
              </w:rPr>
              <w:t>17,85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8 925,00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b/>
                <w:bCs/>
                <w:sz w:val="20"/>
                <w:szCs w:val="20"/>
              </w:rPr>
              <w:t>celkem.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b/>
                <w:bCs/>
                <w:sz w:val="20"/>
                <w:szCs w:val="20"/>
              </w:rPr>
              <w:t>95,93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1"/>
                <w:rFonts w:ascii="Calibri" w:eastAsia="Calibri" w:hAnsi="Calibri" w:cs="Calibri"/>
                <w:b/>
                <w:bCs/>
                <w:sz w:val="20"/>
                <w:szCs w:val="20"/>
              </w:rPr>
              <w:t>47 965;00</w:t>
            </w:r>
          </w:p>
        </w:tc>
      </w:tr>
    </w:tbl>
    <w:p>
      <w:pPr>
        <w:widowControl w:val="0"/>
        <w:spacing w:after="57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6"/>
          <w:b/>
          <w:bCs/>
        </w:rPr>
        <w:t>Zálohy na služby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12700</wp:posOffset>
                </wp:positionV>
                <wp:extent cx="777240" cy="71945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7240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2 000,00 Kč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14 000,00 Kč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1 000,00 Kč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  <w:b/>
                                <w:bCs/>
                              </w:rPr>
                              <w:t>17 000,00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50.75pt;margin-top:1.pt;width:61.200000000000003pt;height:56.6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2 000,00 Kč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14 000,00 Kč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1 000,00 Kč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  <w:b/>
                          <w:bCs/>
                        </w:rPr>
                        <w:t>17 000,00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6"/>
        </w:rPr>
        <w:t>elektrická energie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6"/>
        </w:rPr>
        <w:t>teplo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6"/>
        </w:rPr>
        <w:t>osvětlení společných prostor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16"/>
          <w:b/>
          <w:bCs/>
        </w:rPr>
        <w:t>celkem</w:t>
      </w:r>
    </w:p>
    <w:sectPr>
      <w:footnotePr>
        <w:pos w:val="pageBottom"/>
        <w:numFmt w:val="decimal"/>
        <w:numRestart w:val="continuous"/>
      </w:footnotePr>
      <w:pgSz w:w="11900" w:h="16840"/>
      <w:pgMar w:top="1179" w:right="3913" w:bottom="1179" w:left="1823" w:header="751" w:footer="75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Nadpis #1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Titulek obrázku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Jiné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before="400" w:after="220"/>
      <w:ind w:left="3280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5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280"/>
      <w:ind w:left="397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Titulek obrázku"/>
    <w:basedOn w:val="Normal"/>
    <w:link w:val="CharStyle10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auto"/>
      <w:spacing w:after="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5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