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14" w:rsidRDefault="009D3C14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  <w:bookmarkStart w:id="0" w:name="_GoBack"/>
      <w:bookmarkEnd w:id="0"/>
    </w:p>
    <w:p w:rsidR="009D3C14" w:rsidRDefault="009D3C14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:rsidR="009D3C14" w:rsidRDefault="009D3C14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:rsidR="009D3C14" w:rsidRDefault="00F67D02">
      <w:pPr>
        <w:pStyle w:val="NoList1"/>
        <w:jc w:val="right"/>
        <w:rPr>
          <w:rFonts w:ascii="Arial" w:eastAsia="Arial" w:hAnsi="Arial" w:cs="Arial"/>
          <w:b/>
          <w:i/>
          <w:spacing w:val="8"/>
          <w:sz w:val="28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E34">
        <w:rPr>
          <w:rFonts w:ascii="Arial" w:eastAsia="Arial" w:hAnsi="Arial" w:cs="Arial"/>
          <w:lang w:val="cs-CZ"/>
        </w:rPr>
        <w:pict w14:anchorId="40EDA9D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9D3C14" w:rsidRDefault="00F67D02">
      <w:pPr>
        <w:rPr>
          <w:szCs w:val="22"/>
        </w:rPr>
      </w:pPr>
      <w:r>
        <w:rPr>
          <w:szCs w:val="22"/>
        </w:rPr>
        <w:t xml:space="preserve">                                                                  Číslo dodatku předávajícího: 858-2014-121344/2</w:t>
      </w:r>
    </w:p>
    <w:p w:rsidR="009D3C14" w:rsidRDefault="00F67D02">
      <w:pPr>
        <w:rPr>
          <w:szCs w:val="22"/>
        </w:rPr>
      </w:pPr>
      <w:r>
        <w:rPr>
          <w:szCs w:val="22"/>
        </w:rPr>
        <w:t xml:space="preserve">                                                                 Číslo dodatku uživatele:</w:t>
      </w:r>
    </w:p>
    <w:p w:rsidR="009D3C14" w:rsidRDefault="009D3C14">
      <w:pPr>
        <w:rPr>
          <w:szCs w:val="22"/>
        </w:rPr>
      </w:pPr>
    </w:p>
    <w:p w:rsidR="009D3C14" w:rsidRDefault="009D3C14">
      <w:pPr>
        <w:rPr>
          <w:szCs w:val="22"/>
        </w:rPr>
      </w:pPr>
    </w:p>
    <w:p w:rsidR="009D3C14" w:rsidRDefault="009D3C14">
      <w:pPr>
        <w:rPr>
          <w:szCs w:val="22"/>
        </w:rPr>
      </w:pP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  <w:lang w:eastAsia="cs-CZ"/>
        </w:rPr>
      </w:pPr>
      <w:r>
        <w:rPr>
          <w:szCs w:val="22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  <w:lang w:eastAsia="cs-CZ"/>
        </w:rPr>
        <w:t>Dodatek č. 2</w:t>
      </w: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k Zápisu o bezplatném užívání nebytových prostor č. 858-2014-121344</w:t>
      </w: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podle zákona č. 219/2000 Sb., o majetku České republiky a jejím vystupování v právních</w:t>
      </w: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vztazích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, ve znění pozdějších předpisů, a vyhlášky Ministerstva financí č. 62/2001 Sb., o</w:t>
      </w: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hospodaření organizačních složek státu a státních organizací s majetkem státu, ve znění</w:t>
      </w:r>
    </w:p>
    <w:p w:rsidR="009D3C14" w:rsidRDefault="00F67D02">
      <w:pPr>
        <w:autoSpaceDE w:val="0"/>
        <w:autoSpaceDN w:val="0"/>
        <w:adjustRightInd w:val="0"/>
        <w:jc w:val="center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pozdějších předpisů uzavřený mezi stranami:</w:t>
      </w:r>
    </w:p>
    <w:p w:rsidR="009D3C14" w:rsidRDefault="009D3C14">
      <w:pPr>
        <w:autoSpaceDE w:val="0"/>
        <w:autoSpaceDN w:val="0"/>
        <w:adjustRightInd w:val="0"/>
        <w:jc w:val="center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Ministerstvo zemědělství</w:t>
      </w: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se sídlem Těšnov 65/17, 110 00 Praha 1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IČ: 00020478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DIČ: není plátce DPH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zastoupená Ing. Jiřím Boháčkem, ředitelem odboru vnitřní správy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bankovní spojení: </w:t>
      </w:r>
      <w:r w:rsidR="00B655DB"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číslo účtu: </w:t>
      </w:r>
      <w:r w:rsidR="00B655DB"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Kontaktní osoba: Lenka Kratochvílová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se sídlem: Masarykova 19/275, 400 10 Ústí nad Labem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tel. </w:t>
      </w:r>
      <w:r w:rsidR="00B655DB"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FF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e-mail: </w:t>
      </w:r>
      <w:r w:rsidR="00B655DB">
        <w:rPr>
          <w:rFonts w:ascii="TimesNewRomanPSMT" w:eastAsia="TimesNewRomanPSMT" w:hAnsi="TimesNewRomanPSMT" w:cs="TimesNewRomanPSMT"/>
          <w:color w:val="0000FF"/>
          <w:sz w:val="24"/>
          <w:lang w:eastAsia="cs-CZ"/>
        </w:rPr>
        <w:t xml:space="preserve"> </w:t>
      </w:r>
    </w:p>
    <w:p w:rsidR="009D3C14" w:rsidRDefault="00B655D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(</w:t>
      </w: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dále jen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„předávající“)</w:t>
      </w:r>
    </w:p>
    <w:p w:rsidR="009D3C14" w:rsidRDefault="009D3C14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a</w:t>
      </w: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Česká republika – Probační a mediační služba,</w:t>
      </w: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182002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 xml:space="preserve">se sídlem </w:t>
      </w:r>
      <w:r>
        <w:rPr>
          <w:rFonts w:ascii="TimesNewRomanPS-BoldMT" w:eastAsia="TimesNewRomanPS-BoldMT" w:hAnsi="TimesNewRomanPS-BoldMT" w:cs="TimesNewRomanPS-BoldMT"/>
          <w:b/>
          <w:bCs/>
          <w:color w:val="182002"/>
          <w:sz w:val="24"/>
          <w:lang w:eastAsia="cs-CZ"/>
        </w:rPr>
        <w:t xml:space="preserve">Hybernská 18, 110 00 Praha 1, </w:t>
      </w:r>
      <w:r>
        <w:rPr>
          <w:rFonts w:ascii="TimesNewRomanPS-BoldMT" w:eastAsia="TimesNewRomanPS-BoldMT" w:hAnsi="TimesNewRomanPS-BoldMT" w:cs="TimesNewRomanPS-BoldMT"/>
          <w:bCs/>
          <w:color w:val="182002"/>
          <w:sz w:val="24"/>
          <w:lang w:eastAsia="cs-CZ"/>
        </w:rPr>
        <w:t>jako organizační složka státu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182002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IČ: </w:t>
      </w:r>
      <w:r>
        <w:rPr>
          <w:rFonts w:ascii="TimesNewRomanPSMT" w:eastAsia="TimesNewRomanPSMT" w:hAnsi="TimesNewRomanPSMT" w:cs="TimesNewRomanPSMT"/>
          <w:color w:val="182002"/>
          <w:sz w:val="24"/>
          <w:lang w:eastAsia="cs-CZ"/>
        </w:rPr>
        <w:t>70888060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182002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182002"/>
          <w:sz w:val="24"/>
          <w:lang w:eastAsia="cs-CZ"/>
        </w:rPr>
        <w:t>DIČ: není plátce DPH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zastoupená: PhDr. Andreou Matouškovou, ředitelkou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bankovní spojení: </w:t>
      </w:r>
      <w:r w:rsidR="00B655DB"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číslo účtu: </w:t>
      </w:r>
      <w:r w:rsidR="00B655DB"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</w:t>
      </w: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(</w:t>
      </w: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dále jen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„uživatel“).</w:t>
      </w: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Tímto dodatkem se mezi předávajícím a uživatelem mění a doplňuje Zápis o bezplatném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color w:val="000000"/>
          <w:sz w:val="24"/>
          <w:lang w:eastAsia="cs-CZ"/>
        </w:rPr>
      </w:pPr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užívání nebytových prostor situovaných v budově MZe, </w:t>
      </w:r>
      <w:proofErr w:type="gramStart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č.p.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 xml:space="preserve"> 1968, ulice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Vikové-Kunětické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4"/>
          <w:lang w:eastAsia="cs-CZ"/>
        </w:rPr>
        <w:t>, v Chomutově, PSČ 430 01 takto:</w:t>
      </w:r>
    </w:p>
    <w:p w:rsidR="009D3C14" w:rsidRDefault="009D3C14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  <w:t>Tímto dodatkem se mění a nově zní čl. II. Zápisu:</w:t>
      </w:r>
    </w:p>
    <w:p w:rsidR="009D3C14" w:rsidRDefault="009D3C14">
      <w:pPr>
        <w:autoSpaceDE w:val="0"/>
        <w:autoSpaceDN w:val="0"/>
        <w:adjustRightInd w:val="0"/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lang w:eastAsia="cs-CZ"/>
        </w:rPr>
      </w:pPr>
    </w:p>
    <w:p w:rsidR="009D3C14" w:rsidRDefault="00F67D02">
      <w:pPr>
        <w:pStyle w:val="Zkladntext"/>
        <w:numPr>
          <w:ilvl w:val="0"/>
          <w:numId w:val="31"/>
        </w:numPr>
        <w:ind w:left="426"/>
        <w:rPr>
          <w:sz w:val="24"/>
        </w:rPr>
      </w:pPr>
      <w:r>
        <w:rPr>
          <w:sz w:val="24"/>
        </w:rPr>
        <w:t xml:space="preserve">Předmětem plnění tohoto zápisu je užívání nebytových prostor v nemovitosti - budově nacházející se na adrese: Vikové Kunětické 1968, 430 01 Chomutov, která je ve prospěch předávajícího zapsána v katastru nemovitostí vedeném Katastrálním úřadem pro Ústecký kraj, Katastrálním pracovištěm Chomutov,  na LV č. 9164, stojící na parcele č. 2479/1, v 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Chomutov I (dále jen </w:t>
      </w:r>
      <w:r>
        <w:rPr>
          <w:b/>
          <w:bCs/>
          <w:sz w:val="24"/>
        </w:rPr>
        <w:t>„budova“</w:t>
      </w:r>
      <w:r>
        <w:rPr>
          <w:sz w:val="24"/>
        </w:rPr>
        <w:t>).</w:t>
      </w:r>
    </w:p>
    <w:p w:rsidR="009D3C14" w:rsidRDefault="009D3C14">
      <w:pPr>
        <w:pStyle w:val="Zkladntext"/>
        <w:tabs>
          <w:tab w:val="num" w:pos="426"/>
        </w:tabs>
        <w:ind w:left="426"/>
        <w:rPr>
          <w:sz w:val="24"/>
        </w:rPr>
      </w:pPr>
    </w:p>
    <w:p w:rsidR="009D3C14" w:rsidRDefault="00F67D02">
      <w:pPr>
        <w:pStyle w:val="Zkladntext"/>
        <w:numPr>
          <w:ilvl w:val="0"/>
          <w:numId w:val="31"/>
        </w:numPr>
        <w:tabs>
          <w:tab w:val="num" w:pos="426"/>
        </w:tabs>
        <w:ind w:left="426"/>
        <w:rPr>
          <w:sz w:val="24"/>
          <w:szCs w:val="24"/>
        </w:rPr>
      </w:pPr>
      <w:r>
        <w:rPr>
          <w:sz w:val="24"/>
        </w:rPr>
        <w:t xml:space="preserve">Mění se celková výměra pronajatých prostor a to z původních 349,80 </w:t>
      </w:r>
      <w:proofErr w:type="gramStart"/>
      <w:r>
        <w:rPr>
          <w:sz w:val="24"/>
        </w:rPr>
        <w:t>m</w:t>
      </w:r>
      <w:r>
        <w:rPr>
          <w:sz w:val="24"/>
          <w:vertAlign w:val="superscript"/>
        </w:rPr>
        <w:t xml:space="preserve">2  </w:t>
      </w:r>
      <w:r>
        <w:rPr>
          <w:sz w:val="24"/>
        </w:rPr>
        <w:t>na</w:t>
      </w:r>
      <w:proofErr w:type="gramEnd"/>
      <w:r>
        <w:rPr>
          <w:sz w:val="24"/>
        </w:rPr>
        <w:t xml:space="preserve"> 364,40 m</w:t>
      </w:r>
      <w:r>
        <w:rPr>
          <w:sz w:val="24"/>
          <w:vertAlign w:val="superscript"/>
        </w:rPr>
        <w:t>2</w:t>
      </w:r>
    </w:p>
    <w:p w:rsidR="009D3C14" w:rsidRDefault="00F67D02">
      <w:pPr>
        <w:pStyle w:val="Zkladntext"/>
        <w:ind w:left="426"/>
        <w:rPr>
          <w:sz w:val="24"/>
        </w:rPr>
      </w:pPr>
      <w:r>
        <w:rPr>
          <w:sz w:val="24"/>
        </w:rPr>
        <w:t>a to o místnost č. 103 a 104 v 1. NP budovy.</w:t>
      </w:r>
    </w:p>
    <w:p w:rsidR="009D3C14" w:rsidRDefault="009D3C14">
      <w:pPr>
        <w:pStyle w:val="Zkladntext"/>
        <w:ind w:left="426"/>
        <w:rPr>
          <w:sz w:val="24"/>
        </w:rPr>
      </w:pPr>
    </w:p>
    <w:p w:rsidR="009D3C14" w:rsidRDefault="00F67D02">
      <w:pPr>
        <w:pStyle w:val="Zkladntext"/>
        <w:ind w:left="426"/>
        <w:rPr>
          <w:sz w:val="24"/>
          <w:szCs w:val="24"/>
        </w:rPr>
      </w:pPr>
      <w:r>
        <w:rPr>
          <w:sz w:val="24"/>
        </w:rPr>
        <w:t xml:space="preserve">Umístění nebytových prostor je vyznačeno v půdorysném plánu budovy, který </w:t>
      </w:r>
      <w:proofErr w:type="gramStart"/>
      <w:r>
        <w:rPr>
          <w:sz w:val="24"/>
        </w:rPr>
        <w:t>tvoří  Přílohu</w:t>
      </w:r>
      <w:proofErr w:type="gramEnd"/>
      <w:r>
        <w:rPr>
          <w:sz w:val="24"/>
        </w:rPr>
        <w:t xml:space="preserve"> č. 1 tohoto dodatku.</w:t>
      </w:r>
    </w:p>
    <w:p w:rsidR="009D3C14" w:rsidRDefault="009D3C14">
      <w:pPr>
        <w:pStyle w:val="Zkladntext"/>
        <w:tabs>
          <w:tab w:val="num" w:pos="426"/>
        </w:tabs>
        <w:ind w:left="426"/>
        <w:rPr>
          <w:sz w:val="24"/>
          <w:szCs w:val="24"/>
        </w:rPr>
      </w:pPr>
    </w:p>
    <w:p w:rsidR="009D3C14" w:rsidRDefault="009D3C14">
      <w:pPr>
        <w:pStyle w:val="Zkladntext"/>
        <w:tabs>
          <w:tab w:val="num" w:pos="426"/>
        </w:tabs>
        <w:ind w:left="426"/>
        <w:rPr>
          <w:sz w:val="24"/>
          <w:szCs w:val="24"/>
        </w:rPr>
      </w:pPr>
    </w:p>
    <w:p w:rsidR="009D3C14" w:rsidRDefault="00F67D02">
      <w:pPr>
        <w:pStyle w:val="Zkladntext"/>
        <w:tabs>
          <w:tab w:val="num" w:pos="426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v 1.NP</w:t>
      </w:r>
    </w:p>
    <w:p w:rsidR="009D3C14" w:rsidRDefault="009D3C14">
      <w:pPr>
        <w:pStyle w:val="Zkladntext"/>
        <w:ind w:left="1440"/>
        <w:rPr>
          <w:b/>
          <w:sz w:val="24"/>
          <w:szCs w:val="24"/>
        </w:rPr>
      </w:pP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místnost č. 103 o výměře 10,94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sklad č. 104 o výměře 3,66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místnost č. 108 o výměře 23,72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místnost č. 109 o výměře 16,88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sociální zařízení o výměře 5,22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chodba o výměře 8,28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1"/>
          <w:numId w:val="3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schodiště o výměře 11,06 m</w:t>
      </w:r>
      <w:r>
        <w:rPr>
          <w:sz w:val="24"/>
          <w:szCs w:val="24"/>
          <w:vertAlign w:val="superscript"/>
        </w:rPr>
        <w:t>2</w:t>
      </w:r>
    </w:p>
    <w:p w:rsidR="009D3C14" w:rsidRDefault="009D3C14">
      <w:pPr>
        <w:pStyle w:val="Zkladntext"/>
        <w:ind w:left="1134"/>
        <w:rPr>
          <w:b/>
          <w:sz w:val="24"/>
          <w:szCs w:val="24"/>
        </w:rPr>
      </w:pPr>
    </w:p>
    <w:p w:rsidR="009D3C14" w:rsidRDefault="009D3C14">
      <w:pPr>
        <w:pStyle w:val="Zkladntext"/>
        <w:tabs>
          <w:tab w:val="num" w:pos="426"/>
        </w:tabs>
        <w:ind w:left="426"/>
        <w:rPr>
          <w:sz w:val="24"/>
          <w:szCs w:val="24"/>
        </w:rPr>
      </w:pPr>
    </w:p>
    <w:p w:rsidR="009D3C14" w:rsidRDefault="00F67D02">
      <w:pPr>
        <w:pStyle w:val="Zkladntext"/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v 2.NP</w:t>
      </w:r>
      <w:r>
        <w:rPr>
          <w:sz w:val="24"/>
          <w:szCs w:val="24"/>
        </w:rPr>
        <w:t xml:space="preserve"> 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203 o výměře 10,97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210 o výměře 17,48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209 o výměře 24,53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208 o výměře 18,53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sociální zařízení o výměře 5,16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sklad o výměře 2,78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chodba o výměře 8,24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schodiště o výměře 11,09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9D3C14" w:rsidRDefault="00F67D02">
      <w:pPr>
        <w:pStyle w:val="Zkladntext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v 3.NP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303 o výměře 11,04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310 o výměře 17,32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309 o výměře 24,54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308 o výměře 18,47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sociální zařízení o výměře 5,2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sklad o výměře 2,83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chodba o výměře 8,36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schodiště o výměře 11,06 m</w:t>
      </w:r>
      <w:r>
        <w:rPr>
          <w:sz w:val="24"/>
          <w:szCs w:val="24"/>
          <w:vertAlign w:val="superscript"/>
        </w:rPr>
        <w:t>2</w:t>
      </w:r>
    </w:p>
    <w:p w:rsidR="009D3C14" w:rsidRDefault="009D3C14">
      <w:pPr>
        <w:pStyle w:val="Zkladntext"/>
        <w:tabs>
          <w:tab w:val="left" w:pos="284"/>
          <w:tab w:val="left" w:pos="426"/>
        </w:tabs>
        <w:ind w:left="1146"/>
        <w:rPr>
          <w:b/>
          <w:sz w:val="24"/>
          <w:szCs w:val="24"/>
        </w:rPr>
      </w:pPr>
    </w:p>
    <w:p w:rsidR="009D3C14" w:rsidRDefault="00F67D02">
      <w:pPr>
        <w:pStyle w:val="Zkladntext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ve 4.NP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403 o výměře 11,46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402 o výměře 25,89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místnost č. 405 o výměře 35,81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sociální zařízení o výměře 2,65 m</w:t>
      </w:r>
      <w:r>
        <w:rPr>
          <w:sz w:val="24"/>
          <w:szCs w:val="24"/>
          <w:vertAlign w:val="superscript"/>
        </w:rPr>
        <w:t>2</w:t>
      </w:r>
    </w:p>
    <w:p w:rsidR="009D3C14" w:rsidRDefault="00F67D02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schodiště o výměře 11,23 m</w:t>
      </w:r>
      <w:r>
        <w:rPr>
          <w:sz w:val="24"/>
          <w:szCs w:val="24"/>
          <w:vertAlign w:val="superscript"/>
        </w:rPr>
        <w:t>2</w:t>
      </w:r>
    </w:p>
    <w:p w:rsidR="009D3C14" w:rsidRDefault="009D3C14">
      <w:pPr>
        <w:pStyle w:val="Zkladntext"/>
        <w:tabs>
          <w:tab w:val="left" w:pos="284"/>
          <w:tab w:val="left" w:pos="426"/>
        </w:tabs>
        <w:ind w:left="1146"/>
        <w:rPr>
          <w:b/>
          <w:sz w:val="24"/>
          <w:szCs w:val="24"/>
        </w:rPr>
      </w:pPr>
    </w:p>
    <w:p w:rsidR="009D3C14" w:rsidRDefault="009D3C14">
      <w:pPr>
        <w:pStyle w:val="Zkladntext"/>
        <w:ind w:left="1146"/>
        <w:rPr>
          <w:sz w:val="24"/>
          <w:szCs w:val="24"/>
        </w:rPr>
      </w:pPr>
    </w:p>
    <w:p w:rsidR="009D3C14" w:rsidRDefault="00F67D02">
      <w:pPr>
        <w:pStyle w:val="Zkladntext"/>
        <w:ind w:firstLine="426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Celková výměra užívaných prostor v budově činí 364,40</w:t>
      </w:r>
      <w:r>
        <w:rPr>
          <w:b/>
          <w:color w:val="000000"/>
          <w:sz w:val="24"/>
          <w:szCs w:val="24"/>
        </w:rPr>
        <w:t xml:space="preserve"> m</w:t>
      </w:r>
      <w:r>
        <w:rPr>
          <w:b/>
          <w:color w:val="000000"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</w:t>
      </w:r>
    </w:p>
    <w:p w:rsidR="009D3C14" w:rsidRDefault="00F67D02">
      <w:pPr>
        <w:pStyle w:val="Zkladntext"/>
        <w:ind w:left="426"/>
        <w:rPr>
          <w:sz w:val="24"/>
          <w:szCs w:val="24"/>
        </w:rPr>
      </w:pPr>
      <w:r>
        <w:t xml:space="preserve">    </w:t>
      </w:r>
      <w:r>
        <w:rPr>
          <w:sz w:val="24"/>
          <w:szCs w:val="24"/>
        </w:rPr>
        <w:t xml:space="preserve">      </w:t>
      </w:r>
    </w:p>
    <w:p w:rsidR="009D3C14" w:rsidRDefault="00F67D02">
      <w:pPr>
        <w:pStyle w:val="Zkladntext"/>
        <w:rPr>
          <w:sz w:val="24"/>
          <w:szCs w:val="24"/>
        </w:rPr>
      </w:pPr>
      <w:r>
        <w:t xml:space="preserve">       </w:t>
      </w:r>
      <w:r>
        <w:rPr>
          <w:sz w:val="24"/>
        </w:rPr>
        <w:t xml:space="preserve">      </w:t>
      </w:r>
    </w:p>
    <w:p w:rsidR="009D3C14" w:rsidRDefault="00F67D02">
      <w:pPr>
        <w:pStyle w:val="Zkladntext"/>
        <w:numPr>
          <w:ilvl w:val="0"/>
          <w:numId w:val="31"/>
        </w:numPr>
        <w:tabs>
          <w:tab w:val="num" w:pos="426"/>
        </w:tabs>
        <w:ind w:left="426"/>
        <w:rPr>
          <w:iCs/>
          <w:sz w:val="24"/>
        </w:rPr>
      </w:pPr>
      <w:r>
        <w:rPr>
          <w:sz w:val="24"/>
        </w:rPr>
        <w:t xml:space="preserve">Nebytové prostory se předávají do užívání za účelem jejich využití jako prostor kancelářských, sloužících v souvislosti se zabezpečením úkolů uživatele. </w:t>
      </w:r>
    </w:p>
    <w:p w:rsidR="009D3C14" w:rsidRDefault="009D3C14">
      <w:pPr>
        <w:pStyle w:val="Zkladntext"/>
        <w:ind w:left="426"/>
        <w:rPr>
          <w:iCs/>
          <w:sz w:val="24"/>
        </w:rPr>
      </w:pPr>
    </w:p>
    <w:p w:rsidR="009D3C14" w:rsidRDefault="00F67D02">
      <w:pPr>
        <w:pStyle w:val="Zkladntext"/>
        <w:numPr>
          <w:ilvl w:val="0"/>
          <w:numId w:val="31"/>
        </w:numPr>
        <w:tabs>
          <w:tab w:val="num" w:pos="426"/>
        </w:tabs>
        <w:ind w:left="426"/>
        <w:rPr>
          <w:iCs/>
          <w:sz w:val="24"/>
        </w:rPr>
      </w:pPr>
      <w:r>
        <w:rPr>
          <w:sz w:val="24"/>
          <w:szCs w:val="24"/>
        </w:rPr>
        <w:t>Uživatel se zavazuje, že nebude předávané prostory užívat k jiným účelům, než ke kterým jsou dle tohoto zápisu určeny. Porušení tohoto závazku zakládá právo předávajícího odstoupit od tohoto zápisu.</w:t>
      </w:r>
    </w:p>
    <w:p w:rsidR="009D3C14" w:rsidRDefault="009D3C14">
      <w:pPr>
        <w:pStyle w:val="Zkladntext"/>
        <w:ind w:left="426"/>
        <w:rPr>
          <w:iCs/>
          <w:sz w:val="24"/>
        </w:rPr>
      </w:pPr>
    </w:p>
    <w:p w:rsidR="009D3C14" w:rsidRDefault="00F67D02">
      <w:pPr>
        <w:pStyle w:val="Zkladntext"/>
        <w:numPr>
          <w:ilvl w:val="0"/>
          <w:numId w:val="31"/>
        </w:numPr>
        <w:tabs>
          <w:tab w:val="num" w:pos="426"/>
        </w:tabs>
        <w:ind w:left="426"/>
        <w:rPr>
          <w:iCs/>
          <w:sz w:val="24"/>
        </w:rPr>
      </w:pPr>
      <w:r>
        <w:rPr>
          <w:sz w:val="24"/>
          <w:szCs w:val="24"/>
        </w:rPr>
        <w:t>Strany konstatují, že výše uvedené prostory jsou způsobilé k řádnému užívání. Uživatel se detailně seznámil se stavem přejímaných prostor a v tomto stavu je přejímá do svého užívání.</w:t>
      </w:r>
    </w:p>
    <w:p w:rsidR="009D3C14" w:rsidRDefault="009D3C14">
      <w:pPr>
        <w:pStyle w:val="Zkladntext"/>
        <w:ind w:left="426"/>
        <w:rPr>
          <w:b/>
          <w:bCs/>
          <w:sz w:val="24"/>
        </w:rPr>
      </w:pPr>
    </w:p>
    <w:p w:rsidR="009D3C14" w:rsidRDefault="009D3C14">
      <w:pPr>
        <w:rPr>
          <w:rFonts w:ascii="TimesNewRomanPS-BoldMT" w:eastAsia="TimesNewRomanPS-BoldMT" w:hAnsi="TimesNewRomanPS-BoldMT" w:cs="TimesNewRomanPS-BoldMT"/>
          <w:b/>
          <w:bCs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rPr>
          <w:rFonts w:ascii="TimesNewRomanPS-BoldMT" w:eastAsia="TimesNewRomanPS-BoldMT" w:hAnsi="TimesNewRomanPS-BoldMT" w:cs="TimesNewRomanPS-BoldMT"/>
          <w:b/>
          <w:bCs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</w:t>
      </w: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>Ostatní ustanovení Zápisu o bezplatném užívání nebytových prostor zůstávají beze změny.</w:t>
      </w: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>Tento dodatek č. 2 vstupuje v platnost dnem jeho podpisu oběma smluvními stranami a sjednává se s účinností ode dne 1. 2. 2017.</w:t>
      </w: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Dodatek je vyhotoven ve čtyřech </w:t>
      </w:r>
      <w:proofErr w:type="gramStart"/>
      <w:r>
        <w:rPr>
          <w:rFonts w:ascii="TimesNewRomanPSMT" w:eastAsia="TimesNewRomanPSMT" w:hAnsi="TimesNewRomanPSMT" w:cs="TimesNewRomanPSMT"/>
          <w:sz w:val="24"/>
          <w:lang w:eastAsia="cs-CZ"/>
        </w:rPr>
        <w:t>stejnopisech z nichž</w:t>
      </w:r>
      <w:proofErr w:type="gramEnd"/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předávající i uživatel obdrží po dvou</w:t>
      </w:r>
    </w:p>
    <w:p w:rsidR="009D3C14" w:rsidRDefault="00F67D02">
      <w:pPr>
        <w:rPr>
          <w:rFonts w:ascii="TimesNewRomanPSMT" w:eastAsia="TimesNewRomanPSMT" w:hAnsi="TimesNewRomanPSMT" w:cs="TimesNewRomanPSMT"/>
          <w:sz w:val="24"/>
          <w:lang w:eastAsia="cs-CZ"/>
        </w:rPr>
      </w:pPr>
      <w:proofErr w:type="gramStart"/>
      <w:r>
        <w:rPr>
          <w:rFonts w:ascii="TimesNewRomanPSMT" w:eastAsia="TimesNewRomanPSMT" w:hAnsi="TimesNewRomanPSMT" w:cs="TimesNewRomanPSMT"/>
          <w:sz w:val="24"/>
          <w:lang w:eastAsia="cs-CZ"/>
        </w:rPr>
        <w:t>stejnopisech</w:t>
      </w:r>
      <w:proofErr w:type="gramEnd"/>
      <w:r>
        <w:rPr>
          <w:rFonts w:ascii="TimesNewRomanPSMT" w:eastAsia="TimesNewRomanPSMT" w:hAnsi="TimesNewRomanPSMT" w:cs="TimesNewRomanPSMT"/>
          <w:sz w:val="24"/>
          <w:lang w:eastAsia="cs-CZ"/>
        </w:rPr>
        <w:t>.</w:t>
      </w:r>
    </w:p>
    <w:p w:rsidR="009D3C14" w:rsidRDefault="009D3C14">
      <w:pPr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V Praze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dne: </w:t>
      </w:r>
      <w:proofErr w:type="gramStart"/>
      <w:r>
        <w:rPr>
          <w:rFonts w:ascii="TimesNewRomanPSMT" w:eastAsia="TimesNewRomanPSMT" w:hAnsi="TimesNewRomanPSMT" w:cs="TimesNewRomanPSMT"/>
          <w:sz w:val="24"/>
          <w:lang w:eastAsia="cs-CZ"/>
        </w:rPr>
        <w:t>31.1.2017</w:t>
      </w:r>
      <w:proofErr w:type="gramEnd"/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                               V Praze   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dne: </w:t>
      </w:r>
      <w:proofErr w:type="gramStart"/>
      <w:r>
        <w:rPr>
          <w:rFonts w:ascii="TimesNewRomanPSMT" w:eastAsia="TimesNewRomanPSMT" w:hAnsi="TimesNewRomanPSMT" w:cs="TimesNewRomanPSMT"/>
          <w:sz w:val="24"/>
          <w:lang w:eastAsia="cs-CZ"/>
        </w:rPr>
        <w:t>31.1.2017</w:t>
      </w:r>
      <w:proofErr w:type="gramEnd"/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9D3C14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……………………………………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>……………………………………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    Ministerstvo zemědělství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                 PhDr. Andrea Matoušková</w:t>
      </w:r>
    </w:p>
    <w:p w:rsidR="009D3C14" w:rsidRDefault="00F67D02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sz w:val="24"/>
          <w:lang w:eastAsia="cs-CZ"/>
        </w:rPr>
      </w:pPr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         Ing. Jiří Boháček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              ředitelka PMS   </w:t>
      </w:r>
    </w:p>
    <w:p w:rsidR="009D3C14" w:rsidRDefault="00F67D02">
      <w:r>
        <w:rPr>
          <w:rFonts w:ascii="TimesNewRomanPSMT" w:eastAsia="TimesNewRomanPSMT" w:hAnsi="TimesNewRomanPSMT" w:cs="TimesNewRomanPSMT"/>
          <w:sz w:val="24"/>
          <w:lang w:eastAsia="cs-CZ"/>
        </w:rPr>
        <w:t xml:space="preserve">  ředitel odboru vnitřní správy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             </w:t>
      </w:r>
      <w:r>
        <w:rPr>
          <w:rFonts w:ascii="TimesNewRomanPSMT" w:eastAsia="TimesNewRomanPSMT" w:hAnsi="TimesNewRomanPSMT" w:cs="TimesNewRomanPSMT"/>
          <w:sz w:val="24"/>
          <w:lang w:eastAsia="cs-CZ"/>
        </w:rPr>
        <w:tab/>
        <w:t xml:space="preserve">   </w:t>
      </w:r>
    </w:p>
    <w:p w:rsidR="009D3C14" w:rsidRDefault="00F67D02">
      <w:pPr>
        <w:rPr>
          <w:rFonts w:ascii="Times New Roman" w:eastAsia="Times New Roman" w:hAnsi="Times New Roman" w:cs="Times New Roman"/>
          <w:sz w:val="24"/>
        </w:rPr>
      </w:pPr>
      <w:r>
        <w:rPr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>předávající)                                                             (uživatel</w:t>
      </w:r>
      <w:proofErr w:type="gramEnd"/>
      <w:r>
        <w:rPr>
          <w:rFonts w:ascii="Times New Roman" w:eastAsia="Times New Roman" w:hAnsi="Times New Roman" w:cs="Times New Roman"/>
          <w:sz w:val="24"/>
        </w:rPr>
        <w:t>)</w:t>
      </w: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rPr>
          <w:rFonts w:ascii="Times New Roman" w:eastAsia="Times New Roman" w:hAnsi="Times New Roman" w:cs="Times New Roman"/>
          <w:sz w:val="24"/>
        </w:rPr>
      </w:pPr>
    </w:p>
    <w:p w:rsidR="009D3C14" w:rsidRDefault="009D3C14">
      <w:pPr>
        <w:pStyle w:val="NoList1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:rsidR="009D3C14" w:rsidRDefault="009D3C14">
      <w:pPr>
        <w:pStyle w:val="NoList1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:rsidR="009D3C14" w:rsidRDefault="00F67D02">
      <w:pPr>
        <w:rPr>
          <w:szCs w:val="22"/>
        </w:rPr>
      </w:pPr>
      <w:r>
        <w:rPr>
          <w:szCs w:val="22"/>
        </w:rPr>
        <w:t xml:space="preserve"> </w:t>
      </w:r>
    </w:p>
    <w:p w:rsidR="009D3C14" w:rsidRDefault="00F67D02">
      <w:pPr>
        <w:rPr>
          <w:szCs w:val="22"/>
        </w:rPr>
      </w:pPr>
      <w:r>
        <w:rPr>
          <w:szCs w:val="22"/>
        </w:rPr>
        <w:t xml:space="preserve"> </w:t>
      </w:r>
    </w:p>
    <w:sectPr w:rsidR="009D3C14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34" w:rsidRDefault="00775E34">
      <w:r>
        <w:separator/>
      </w:r>
    </w:p>
  </w:endnote>
  <w:endnote w:type="continuationSeparator" w:id="0">
    <w:p w:rsidR="00775E34" w:rsidRDefault="007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1"/>
    <w:family w:val="auto"/>
    <w:pitch w:val="default"/>
    <w:sig w:usb0="00000005" w:usb1="00000000" w:usb2="00000000" w:usb3="00000000" w:csb0="00000003" w:csb1="00000000"/>
  </w:font>
  <w:font w:name="TimesNewRomanPSMT">
    <w:altName w:val="Times New Roman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4" w:rsidRDefault="00775E34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A6C89" w:rsidRPr="00DA6C89">
      <w:rPr>
        <w:bCs/>
      </w:rPr>
      <w:t>6790/2017-MZE-12131</w:t>
    </w:r>
    <w:r>
      <w:rPr>
        <w:bCs/>
      </w:rPr>
      <w:fldChar w:fldCharType="end"/>
    </w:r>
    <w:r w:rsidR="00F67D02">
      <w:tab/>
    </w:r>
    <w:r w:rsidR="00F67D02">
      <w:fldChar w:fldCharType="begin"/>
    </w:r>
    <w:r w:rsidR="00F67D02">
      <w:instrText>PAGE   \* MERGEFORMAT</w:instrText>
    </w:r>
    <w:r w:rsidR="00F67D02">
      <w:fldChar w:fldCharType="separate"/>
    </w:r>
    <w:r w:rsidR="00DA6C89">
      <w:rPr>
        <w:noProof/>
      </w:rPr>
      <w:t>4</w:t>
    </w:r>
    <w:r w:rsidR="00F67D02">
      <w:fldChar w:fldCharType="end"/>
    </w:r>
  </w:p>
  <w:p w:rsidR="009D3C14" w:rsidRDefault="009D3C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34" w:rsidRDefault="00775E34">
      <w:r>
        <w:separator/>
      </w:r>
    </w:p>
  </w:footnote>
  <w:footnote w:type="continuationSeparator" w:id="0">
    <w:p w:rsidR="00775E34" w:rsidRDefault="0077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4" w:rsidRDefault="00775E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adc90c-9522-4e53-8b11-e6ae6a2844c6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4" w:rsidRDefault="00775E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2fe80dd-69ef-4eab-8946-0fc62d94cf5e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14" w:rsidRDefault="00775E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70b2df6-ce33-4e8c-be3a-3f2aeb0bf78f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CB3"/>
    <w:multiLevelType w:val="multilevel"/>
    <w:tmpl w:val="BC220A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67D6E0F"/>
    <w:multiLevelType w:val="multilevel"/>
    <w:tmpl w:val="26DAE1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9DF3FE9"/>
    <w:multiLevelType w:val="multilevel"/>
    <w:tmpl w:val="2AEAA8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20B60EB3"/>
    <w:multiLevelType w:val="multilevel"/>
    <w:tmpl w:val="519C32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23714D5C"/>
    <w:multiLevelType w:val="multilevel"/>
    <w:tmpl w:val="ED0EC3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23A353E5"/>
    <w:multiLevelType w:val="multilevel"/>
    <w:tmpl w:val="66EA7F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4AD3EE5"/>
    <w:multiLevelType w:val="multilevel"/>
    <w:tmpl w:val="19647F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77C7899"/>
    <w:multiLevelType w:val="multilevel"/>
    <w:tmpl w:val="CDDADF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79E0929"/>
    <w:multiLevelType w:val="multilevel"/>
    <w:tmpl w:val="1F2095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FBF7D25"/>
    <w:multiLevelType w:val="multilevel"/>
    <w:tmpl w:val="6AA6E1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2DE347C"/>
    <w:multiLevelType w:val="multilevel"/>
    <w:tmpl w:val="76ECCC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4F564F3"/>
    <w:multiLevelType w:val="multilevel"/>
    <w:tmpl w:val="FF809C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C28037E"/>
    <w:multiLevelType w:val="multilevel"/>
    <w:tmpl w:val="6526CB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C31751D"/>
    <w:multiLevelType w:val="multilevel"/>
    <w:tmpl w:val="57BAE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C386B67"/>
    <w:multiLevelType w:val="multilevel"/>
    <w:tmpl w:val="410CD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334637B"/>
    <w:multiLevelType w:val="multilevel"/>
    <w:tmpl w:val="57B65A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669642B"/>
    <w:multiLevelType w:val="multilevel"/>
    <w:tmpl w:val="0E44AA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7583DF6"/>
    <w:multiLevelType w:val="multilevel"/>
    <w:tmpl w:val="AFCA76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7B53C8E"/>
    <w:multiLevelType w:val="multilevel"/>
    <w:tmpl w:val="A5F08B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483B3490"/>
    <w:multiLevelType w:val="multilevel"/>
    <w:tmpl w:val="4AA03D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CDA0252"/>
    <w:multiLevelType w:val="multilevel"/>
    <w:tmpl w:val="7B5281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DD20BDB"/>
    <w:multiLevelType w:val="multilevel"/>
    <w:tmpl w:val="0786E0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6E94433"/>
    <w:multiLevelType w:val="multilevel"/>
    <w:tmpl w:val="1EF623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9D56E77"/>
    <w:multiLevelType w:val="multilevel"/>
    <w:tmpl w:val="4E740B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C717569"/>
    <w:multiLevelType w:val="multilevel"/>
    <w:tmpl w:val="2796FA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70761FCD"/>
    <w:multiLevelType w:val="multilevel"/>
    <w:tmpl w:val="8B3C02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5C71D0D"/>
    <w:multiLevelType w:val="multilevel"/>
    <w:tmpl w:val="459A7F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879196B"/>
    <w:multiLevelType w:val="multilevel"/>
    <w:tmpl w:val="987A20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D834C44"/>
    <w:multiLevelType w:val="multilevel"/>
    <w:tmpl w:val="052493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44D61"/>
    <w:multiLevelType w:val="multilevel"/>
    <w:tmpl w:val="A3905892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13"/>
  </w:num>
  <w:num w:numId="5">
    <w:abstractNumId w:val="23"/>
  </w:num>
  <w:num w:numId="6">
    <w:abstractNumId w:val="28"/>
  </w:num>
  <w:num w:numId="7">
    <w:abstractNumId w:val="29"/>
  </w:num>
  <w:num w:numId="8">
    <w:abstractNumId w:val="2"/>
  </w:num>
  <w:num w:numId="9">
    <w:abstractNumId w:val="11"/>
  </w:num>
  <w:num w:numId="10">
    <w:abstractNumId w:val="26"/>
  </w:num>
  <w:num w:numId="11">
    <w:abstractNumId w:val="5"/>
  </w:num>
  <w:num w:numId="12">
    <w:abstractNumId w:val="4"/>
  </w:num>
  <w:num w:numId="13">
    <w:abstractNumId w:val="16"/>
  </w:num>
  <w:num w:numId="14">
    <w:abstractNumId w:val="9"/>
  </w:num>
  <w:num w:numId="15">
    <w:abstractNumId w:val="18"/>
  </w:num>
  <w:num w:numId="16">
    <w:abstractNumId w:val="19"/>
  </w:num>
  <w:num w:numId="17">
    <w:abstractNumId w:val="8"/>
  </w:num>
  <w:num w:numId="18">
    <w:abstractNumId w:val="14"/>
  </w:num>
  <w:num w:numId="19">
    <w:abstractNumId w:val="3"/>
  </w:num>
  <w:num w:numId="20">
    <w:abstractNumId w:val="7"/>
  </w:num>
  <w:num w:numId="21">
    <w:abstractNumId w:val="20"/>
  </w:num>
  <w:num w:numId="22">
    <w:abstractNumId w:val="21"/>
  </w:num>
  <w:num w:numId="23">
    <w:abstractNumId w:val="0"/>
  </w:num>
  <w:num w:numId="24">
    <w:abstractNumId w:val="17"/>
  </w:num>
  <w:num w:numId="25">
    <w:abstractNumId w:val="24"/>
  </w:num>
  <w:num w:numId="26">
    <w:abstractNumId w:val="6"/>
  </w:num>
  <w:num w:numId="27">
    <w:abstractNumId w:val="27"/>
  </w:num>
  <w:num w:numId="28">
    <w:abstractNumId w:val="22"/>
  </w:num>
  <w:num w:numId="29">
    <w:abstractNumId w:val="12"/>
  </w:num>
  <w:num w:numId="30">
    <w:abstractNumId w:val="15"/>
  </w:num>
  <w:num w:numId="31">
    <w:abstractNumId w:val="2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50307736790/2017-MZE-12131"/>
    <w:docVar w:name="dms_cj" w:val="6790/2017-MZE-12131"/>
    <w:docVar w:name="dms_datum" w:val="1. 2. 2017"/>
    <w:docVar w:name="dms_datum_textem" w:val="1. února 2017"/>
    <w:docVar w:name="dms_datum_vzniku" w:val="1. 2. 2017 7:26:00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Rozhodnutí o nepotřebnosti"/>
    <w:docVar w:name="dms_pripojene_dokumenty" w:val=" "/>
    <w:docVar w:name="dms_spisova_znacka" w:val="16VD30052/2011-131334"/>
    <w:docVar w:name="dms_spravce_jmeno" w:val="Lenka Kratochvílová"/>
    <w:docVar w:name="dms_spravce_mail" w:val="Lenka.Kratochvilova@mze.cz"/>
    <w:docVar w:name="dms_spravce_telefon" w:val="47565114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2 k Zápisu o bezplatném užívání nebytových prostor č. 858-2014-121344"/>
    <w:docVar w:name="dms_VNVSpravce" w:val=" "/>
    <w:docVar w:name="dms_zpracoval_jmeno" w:val="Lenka Kratochvílová"/>
    <w:docVar w:name="dms_zpracoval_mail" w:val="Lenka.Kratochvilova@mze.cz"/>
    <w:docVar w:name="dms_zpracoval_telefon" w:val="475651147"/>
  </w:docVars>
  <w:rsids>
    <w:rsidRoot w:val="009D3C14"/>
    <w:rsid w:val="00775E34"/>
    <w:rsid w:val="00883C16"/>
    <w:rsid w:val="009D3C14"/>
    <w:rsid w:val="00B655DB"/>
    <w:rsid w:val="00DA6C89"/>
    <w:rsid w:val="00E821CD"/>
    <w:rsid w:val="00F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4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2017-03-14T12:01:00Z</cp:lastPrinted>
  <dcterms:created xsi:type="dcterms:W3CDTF">2017-03-14T12:03:00Z</dcterms:created>
  <dcterms:modified xsi:type="dcterms:W3CDTF">2017-03-14T12:03:00Z</dcterms:modified>
</cp:coreProperties>
</file>