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1B" w:rsidRDefault="00FF304C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bookmarkStart w:id="0" w:name="_GoBack"/>
      <w:bookmarkEnd w:id="0"/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3121B" w:rsidRDefault="00FF304C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3121B" w:rsidRDefault="0073121B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3121B" w:rsidRDefault="00FF304C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3121B" w:rsidRDefault="0073121B">
      <w:pPr>
        <w:rPr>
          <w:rFonts w:asciiTheme="minorHAnsi" w:hAnsiTheme="minorHAnsi" w:cstheme="minorHAnsi"/>
          <w:sz w:val="24"/>
        </w:rPr>
      </w:pPr>
    </w:p>
    <w:p w:rsidR="0073121B" w:rsidRDefault="00FF304C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3121B" w:rsidRDefault="00FF304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3121B" w:rsidRDefault="00FF304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3121B" w:rsidRDefault="00FF304C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3121B" w:rsidRDefault="00FF304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3121B" w:rsidRDefault="00FF304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6C0DBD">
        <w:rPr>
          <w:rFonts w:asciiTheme="minorHAnsi" w:hAnsiTheme="minorHAnsi" w:cstheme="minorHAnsi"/>
          <w:color w:val="000000"/>
          <w:sz w:val="24"/>
        </w:rPr>
        <w:t>xxxxxxxxxxxxxx</w:t>
      </w:r>
    </w:p>
    <w:p w:rsidR="0073121B" w:rsidRDefault="00FF304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3121B" w:rsidRDefault="0073121B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3121B" w:rsidRDefault="0073121B">
      <w:pPr>
        <w:rPr>
          <w:rFonts w:asciiTheme="minorHAnsi" w:hAnsiTheme="minorHAnsi" w:cstheme="minorHAnsi"/>
          <w:sz w:val="24"/>
        </w:rPr>
      </w:pPr>
    </w:p>
    <w:p w:rsidR="0073121B" w:rsidRDefault="00FF304C">
      <w:pPr>
        <w:ind w:firstLine="11"/>
        <w:rPr>
          <w:rFonts w:asciiTheme="minorHAnsi" w:hAnsiTheme="minorHAnsi" w:cstheme="minorHAnsi"/>
          <w:b/>
          <w:bCs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TIP Praha s.r.o.</w:t>
      </w:r>
    </w:p>
    <w:p w:rsidR="0073121B" w:rsidRDefault="00FF304C">
      <w:pPr>
        <w:ind w:firstLine="1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sídlo:Černokostelecká 2111/131, Praha10, 100 000</w:t>
      </w:r>
    </w:p>
    <w:p w:rsidR="0073121B" w:rsidRDefault="00FF304C">
      <w:pPr>
        <w:ind w:firstLine="1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zastoupena:  </w:t>
      </w:r>
      <w:r w:rsidR="006C0DBD">
        <w:rPr>
          <w:rFonts w:asciiTheme="minorHAnsi" w:hAnsiTheme="minorHAnsi" w:cstheme="minorHAnsi"/>
          <w:color w:val="000000"/>
          <w:sz w:val="24"/>
        </w:rPr>
        <w:t>xxxxxxxxxx</w:t>
      </w:r>
    </w:p>
    <w:p w:rsidR="0073121B" w:rsidRDefault="00FF304C">
      <w:pPr>
        <w:ind w:firstLine="1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IČ: 07806027 , DIČ: CZ07806027 </w:t>
      </w:r>
    </w:p>
    <w:p w:rsidR="0073121B" w:rsidRDefault="00FF304C">
      <w:pPr>
        <w:ind w:firstLine="1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6C0DBD">
        <w:rPr>
          <w:rFonts w:asciiTheme="minorHAnsi" w:eastAsia="Segoe UI" w:hAnsiTheme="minorHAnsi" w:cs="Segoe UI"/>
          <w:color w:val="222222"/>
          <w:sz w:val="24"/>
          <w:shd w:val="clear" w:color="auto" w:fill="FFFFFF"/>
        </w:rPr>
        <w:t>xxxxxxxxxxxxxx</w:t>
      </w:r>
    </w:p>
    <w:p w:rsidR="0073121B" w:rsidRDefault="00FF304C">
      <w:pPr>
        <w:ind w:firstLine="1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zapsaná v OR MS v Praze, spis. značka </w:t>
      </w:r>
      <w:r>
        <w:rPr>
          <w:rFonts w:asciiTheme="minorHAnsi" w:eastAsia="SimSun" w:hAnsiTheme="minorHAnsi" w:cs="Arial"/>
          <w:color w:val="000000"/>
          <w:sz w:val="24"/>
          <w:shd w:val="clear" w:color="auto" w:fill="FFFFFF"/>
        </w:rPr>
        <w:t>C 307902/MSPH</w:t>
      </w:r>
    </w:p>
    <w:p w:rsidR="0073121B" w:rsidRDefault="00FF304C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 straně druhé (dále jen „Poskytovatel“)</w:t>
      </w:r>
    </w:p>
    <w:p w:rsidR="0073121B" w:rsidRDefault="0073121B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3121B" w:rsidRDefault="0073121B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3121B" w:rsidRDefault="00FF304C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3121B" w:rsidRDefault="00FF304C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3121B" w:rsidRDefault="0073121B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3121B" w:rsidRDefault="0073121B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3121B" w:rsidRDefault="00FF304C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3121B" w:rsidRDefault="0073121B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3121B" w:rsidRDefault="00FF304C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>
        <w:rPr>
          <w:rFonts w:asciiTheme="minorHAnsi" w:hAnsiTheme="minorHAnsi" w:cstheme="minorHAnsi"/>
          <w:sz w:val="24"/>
        </w:rPr>
        <w:t>území hl. m. Prahy</w:t>
      </w:r>
      <w:r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100 Kč/hod. 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3121B" w:rsidRDefault="00FF304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3121B" w:rsidRDefault="0073121B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3121B" w:rsidRDefault="00FF304C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3121B" w:rsidRDefault="00FF304C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3121B" w:rsidRDefault="00FF304C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3121B" w:rsidRDefault="00FF304C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3121B" w:rsidRDefault="0073121B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3121B" w:rsidRDefault="00FF304C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3121B" w:rsidRDefault="00FF304C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3121B" w:rsidRDefault="0073121B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pověřuje ve věci plnění této Smlouvy pro jed</w:t>
      </w:r>
      <w:r w:rsidR="006C0DBD">
        <w:rPr>
          <w:rFonts w:asciiTheme="minorHAnsi" w:hAnsiTheme="minorHAnsi" w:cstheme="minorHAnsi"/>
          <w:color w:val="000000"/>
          <w:sz w:val="24"/>
        </w:rPr>
        <w:t>nání s Poskytovatelem xxxxxxxxx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3121B" w:rsidRDefault="00FF304C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60 Kč/hod. dle aktuálně platné směrnice Školy v souladu s § 122 odst. 1 zákona č. 561/2004 Sb. (školského zákona) v platném znění a </w:t>
      </w:r>
    </w:p>
    <w:p w:rsidR="0073121B" w:rsidRDefault="00FF304C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Dopravu žáků Školy do místa výkonu praktického vyučování Poskytovatel nezajišťuje.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nabývá účinnosti dnem</w:t>
      </w:r>
      <w:r>
        <w:rPr>
          <w:rFonts w:asciiTheme="minorHAnsi" w:hAnsiTheme="minorHAnsi" w:cstheme="minorHAnsi"/>
          <w:sz w:val="24"/>
        </w:rPr>
        <w:t xml:space="preserve"> uveřejnění v registru smluv dle zákona č. 340/2015 Sb. (zákon o registru smluv).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se uzavírá na dobu</w:t>
      </w:r>
      <w:r>
        <w:rPr>
          <w:rFonts w:asciiTheme="minorHAnsi" w:hAnsiTheme="minorHAnsi" w:cstheme="minorHAnsi"/>
          <w:color w:val="000000"/>
          <w:sz w:val="24"/>
          <w:u w:val="single"/>
        </w:rPr>
        <w:t xml:space="preserve"> určitou do 30.6.2023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výslovně sjednávají, že uveřejnění této Smlouvy v registru smluv dle zákona č. 340/2015 Sb., o zvláštních podmínkách účinnosti některých smluv, uveřejňování těchto smluv a o registru smluv (zákon o registru smluv), zajistí Škola.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Smluvní strany se dohodly, že pokud žák Školy po větší část pracovního dne prokazatelně vykonává cvičnou a neproduktivní činnost, stanovuje se minimální možné plnění produktivní činnosti za takový den docházky žáka Školy minimálně v rozsahu 3 hodin.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3121B" w:rsidRDefault="00FF304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3121B" w:rsidRDefault="0073121B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3121B" w:rsidRDefault="0073121B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3121B" w:rsidRDefault="0073121B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28.5.2021</w:t>
      </w:r>
    </w:p>
    <w:p w:rsidR="0073121B" w:rsidRDefault="0073121B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3121B" w:rsidRDefault="0073121B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Poskytovatele: jednatel</w:t>
      </w:r>
    </w:p>
    <w:p w:rsidR="0073121B" w:rsidRDefault="0073121B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3121B" w:rsidRDefault="0073121B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3121B" w:rsidRDefault="00FF304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Matonoha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</w:t>
      </w:r>
      <w:r w:rsidR="006C0DBD">
        <w:rPr>
          <w:rFonts w:asciiTheme="minorHAnsi" w:hAnsiTheme="minorHAnsi" w:cstheme="minorHAnsi"/>
          <w:sz w:val="24"/>
        </w:rPr>
        <w:t>xxxxxxxxxxx</w:t>
      </w:r>
    </w:p>
    <w:p w:rsidR="0073121B" w:rsidRDefault="0073121B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3121B" w:rsidRDefault="00FF304C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</w:t>
      </w:r>
    </w:p>
    <w:p w:rsidR="0073121B" w:rsidRDefault="00FF304C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 TIP Praha, s.r.o.</w:t>
      </w:r>
    </w:p>
    <w:p w:rsidR="0073121B" w:rsidRDefault="0073121B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p w:rsidR="0073121B" w:rsidRDefault="0073121B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p w:rsidR="0073121B" w:rsidRDefault="0073121B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3121B">
      <w:footerReference w:type="default" r:id="rId9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BE" w:rsidRDefault="005362BE">
      <w:pPr>
        <w:spacing w:line="240" w:lineRule="auto"/>
      </w:pPr>
      <w:r>
        <w:separator/>
      </w:r>
    </w:p>
  </w:endnote>
  <w:endnote w:type="continuationSeparator" w:id="0">
    <w:p w:rsidR="005362BE" w:rsidRDefault="00536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21B" w:rsidRDefault="00FF304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C59">
      <w:rPr>
        <w:noProof/>
      </w:rPr>
      <w:t>4</w:t>
    </w:r>
    <w:r>
      <w:fldChar w:fldCharType="end"/>
    </w:r>
  </w:p>
  <w:p w:rsidR="0073121B" w:rsidRDefault="007312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BE" w:rsidRDefault="005362BE">
      <w:pPr>
        <w:spacing w:line="240" w:lineRule="auto"/>
      </w:pPr>
      <w:r>
        <w:separator/>
      </w:r>
    </w:p>
  </w:footnote>
  <w:footnote w:type="continuationSeparator" w:id="0">
    <w:p w:rsidR="005362BE" w:rsidRDefault="005362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6856"/>
    <w:rsid w:val="00022469"/>
    <w:rsid w:val="000339FB"/>
    <w:rsid w:val="000514F5"/>
    <w:rsid w:val="00055A63"/>
    <w:rsid w:val="00055FD2"/>
    <w:rsid w:val="00074BC6"/>
    <w:rsid w:val="00083358"/>
    <w:rsid w:val="00085EFE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1C59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65F3B"/>
    <w:rsid w:val="0027544F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A229C"/>
    <w:rsid w:val="003B0E77"/>
    <w:rsid w:val="003B2E61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7553"/>
    <w:rsid w:val="00506DED"/>
    <w:rsid w:val="00507A0C"/>
    <w:rsid w:val="00531F95"/>
    <w:rsid w:val="005362BE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0DBD"/>
    <w:rsid w:val="006C1A5D"/>
    <w:rsid w:val="006E2C83"/>
    <w:rsid w:val="006E5F0C"/>
    <w:rsid w:val="006E6D16"/>
    <w:rsid w:val="006F223B"/>
    <w:rsid w:val="00703070"/>
    <w:rsid w:val="00707FDD"/>
    <w:rsid w:val="00724CF2"/>
    <w:rsid w:val="0073121B"/>
    <w:rsid w:val="00733780"/>
    <w:rsid w:val="0074301F"/>
    <w:rsid w:val="0074525C"/>
    <w:rsid w:val="007473C1"/>
    <w:rsid w:val="00751127"/>
    <w:rsid w:val="00757387"/>
    <w:rsid w:val="007666FF"/>
    <w:rsid w:val="007864B3"/>
    <w:rsid w:val="00787D7B"/>
    <w:rsid w:val="007A200A"/>
    <w:rsid w:val="007B1D7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4CB6"/>
    <w:rsid w:val="0086628B"/>
    <w:rsid w:val="00867CC2"/>
    <w:rsid w:val="00874216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C0106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3417"/>
    <w:rsid w:val="00CE2537"/>
    <w:rsid w:val="00CE489C"/>
    <w:rsid w:val="00CE72D6"/>
    <w:rsid w:val="00D00B31"/>
    <w:rsid w:val="00D33B86"/>
    <w:rsid w:val="00D375DF"/>
    <w:rsid w:val="00D616C1"/>
    <w:rsid w:val="00DA0D68"/>
    <w:rsid w:val="00DA377B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0FF304C"/>
    <w:rsid w:val="1B3E3C9F"/>
    <w:rsid w:val="6AA504F7"/>
    <w:rsid w:val="6DD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C6648-6D63-4A00-85BA-A8EAEA23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Arial Narrow" w:eastAsia="Times New Roman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pPr>
      <w:jc w:val="left"/>
    </w:pPr>
    <w:rPr>
      <w:b w:val="0"/>
      <w:sz w:val="24"/>
      <w:lang w:val="pl-PL"/>
    </w:rPr>
  </w:style>
  <w:style w:type="character" w:customStyle="1" w:styleId="Zkratka">
    <w:name w:val="Zkratka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rPr>
      <w:rFonts w:ascii="Arial Narrow" w:eastAsia="Times New Roman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6925A-AA12-470B-A541-84AA4423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1328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Vladimíra Karafiátová Ing.</cp:lastModifiedBy>
  <cp:revision>2</cp:revision>
  <cp:lastPrinted>2021-05-28T07:23:00Z</cp:lastPrinted>
  <dcterms:created xsi:type="dcterms:W3CDTF">2021-06-01T12:58:00Z</dcterms:created>
  <dcterms:modified xsi:type="dcterms:W3CDTF">2021-06-01T12:58:00Z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