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C045" w14:textId="2230CD1B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bookmarkStart w:id="0" w:name="_GoBack"/>
      <w:bookmarkEnd w:id="0"/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 N A   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Á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N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Í </w:t>
      </w: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S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 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T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R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J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ů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a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z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 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a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ř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í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z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 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e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n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DA18F5"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>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26977829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Andrzejem Bartośem - </w:t>
      </w:r>
      <w:r w:rsidR="00A555D4" w:rsidRPr="00DA18F5">
        <w:rPr>
          <w:rFonts w:ascii="Arial" w:hAnsi="Arial" w:cs="Arial"/>
          <w:bCs/>
        </w:rPr>
        <w:t>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0B8A1E35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Habilis Steel spol. s r.o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4766C228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</w:t>
      </w:r>
      <w:r w:rsid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Kurčatovova 324,109 00 Praha - Petrovice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</w:t>
      </w:r>
    </w:p>
    <w:p w14:paraId="6095597E" w14:textId="3DC2F8D1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Jiřím Eichlerem</w:t>
      </w:r>
    </w:p>
    <w:p w14:paraId="5C971E66" w14:textId="648B2CBF" w:rsidR="00F74909" w:rsidRPr="00DA18F5" w:rsidRDefault="00F74909" w:rsidP="000273CA">
      <w:pPr>
        <w:ind w:left="2124" w:hanging="2124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OR, vedeného Městským soudem v Praze oddíl C, vložka 169655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64FE87A5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24732061</w:t>
      </w:r>
    </w:p>
    <w:p w14:paraId="48739D06" w14:textId="2A024C8B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CZ24732061</w:t>
      </w:r>
    </w:p>
    <w:p w14:paraId="165BDBFA" w14:textId="36ABF4A3" w:rsidR="00F74909" w:rsidRPr="00DA18F5" w:rsidRDefault="00F74909" w:rsidP="00F74909">
      <w:pPr>
        <w:tabs>
          <w:tab w:val="left" w:pos="1843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Bankovní spojení: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Raifaisen Bank</w:t>
      </w:r>
    </w:p>
    <w:p w14:paraId="5D12D5C4" w14:textId="56696FD3" w:rsidR="00F74909" w:rsidRPr="00DA18F5" w:rsidRDefault="00F74909" w:rsidP="00F74909">
      <w:pPr>
        <w:tabs>
          <w:tab w:val="left" w:pos="1701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Číslo účtu: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6737162001/5500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369FB923" w14:textId="77777777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Telefonické, faxové a e-mailové spojení: </w:t>
      </w:r>
    </w:p>
    <w:p w14:paraId="288E5400" w14:textId="21FB3054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Mobil: </w:t>
      </w:r>
      <w:r w:rsid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+420 734 700 695</w:t>
      </w:r>
      <w:r w:rsid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394722" w14:textId="77777777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Tel/Fax: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6B6AD9F6" w14:textId="35C916A3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e-mail: </w:t>
      </w:r>
      <w:r w:rsid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273CA" w:rsidRPr="000273CA">
        <w:rPr>
          <w:rFonts w:ascii="Arial" w:eastAsia="Calibri" w:hAnsi="Arial" w:cs="Arial"/>
          <w:snapToGrid w:val="0"/>
          <w:sz w:val="22"/>
          <w:szCs w:val="22"/>
          <w:lang w:eastAsia="en-US"/>
        </w:rPr>
        <w:t>dvoracek@habilis-steel.cz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D38A0E2" w14:textId="77777777" w:rsidR="004D521F" w:rsidRPr="00DA18F5" w:rsidRDefault="004D521F" w:rsidP="00762274">
      <w:pPr>
        <w:tabs>
          <w:tab w:val="left" w:pos="2154"/>
        </w:tabs>
        <w:rPr>
          <w:rFonts w:ascii="Arial" w:hAnsi="Arial" w:cs="Arial"/>
          <w:i/>
          <w:sz w:val="22"/>
          <w:szCs w:val="22"/>
        </w:rPr>
      </w:pPr>
      <w:r w:rsidRPr="00DA18F5">
        <w:rPr>
          <w:rFonts w:ascii="Arial" w:hAnsi="Arial" w:cs="Arial"/>
          <w:b/>
          <w:i/>
          <w:sz w:val="22"/>
          <w:szCs w:val="22"/>
        </w:rPr>
        <w:t xml:space="preserve">POKYNY PRO ÚČASTNÍKY: </w:t>
      </w:r>
      <w:r w:rsidRPr="00DA18F5">
        <w:rPr>
          <w:rFonts w:ascii="Arial" w:hAnsi="Arial" w:cs="Arial"/>
          <w:i/>
          <w:sz w:val="22"/>
          <w:szCs w:val="22"/>
        </w:rPr>
        <w:t>Při zpracování návrhu na uzavření smlouvy doplní účastníci údaje, které jsou relevantní vzhledem k charakteru jejich právní formy, údaje týkající se jiné právní formy nebudou v nabídce obsaženy.</w:t>
      </w:r>
    </w:p>
    <w:p w14:paraId="6F35CD41" w14:textId="117B5E9D" w:rsidR="008D5CF8" w:rsidRPr="00DA18F5" w:rsidRDefault="00A555D4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14:paraId="7E10225C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C031071" w14:textId="77777777" w:rsidR="008D5CF8" w:rsidRPr="00DA18F5" w:rsidRDefault="008D5C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33B2603E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DA18F5">
        <w:rPr>
          <w:rFonts w:ascii="Arial" w:eastAsia="Calibri" w:hAnsi="Arial" w:cs="Arial"/>
          <w:bCs/>
          <w:sz w:val="22"/>
          <w:szCs w:val="22"/>
          <w:lang w:eastAsia="en-US"/>
        </w:rPr>
        <w:t>strojů a zařízení</w:t>
      </w:r>
      <w:r w:rsidR="00C64910" w:rsidRPr="00DA18F5">
        <w:rPr>
          <w:rFonts w:ascii="Arial" w:hAnsi="Arial" w:cs="Arial"/>
          <w:sz w:val="22"/>
          <w:szCs w:val="22"/>
        </w:rPr>
        <w:t xml:space="preserve"> v rámci </w:t>
      </w:r>
      <w:r w:rsidR="002E0369" w:rsidRPr="00DA18F5">
        <w:rPr>
          <w:rFonts w:ascii="Arial" w:hAnsi="Arial" w:cs="Arial"/>
          <w:spacing w:val="-4"/>
          <w:sz w:val="22"/>
          <w:szCs w:val="22"/>
        </w:rPr>
        <w:t xml:space="preserve">„Implementace KAP JMK II“, s registračním číslem CZ.02.3.68/0.0/0.0/19_078/0017177. </w:t>
      </w: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Předmětem této smlouvy je prodej a koupě </w:t>
      </w:r>
      <w:r w:rsidR="00DA18F5" w:rsidRPr="00DA18F5">
        <w:rPr>
          <w:rFonts w:ascii="Arial" w:eastAsia="Calibri" w:hAnsi="Arial" w:cs="Arial"/>
          <w:sz w:val="22"/>
          <w:szCs w:val="22"/>
          <w:lang w:eastAsia="en-US"/>
        </w:rPr>
        <w:t>strojů a zařízení</w:t>
      </w:r>
      <w:r w:rsidR="00D202C7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6455DBA2" w14:textId="00744438" w:rsidR="008D5CF8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DA18F5">
        <w:rPr>
          <w:rFonts w:ascii="Arial" w:hAnsi="Arial" w:cs="Arial"/>
          <w:sz w:val="22"/>
          <w:szCs w:val="22"/>
          <w:lang w:eastAsia="x-none"/>
        </w:rPr>
        <w:t>do 6</w:t>
      </w:r>
      <w:r w:rsidR="00D53EB8" w:rsidRPr="00DA18F5">
        <w:rPr>
          <w:rFonts w:ascii="Arial" w:hAnsi="Arial" w:cs="Arial"/>
          <w:sz w:val="22"/>
          <w:szCs w:val="22"/>
          <w:lang w:eastAsia="x-none"/>
        </w:rPr>
        <w:t>0 dnů od účinnosti smlouvy</w:t>
      </w:r>
      <w:r w:rsidRPr="00DA18F5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638896D4" w:rsidR="00A555D4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DA18F5">
        <w:rPr>
          <w:rFonts w:ascii="Arial" w:hAnsi="Arial" w:cs="Arial"/>
          <w:sz w:val="22"/>
          <w:szCs w:val="22"/>
          <w:lang w:eastAsia="x-none"/>
        </w:rPr>
        <w:t>3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DA18F5">
        <w:rPr>
          <w:rFonts w:ascii="Arial" w:hAnsi="Arial" w:cs="Arial"/>
          <w:sz w:val="22"/>
          <w:szCs w:val="22"/>
          <w:lang w:eastAsia="x-none"/>
        </w:rPr>
        <w:t>y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DA18F5">
        <w:rPr>
          <w:rFonts w:ascii="Arial" w:hAnsi="Arial" w:cs="Arial"/>
          <w:sz w:val="22"/>
          <w:szCs w:val="22"/>
          <w:lang w:eastAsia="x-none"/>
        </w:rPr>
        <w:t>á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4721482B" w14:textId="2695B0BC" w:rsidR="00A555D4" w:rsidRPr="00DA18F5" w:rsidRDefault="00A555D4" w:rsidP="006917C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DA18F5">
        <w:rPr>
          <w:rFonts w:ascii="Arial" w:hAnsi="Arial" w:cs="Arial"/>
          <w:color w:val="000000"/>
          <w:sz w:val="22"/>
          <w:szCs w:val="22"/>
        </w:rPr>
        <w:t>Jahodová 54, Brno-Tuřany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>.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275114CC" w14:textId="60DFB7F4" w:rsidR="008D5CF8" w:rsidRPr="00FB2B17" w:rsidRDefault="0036637E" w:rsidP="00264331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FB2B17">
        <w:rPr>
          <w:rFonts w:ascii="Arial" w:hAnsi="Arial" w:cs="Arial"/>
          <w:lang w:val="x-none" w:eastAsia="x-none"/>
        </w:rPr>
        <w:t xml:space="preserve">Celková kupní cena předmětu koupě </w:t>
      </w:r>
      <w:r w:rsidR="00A555D4" w:rsidRPr="00FB2B17">
        <w:rPr>
          <w:rFonts w:ascii="Arial" w:hAnsi="Arial" w:cs="Arial"/>
          <w:lang w:eastAsia="x-none"/>
        </w:rPr>
        <w:t xml:space="preserve"> </w:t>
      </w:r>
      <w:r w:rsidR="00A555D4" w:rsidRPr="00FB2B17">
        <w:rPr>
          <w:rFonts w:ascii="Arial" w:hAnsi="Arial" w:cs="Arial"/>
          <w:lang w:val="x-none" w:eastAsia="x-none"/>
        </w:rPr>
        <w:t>je sjednána na částku</w:t>
      </w:r>
      <w:r w:rsidR="001108FA" w:rsidRPr="00FB2B17">
        <w:rPr>
          <w:rFonts w:ascii="Arial" w:hAnsi="Arial" w:cs="Arial"/>
          <w:lang w:eastAsia="x-none"/>
        </w:rPr>
        <w:t xml:space="preserve"> </w:t>
      </w:r>
      <w:r w:rsidR="000273CA">
        <w:rPr>
          <w:rFonts w:ascii="Arial" w:hAnsi="Arial" w:cs="Arial"/>
          <w:b/>
          <w:lang w:eastAsia="x-none"/>
        </w:rPr>
        <w:t>56291,97</w:t>
      </w:r>
      <w:r w:rsidR="00FB2B17">
        <w:rPr>
          <w:rFonts w:ascii="Arial" w:hAnsi="Arial" w:cs="Arial"/>
          <w:lang w:val="x-none" w:eastAsia="x-none"/>
        </w:rPr>
        <w:t xml:space="preserve"> Kč </w:t>
      </w:r>
      <w:r w:rsidR="00A555D4" w:rsidRPr="00FB2B17">
        <w:rPr>
          <w:rFonts w:ascii="Arial" w:hAnsi="Arial" w:cs="Arial"/>
          <w:lang w:val="x-none" w:eastAsia="x-none"/>
        </w:rPr>
        <w:t>včetně DPH, přičemž</w:t>
      </w:r>
    </w:p>
    <w:p w14:paraId="6C97A90D" w14:textId="7F121858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273CA">
        <w:rPr>
          <w:rFonts w:ascii="Arial" w:hAnsi="Arial" w:cs="Arial"/>
          <w:sz w:val="22"/>
          <w:szCs w:val="22"/>
          <w:lang w:eastAsia="x-none"/>
        </w:rPr>
        <w:t>46522,29</w:t>
      </w:r>
      <w:r w:rsidR="00A555D4" w:rsidRPr="00DA18F5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7EA53F04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273CA">
        <w:rPr>
          <w:rFonts w:ascii="Arial" w:hAnsi="Arial" w:cs="Arial"/>
          <w:sz w:val="22"/>
          <w:szCs w:val="22"/>
          <w:lang w:eastAsia="x-none"/>
        </w:rPr>
        <w:t>21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79D30BDF" w14:textId="66B3265A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273CA">
        <w:rPr>
          <w:rFonts w:ascii="Arial" w:hAnsi="Arial" w:cs="Arial"/>
          <w:sz w:val="22"/>
          <w:szCs w:val="22"/>
          <w:lang w:eastAsia="x-none"/>
        </w:rPr>
        <w:t xml:space="preserve">9769,68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45332A0E" w14:textId="775A5D3B" w:rsidR="005A52BE" w:rsidRPr="00DA18F5" w:rsidRDefault="005A52BE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4C37494" w14:textId="079B0CA1" w:rsidR="008B574A" w:rsidRPr="00DA18F5" w:rsidRDefault="008B574A" w:rsidP="008B574A">
      <w:pPr>
        <w:tabs>
          <w:tab w:val="left" w:pos="567"/>
          <w:tab w:val="left" w:pos="709"/>
        </w:tabs>
        <w:ind w:left="567" w:hanging="360"/>
        <w:jc w:val="both"/>
        <w:rPr>
          <w:rFonts w:ascii="Arial" w:hAnsi="Arial" w:cs="Arial"/>
          <w:sz w:val="22"/>
          <w:szCs w:val="22"/>
        </w:rPr>
      </w:pPr>
    </w:p>
    <w:p w14:paraId="6ADFDA5A" w14:textId="2778B9B6" w:rsidR="000A0AB9" w:rsidRPr="00DA18F5" w:rsidRDefault="004D521F" w:rsidP="008B574A">
      <w:pPr>
        <w:spacing w:after="100"/>
        <w:jc w:val="both"/>
        <w:rPr>
          <w:rFonts w:ascii="Arial" w:hAnsi="Arial" w:cs="Arial"/>
          <w:i/>
          <w:sz w:val="22"/>
          <w:szCs w:val="22"/>
        </w:rPr>
      </w:pPr>
      <w:r w:rsidRPr="00DA18F5">
        <w:rPr>
          <w:rFonts w:ascii="Arial" w:hAnsi="Arial" w:cs="Arial"/>
          <w:b/>
          <w:i/>
          <w:sz w:val="22"/>
          <w:szCs w:val="22"/>
        </w:rPr>
        <w:t>POKYNY PRO ÚČASTNÍKY</w:t>
      </w:r>
      <w:r w:rsidRPr="00DA18F5">
        <w:rPr>
          <w:rFonts w:ascii="Arial" w:hAnsi="Arial" w:cs="Arial"/>
          <w:b/>
          <w:i/>
          <w:snapToGrid w:val="0"/>
          <w:sz w:val="22"/>
          <w:szCs w:val="22"/>
        </w:rPr>
        <w:t>:</w:t>
      </w:r>
      <w:r w:rsidRPr="00DA18F5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DA18F5">
        <w:rPr>
          <w:rFonts w:ascii="Arial" w:hAnsi="Arial" w:cs="Arial"/>
          <w:i/>
          <w:sz w:val="22"/>
          <w:szCs w:val="22"/>
        </w:rPr>
        <w:t>příslušný text doplní účastník podle vlastní kalkulace</w:t>
      </w:r>
      <w:r w:rsidR="001108FA" w:rsidRPr="00DA18F5">
        <w:rPr>
          <w:rFonts w:ascii="Arial" w:hAnsi="Arial" w:cs="Arial"/>
          <w:i/>
          <w:sz w:val="22"/>
          <w:szCs w:val="22"/>
        </w:rPr>
        <w:t xml:space="preserve">. </w:t>
      </w:r>
    </w:p>
    <w:p w14:paraId="0A952712" w14:textId="002AF042" w:rsidR="004D521F" w:rsidRPr="00DA18F5" w:rsidRDefault="000A0AB9" w:rsidP="008B574A">
      <w:pPr>
        <w:spacing w:after="100"/>
        <w:jc w:val="both"/>
        <w:rPr>
          <w:rFonts w:ascii="Arial" w:hAnsi="Arial" w:cs="Arial"/>
          <w:i/>
          <w:sz w:val="22"/>
          <w:szCs w:val="22"/>
        </w:rPr>
      </w:pPr>
      <w:r w:rsidRPr="00DA18F5">
        <w:rPr>
          <w:rFonts w:ascii="Arial" w:hAnsi="Arial" w:cs="Arial"/>
          <w:i/>
          <w:sz w:val="22"/>
          <w:szCs w:val="22"/>
        </w:rPr>
        <w:t>Při uzavření smlouvy bude uvedena cena</w:t>
      </w:r>
      <w:r w:rsidR="00D12E1A">
        <w:rPr>
          <w:rFonts w:ascii="Arial" w:hAnsi="Arial" w:cs="Arial"/>
          <w:i/>
          <w:sz w:val="22"/>
          <w:szCs w:val="22"/>
        </w:rPr>
        <w:t>, která</w:t>
      </w:r>
      <w:r w:rsidRPr="00DA18F5">
        <w:rPr>
          <w:rFonts w:ascii="Arial" w:hAnsi="Arial" w:cs="Arial"/>
          <w:i/>
          <w:sz w:val="22"/>
          <w:szCs w:val="22"/>
        </w:rPr>
        <w:t xml:space="preserve"> byl</w:t>
      </w:r>
      <w:r w:rsidR="00D12E1A">
        <w:rPr>
          <w:rFonts w:ascii="Arial" w:hAnsi="Arial" w:cs="Arial"/>
          <w:i/>
          <w:sz w:val="22"/>
          <w:szCs w:val="22"/>
        </w:rPr>
        <w:t>a</w:t>
      </w:r>
      <w:r w:rsidRPr="00DA18F5">
        <w:rPr>
          <w:rFonts w:ascii="Arial" w:hAnsi="Arial" w:cs="Arial"/>
          <w:i/>
          <w:sz w:val="22"/>
          <w:szCs w:val="22"/>
        </w:rPr>
        <w:t xml:space="preserve"> v zadávacím řízení nejvýhodnější. </w:t>
      </w:r>
    </w:p>
    <w:p w14:paraId="1708A1BA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279B6842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CD670F">
        <w:rPr>
          <w:rFonts w:ascii="Arial" w:hAnsi="Arial" w:cs="Arial"/>
          <w:bCs/>
          <w:sz w:val="22"/>
          <w:szCs w:val="22"/>
          <w:lang w:eastAsia="x-none"/>
        </w:rPr>
        <w:t>strojů a zařízení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77777777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>daňového dokladu – faktury je 30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14:paraId="1BC13E77" w14:textId="3C473D2E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Dále musí faktura obsahovat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název a 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>registrační číslo projektu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: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2E0369" w:rsidRPr="00DA18F5">
        <w:rPr>
          <w:rFonts w:ascii="Arial" w:hAnsi="Arial" w:cs="Arial"/>
          <w:spacing w:val="-4"/>
          <w:sz w:val="22"/>
          <w:szCs w:val="22"/>
        </w:rPr>
        <w:t>Implementace KAP JMK II, číslo projektu  CZ.02.3.68/0.0/0.0/19_078/0017177“.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Prodávající poskytuje záruku na předmět koupě, že je v bezvadném stavu, nerepasovaný a způsobilý k řádnému  užívání v souladu s účelem dle této smlouvy po dobu trvání záruční doby. Záruka se nevztahuje na vady způsobené nevhodným užíváním.</w:t>
      </w:r>
    </w:p>
    <w:p w14:paraId="6D735052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Záruční doba se sjednává v délce trvání 24 měsíců a to od okamžiku jejich předání a převzetí kupujícím v souladu s touto smlouvou.</w:t>
      </w:r>
    </w:p>
    <w:p w14:paraId="7BDD495B" w14:textId="55A6F7C8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0273CA" w:rsidRPr="000273CA">
        <w:rPr>
          <w:rFonts w:ascii="Arial" w:eastAsia="Calibri" w:hAnsi="Arial" w:cs="Arial"/>
          <w:sz w:val="22"/>
          <w:szCs w:val="22"/>
          <w:lang w:eastAsia="en-US"/>
        </w:rPr>
        <w:t>Habilis Steel spol. s .r.o, Divišovská 328, Vlašim, 258 01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, nebo e-mailem na adresu </w:t>
      </w:r>
      <w:r w:rsidR="000273CA" w:rsidRPr="000273CA">
        <w:rPr>
          <w:rFonts w:ascii="Arial" w:eastAsia="Calibri" w:hAnsi="Arial" w:cs="Arial"/>
          <w:sz w:val="22"/>
          <w:szCs w:val="22"/>
          <w:lang w:eastAsia="en-US"/>
        </w:rPr>
        <w:t>dvoracek@habilis-steel.cz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.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9725C0D" w14:textId="77777777" w:rsidR="00C67266" w:rsidRPr="00DA18F5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4D7C553A" w14:textId="35569D25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se zavazuje uchovávat originální dokumenty do 31. 12. 203</w:t>
      </w:r>
      <w:r w:rsidR="006917C2" w:rsidRPr="00DA18F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3D63D8C0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>Seznam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D670F" w:rsidRPr="00CD670F">
        <w:rPr>
          <w:rFonts w:ascii="Arial" w:eastAsia="Calibri" w:hAnsi="Arial" w:cs="Arial"/>
          <w:sz w:val="22"/>
          <w:szCs w:val="22"/>
          <w:lang w:eastAsia="en-US"/>
        </w:rPr>
        <w:t>strojů a zařízení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s cenou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a technická specifikace.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0A02CA9B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</w:t>
            </w:r>
            <w:r w:rsidR="00E728B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Praze dne </w:t>
            </w:r>
            <w:r w:rsidR="00D72A93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1</w:t>
            </w:r>
            <w:r w:rsidR="00E728B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4.5.2021</w:t>
            </w:r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77777777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0CF120D2" w:rsidR="00711D62" w:rsidRPr="00DA18F5" w:rsidRDefault="004C73D6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Jiří Eichler, jednatel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711D62" w:rsidRPr="00DA18F5" w:rsidSect="00DA18F5">
      <w:headerReference w:type="default" r:id="rId8"/>
      <w:footerReference w:type="default" r:id="rId9"/>
      <w:pgSz w:w="11906" w:h="16838"/>
      <w:pgMar w:top="1958" w:right="1274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6B4C" w14:textId="77777777" w:rsidR="00636EE9" w:rsidRDefault="00636EE9">
      <w:r>
        <w:separator/>
      </w:r>
    </w:p>
  </w:endnote>
  <w:endnote w:type="continuationSeparator" w:id="0">
    <w:p w14:paraId="16B449F3" w14:textId="77777777" w:rsidR="00636EE9" w:rsidRDefault="0063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652A" w14:textId="77777777" w:rsidR="00636EE9" w:rsidRDefault="00636EE9">
      <w:r>
        <w:separator/>
      </w:r>
    </w:p>
  </w:footnote>
  <w:footnote w:type="continuationSeparator" w:id="0">
    <w:p w14:paraId="0D7C0513" w14:textId="77777777" w:rsidR="00636EE9" w:rsidRDefault="0063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32C1" w14:textId="75C7349B"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43C318F6" wp14:editId="1A20C235">
          <wp:extent cx="5753100" cy="600075"/>
          <wp:effectExtent l="0" t="0" r="0" b="9525"/>
          <wp:docPr id="3" name="Obrázek 3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6C0F"/>
    <w:rsid w:val="000273CA"/>
    <w:rsid w:val="0004142A"/>
    <w:rsid w:val="000A0AB9"/>
    <w:rsid w:val="000B5926"/>
    <w:rsid w:val="001108FA"/>
    <w:rsid w:val="00127EC2"/>
    <w:rsid w:val="001829EF"/>
    <w:rsid w:val="00192E16"/>
    <w:rsid w:val="001C6432"/>
    <w:rsid w:val="00252752"/>
    <w:rsid w:val="00264331"/>
    <w:rsid w:val="00266303"/>
    <w:rsid w:val="00297034"/>
    <w:rsid w:val="002E0369"/>
    <w:rsid w:val="00311D1D"/>
    <w:rsid w:val="0036637E"/>
    <w:rsid w:val="003B7618"/>
    <w:rsid w:val="00402A43"/>
    <w:rsid w:val="00431A5B"/>
    <w:rsid w:val="004516FF"/>
    <w:rsid w:val="00464200"/>
    <w:rsid w:val="004C73D6"/>
    <w:rsid w:val="004D0152"/>
    <w:rsid w:val="004D521F"/>
    <w:rsid w:val="004E5D8E"/>
    <w:rsid w:val="004E7576"/>
    <w:rsid w:val="004F0631"/>
    <w:rsid w:val="00550239"/>
    <w:rsid w:val="0058230E"/>
    <w:rsid w:val="005A52BE"/>
    <w:rsid w:val="005B69D5"/>
    <w:rsid w:val="00636EE9"/>
    <w:rsid w:val="006752EC"/>
    <w:rsid w:val="006917C2"/>
    <w:rsid w:val="006A0903"/>
    <w:rsid w:val="00703702"/>
    <w:rsid w:val="00711D62"/>
    <w:rsid w:val="00762274"/>
    <w:rsid w:val="007745DA"/>
    <w:rsid w:val="007A2323"/>
    <w:rsid w:val="007B0628"/>
    <w:rsid w:val="0081178B"/>
    <w:rsid w:val="008772EC"/>
    <w:rsid w:val="008B574A"/>
    <w:rsid w:val="008C3114"/>
    <w:rsid w:val="008D5CF8"/>
    <w:rsid w:val="00940E94"/>
    <w:rsid w:val="009A1E9A"/>
    <w:rsid w:val="009B30E8"/>
    <w:rsid w:val="00A06A25"/>
    <w:rsid w:val="00A247D9"/>
    <w:rsid w:val="00A346A7"/>
    <w:rsid w:val="00A555D4"/>
    <w:rsid w:val="00B35AAB"/>
    <w:rsid w:val="00C64910"/>
    <w:rsid w:val="00C67266"/>
    <w:rsid w:val="00C672D9"/>
    <w:rsid w:val="00C867EF"/>
    <w:rsid w:val="00C9122B"/>
    <w:rsid w:val="00CD670F"/>
    <w:rsid w:val="00D12E1A"/>
    <w:rsid w:val="00D202C7"/>
    <w:rsid w:val="00D47F46"/>
    <w:rsid w:val="00D53EB8"/>
    <w:rsid w:val="00D72A93"/>
    <w:rsid w:val="00DA18F5"/>
    <w:rsid w:val="00DC4559"/>
    <w:rsid w:val="00DF12EE"/>
    <w:rsid w:val="00DF20F6"/>
    <w:rsid w:val="00E728BA"/>
    <w:rsid w:val="00E83D38"/>
    <w:rsid w:val="00E87584"/>
    <w:rsid w:val="00EC72F6"/>
    <w:rsid w:val="00F74909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C196-737A-4EF7-B4AA-24081D68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1432</Words>
  <Characters>8455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dcterms:created xsi:type="dcterms:W3CDTF">2021-05-26T08:17:00Z</dcterms:created>
  <dcterms:modified xsi:type="dcterms:W3CDTF">2021-05-26T08:17:00Z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