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17" w:rsidRPr="00867EE8" w:rsidRDefault="006F4917" w:rsidP="006F4917">
      <w:pPr>
        <w:keepNext/>
        <w:spacing w:after="120" w:line="276" w:lineRule="auto"/>
        <w:jc w:val="center"/>
        <w:rPr>
          <w:b/>
          <w:sz w:val="40"/>
          <w:szCs w:val="40"/>
        </w:rPr>
      </w:pPr>
      <w:r w:rsidRPr="00867EE8">
        <w:rPr>
          <w:b/>
          <w:sz w:val="40"/>
          <w:szCs w:val="40"/>
        </w:rPr>
        <w:t>KUPNÍ SMLOUVA</w:t>
      </w:r>
    </w:p>
    <w:p w:rsidR="00F05FFC" w:rsidRPr="00BF2D87" w:rsidRDefault="00F05FFC" w:rsidP="00F05FFC">
      <w:pPr>
        <w:pStyle w:val="FormtovanvHTML"/>
        <w:keepNext/>
        <w:rPr>
          <w:rFonts w:ascii="Times New Roman" w:hAnsi="Times New Roman"/>
          <w:b/>
          <w:sz w:val="22"/>
          <w:szCs w:val="22"/>
        </w:rPr>
      </w:pPr>
      <w:proofErr w:type="spellStart"/>
      <w:r w:rsidRPr="00BF2D87">
        <w:rPr>
          <w:rFonts w:ascii="Times New Roman" w:hAnsi="Times New Roman"/>
          <w:b/>
          <w:sz w:val="22"/>
          <w:szCs w:val="22"/>
        </w:rPr>
        <w:t>Hinderstein</w:t>
      </w:r>
      <w:proofErr w:type="spellEnd"/>
      <w:r w:rsidRPr="00BF2D87">
        <w:rPr>
          <w:rFonts w:ascii="Times New Roman" w:hAnsi="Times New Roman"/>
          <w:b/>
          <w:sz w:val="22"/>
          <w:szCs w:val="22"/>
        </w:rPr>
        <w:t>, s.r.o.</w:t>
      </w:r>
    </w:p>
    <w:p w:rsidR="00F05FFC" w:rsidRPr="00BF2D87" w:rsidRDefault="00F05FFC" w:rsidP="00F05FFC">
      <w:pPr>
        <w:pStyle w:val="FormtovanvHTML"/>
        <w:keepNext/>
        <w:rPr>
          <w:rFonts w:ascii="Times New Roman" w:hAnsi="Times New Roman"/>
          <w:sz w:val="22"/>
          <w:szCs w:val="22"/>
        </w:rPr>
      </w:pPr>
      <w:r w:rsidRPr="00BF2D87">
        <w:rPr>
          <w:rFonts w:ascii="Times New Roman" w:hAnsi="Times New Roman"/>
          <w:sz w:val="22"/>
          <w:szCs w:val="22"/>
        </w:rPr>
        <w:t>se sídlem: Vodňanská 651, 198 00 Praha 9 - Kyje</w:t>
      </w:r>
    </w:p>
    <w:p w:rsidR="00F05FFC" w:rsidRPr="00BF2D87" w:rsidRDefault="00F05FFC" w:rsidP="00F05FFC">
      <w:pPr>
        <w:pStyle w:val="FormtovanvHTML"/>
        <w:keepNext/>
        <w:rPr>
          <w:rFonts w:ascii="Times New Roman" w:hAnsi="Times New Roman"/>
          <w:sz w:val="22"/>
          <w:szCs w:val="22"/>
        </w:rPr>
      </w:pPr>
      <w:r w:rsidRPr="00BF2D87">
        <w:rPr>
          <w:rFonts w:ascii="Times New Roman" w:hAnsi="Times New Roman"/>
          <w:sz w:val="22"/>
          <w:szCs w:val="22"/>
        </w:rPr>
        <w:t>IČO: 25052853</w:t>
      </w:r>
    </w:p>
    <w:p w:rsidR="00F05FFC" w:rsidRPr="00BF2D87" w:rsidRDefault="00F05FFC" w:rsidP="00F05FFC">
      <w:pPr>
        <w:pStyle w:val="FormtovanvHTML"/>
        <w:keepNext/>
        <w:rPr>
          <w:rFonts w:ascii="Times New Roman" w:hAnsi="Times New Roman"/>
          <w:sz w:val="22"/>
          <w:szCs w:val="22"/>
        </w:rPr>
      </w:pPr>
      <w:r w:rsidRPr="00BF2D87">
        <w:rPr>
          <w:rFonts w:ascii="Times New Roman" w:hAnsi="Times New Roman"/>
          <w:sz w:val="22"/>
          <w:szCs w:val="22"/>
        </w:rPr>
        <w:t>zastoupený panem Ing. Jindřichem Baumrukem, jednatelem společnosti</w:t>
      </w:r>
    </w:p>
    <w:p w:rsidR="003F5349" w:rsidRDefault="00A57180" w:rsidP="003F5349">
      <w:pPr>
        <w:keepNext/>
        <w:contextualSpacing/>
      </w:pPr>
      <w:r>
        <w:t xml:space="preserve">e-mail: </w:t>
      </w:r>
      <w:r w:rsidR="003F5349">
        <w:t>e-mail: jindrich.baumruk@verder.cz</w:t>
      </w:r>
    </w:p>
    <w:p w:rsidR="006F4917" w:rsidRDefault="006F4917" w:rsidP="006F4917">
      <w:pPr>
        <w:keepNext/>
        <w:contextualSpacing/>
      </w:pPr>
    </w:p>
    <w:p w:rsidR="00A57180" w:rsidRPr="00BF2D87" w:rsidRDefault="00A57180" w:rsidP="006F4917">
      <w:pPr>
        <w:keepNext/>
        <w:contextualSpacing/>
      </w:pPr>
    </w:p>
    <w:p w:rsidR="006F4917" w:rsidRPr="00BF2D87" w:rsidRDefault="006F4917" w:rsidP="006F4917">
      <w:pPr>
        <w:keepNext/>
        <w:contextualSpacing/>
      </w:pPr>
      <w:r w:rsidRPr="00BF2D87">
        <w:t>(dále jen „</w:t>
      </w:r>
      <w:r w:rsidRPr="00BF2D87">
        <w:rPr>
          <w:b/>
        </w:rPr>
        <w:t>prodávající</w:t>
      </w:r>
      <w:r w:rsidRPr="00BF2D87">
        <w:t>")</w:t>
      </w:r>
    </w:p>
    <w:p w:rsidR="006F4917" w:rsidRPr="00BF2D87" w:rsidRDefault="006F4917" w:rsidP="006F4917">
      <w:pPr>
        <w:keepNext/>
        <w:contextualSpacing/>
      </w:pPr>
    </w:p>
    <w:p w:rsidR="006F4917" w:rsidRPr="00BF2D87" w:rsidRDefault="006F4917" w:rsidP="006F4917">
      <w:pPr>
        <w:keepNext/>
        <w:contextualSpacing/>
        <w:rPr>
          <w:b/>
        </w:rPr>
      </w:pPr>
      <w:r w:rsidRPr="00BF2D87">
        <w:rPr>
          <w:b/>
        </w:rPr>
        <w:t>-a-</w:t>
      </w:r>
    </w:p>
    <w:p w:rsidR="006F4917" w:rsidRPr="00BF2D87" w:rsidRDefault="006F4917" w:rsidP="006F4917">
      <w:pPr>
        <w:keepNext/>
        <w:contextualSpacing/>
      </w:pPr>
    </w:p>
    <w:p w:rsidR="00F05FFC" w:rsidRPr="00BF2D87" w:rsidRDefault="00F05FFC" w:rsidP="00F05FFC">
      <w:pPr>
        <w:pStyle w:val="FormtovanvHTML"/>
        <w:keepNext/>
        <w:rPr>
          <w:rFonts w:ascii="Times New Roman" w:hAnsi="Times New Roman"/>
          <w:b/>
          <w:sz w:val="22"/>
          <w:szCs w:val="22"/>
        </w:rPr>
      </w:pPr>
      <w:r w:rsidRPr="00BF2D87">
        <w:rPr>
          <w:rFonts w:ascii="Times New Roman" w:hAnsi="Times New Roman"/>
          <w:b/>
          <w:sz w:val="22"/>
          <w:szCs w:val="22"/>
        </w:rPr>
        <w:t>Městská část Praha-Satalice</w:t>
      </w:r>
    </w:p>
    <w:p w:rsidR="00F05FFC" w:rsidRPr="00BF2D87" w:rsidRDefault="00F05FFC" w:rsidP="00F05FFC">
      <w:pPr>
        <w:pStyle w:val="FormtovanvHTML"/>
        <w:keepNext/>
        <w:rPr>
          <w:rFonts w:ascii="Times New Roman" w:hAnsi="Times New Roman"/>
          <w:sz w:val="22"/>
          <w:szCs w:val="22"/>
        </w:rPr>
      </w:pPr>
      <w:r w:rsidRPr="00BF2D87">
        <w:rPr>
          <w:rFonts w:ascii="Times New Roman" w:hAnsi="Times New Roman"/>
          <w:sz w:val="22"/>
          <w:szCs w:val="22"/>
        </w:rPr>
        <w:t xml:space="preserve">se sídlem: K </w:t>
      </w:r>
      <w:proofErr w:type="spellStart"/>
      <w:r w:rsidRPr="00BF2D87">
        <w:rPr>
          <w:rFonts w:ascii="Times New Roman" w:hAnsi="Times New Roman"/>
          <w:sz w:val="22"/>
          <w:szCs w:val="22"/>
        </w:rPr>
        <w:t>Radonicům</w:t>
      </w:r>
      <w:proofErr w:type="spellEnd"/>
      <w:r w:rsidRPr="00BF2D87">
        <w:rPr>
          <w:rFonts w:ascii="Times New Roman" w:hAnsi="Times New Roman"/>
          <w:sz w:val="22"/>
          <w:szCs w:val="22"/>
        </w:rPr>
        <w:t xml:space="preserve"> 81/3, 190 15 Praha 9</w:t>
      </w:r>
      <w:r w:rsidR="00520759">
        <w:rPr>
          <w:rFonts w:ascii="Times New Roman" w:hAnsi="Times New Roman"/>
          <w:sz w:val="22"/>
          <w:szCs w:val="22"/>
        </w:rPr>
        <w:t xml:space="preserve"> </w:t>
      </w:r>
      <w:r w:rsidRPr="00BF2D87">
        <w:rPr>
          <w:rFonts w:ascii="Times New Roman" w:hAnsi="Times New Roman"/>
          <w:sz w:val="22"/>
          <w:szCs w:val="22"/>
        </w:rPr>
        <w:t>-</w:t>
      </w:r>
      <w:r w:rsidR="00520759">
        <w:rPr>
          <w:rFonts w:ascii="Times New Roman" w:hAnsi="Times New Roman"/>
          <w:sz w:val="22"/>
          <w:szCs w:val="22"/>
        </w:rPr>
        <w:t xml:space="preserve"> </w:t>
      </w:r>
      <w:bookmarkStart w:id="0" w:name="_GoBack"/>
      <w:bookmarkEnd w:id="0"/>
      <w:r w:rsidRPr="00BF2D87">
        <w:rPr>
          <w:rFonts w:ascii="Times New Roman" w:hAnsi="Times New Roman"/>
          <w:sz w:val="22"/>
          <w:szCs w:val="22"/>
        </w:rPr>
        <w:t>Satalice</w:t>
      </w:r>
    </w:p>
    <w:p w:rsidR="00F05FFC" w:rsidRPr="00BF2D87" w:rsidRDefault="00F05FFC" w:rsidP="00F05FFC">
      <w:pPr>
        <w:pStyle w:val="FormtovanvHTML"/>
        <w:keepNext/>
        <w:rPr>
          <w:rFonts w:ascii="Times New Roman" w:hAnsi="Times New Roman"/>
          <w:sz w:val="22"/>
          <w:szCs w:val="22"/>
        </w:rPr>
      </w:pPr>
      <w:r w:rsidRPr="00BF2D87">
        <w:rPr>
          <w:rFonts w:ascii="Times New Roman" w:hAnsi="Times New Roman"/>
          <w:sz w:val="22"/>
          <w:szCs w:val="22"/>
        </w:rPr>
        <w:t>IČO: 00240711</w:t>
      </w:r>
    </w:p>
    <w:p w:rsidR="006F4917" w:rsidRPr="00BF2D87" w:rsidRDefault="00F05FFC" w:rsidP="00F05FFC">
      <w:pPr>
        <w:keepNext/>
        <w:contextualSpacing/>
      </w:pPr>
      <w:r w:rsidRPr="00BF2D87">
        <w:t xml:space="preserve">zastoupená </w:t>
      </w:r>
      <w:r w:rsidR="00520759">
        <w:t xml:space="preserve">Mgr. </w:t>
      </w:r>
      <w:r w:rsidRPr="00BF2D87">
        <w:t>Miladou Voborskou, starostko</w:t>
      </w:r>
      <w:r w:rsidR="00520759">
        <w:t>u</w:t>
      </w:r>
    </w:p>
    <w:p w:rsidR="00A57180" w:rsidRDefault="00A57180" w:rsidP="00A57180">
      <w:pPr>
        <w:keepNext/>
        <w:contextualSpacing/>
      </w:pPr>
      <w:r>
        <w:t xml:space="preserve">e-mail: </w:t>
      </w:r>
      <w:r w:rsidR="003F5349">
        <w:t>voborska@satalice.cz</w:t>
      </w:r>
    </w:p>
    <w:p w:rsidR="00F05FFC" w:rsidRPr="00BF2D87" w:rsidRDefault="00F05FFC" w:rsidP="006F4917">
      <w:pPr>
        <w:keepNext/>
        <w:contextualSpacing/>
      </w:pPr>
    </w:p>
    <w:p w:rsidR="006F4917" w:rsidRPr="00BF2D87" w:rsidRDefault="006F4917" w:rsidP="006F4917">
      <w:pPr>
        <w:keepNext/>
        <w:contextualSpacing/>
      </w:pPr>
      <w:r w:rsidRPr="00BF2D87">
        <w:t>(dále jen „</w:t>
      </w:r>
      <w:r w:rsidRPr="00BF2D87">
        <w:rPr>
          <w:b/>
        </w:rPr>
        <w:t>kupující</w:t>
      </w:r>
      <w:r w:rsidRPr="00BF2D87">
        <w:t>")</w:t>
      </w:r>
    </w:p>
    <w:p w:rsidR="006F4917" w:rsidRPr="00BF2D87" w:rsidRDefault="006F4917" w:rsidP="006F4917">
      <w:pPr>
        <w:keepNext/>
        <w:spacing w:after="120"/>
      </w:pPr>
    </w:p>
    <w:p w:rsidR="006F4917" w:rsidRPr="00BF2D87" w:rsidRDefault="006F4917" w:rsidP="006F4917">
      <w:pPr>
        <w:keepNext/>
        <w:spacing w:after="120"/>
      </w:pPr>
      <w:r w:rsidRPr="00BF2D87">
        <w:t>(společně dále také jako „</w:t>
      </w:r>
      <w:r w:rsidRPr="00BF2D87">
        <w:rPr>
          <w:b/>
        </w:rPr>
        <w:t>smluvní strany</w:t>
      </w:r>
      <w:r w:rsidRPr="00BF2D87">
        <w:t>“ nebo jednotlivě jako „</w:t>
      </w:r>
      <w:r w:rsidRPr="00BF2D87">
        <w:rPr>
          <w:b/>
        </w:rPr>
        <w:t>smluvní strana</w:t>
      </w:r>
      <w:r w:rsidRPr="00BF2D87">
        <w:t>“)</w:t>
      </w:r>
    </w:p>
    <w:p w:rsidR="006F4917" w:rsidRPr="00BF2D87" w:rsidRDefault="006F4917" w:rsidP="006F4917">
      <w:pPr>
        <w:keepNext/>
        <w:spacing w:after="120" w:line="276" w:lineRule="auto"/>
      </w:pPr>
    </w:p>
    <w:p w:rsidR="006F4917" w:rsidRPr="00BF2D87" w:rsidRDefault="006F4917" w:rsidP="006F4917">
      <w:pPr>
        <w:keepNext/>
        <w:spacing w:after="120"/>
        <w:jc w:val="center"/>
      </w:pPr>
      <w:r w:rsidRPr="00BF2D87">
        <w:t xml:space="preserve">uzavírají podle ustanovení § 2128 a násl. a ustanovení § 2079 a násl. zákona č. 89/2012 Sb., občanský zákoník, ve znění pozdějších předpisů, tuto </w:t>
      </w:r>
      <w:r w:rsidRPr="00BF2D87">
        <w:rPr>
          <w:b/>
        </w:rPr>
        <w:t>kupní smlouvu</w:t>
      </w:r>
      <w:r w:rsidRPr="00BF2D87">
        <w:t xml:space="preserve"> (dále jen „</w:t>
      </w:r>
      <w:r w:rsidRPr="00BF2D87">
        <w:rPr>
          <w:b/>
        </w:rPr>
        <w:t>smlouva</w:t>
      </w:r>
      <w:r w:rsidRPr="00BF2D87">
        <w:t>“)</w:t>
      </w:r>
    </w:p>
    <w:p w:rsidR="009106AA" w:rsidRPr="00BF2D87" w:rsidRDefault="009106AA" w:rsidP="006F4917">
      <w:pPr>
        <w:keepNext/>
        <w:spacing w:after="240"/>
        <w:ind w:left="567"/>
        <w:contextualSpacing/>
        <w:jc w:val="center"/>
        <w:outlineLvl w:val="0"/>
        <w:rPr>
          <w:b/>
        </w:rPr>
      </w:pPr>
    </w:p>
    <w:p w:rsidR="006F4917" w:rsidRPr="00BF2D87" w:rsidRDefault="006F4917" w:rsidP="00A57180">
      <w:pPr>
        <w:keepNext/>
        <w:spacing w:after="240"/>
        <w:contextualSpacing/>
        <w:jc w:val="center"/>
        <w:outlineLvl w:val="0"/>
        <w:rPr>
          <w:b/>
        </w:rPr>
      </w:pPr>
      <w:r w:rsidRPr="00BF2D87">
        <w:rPr>
          <w:b/>
        </w:rPr>
        <w:t>I. Obecná ustanovení</w:t>
      </w:r>
    </w:p>
    <w:p w:rsidR="006F4917" w:rsidRPr="0050130D" w:rsidRDefault="00F05FFC" w:rsidP="006F4917">
      <w:pPr>
        <w:pStyle w:val="Normln1"/>
        <w:keepNext/>
        <w:widowControl/>
        <w:numPr>
          <w:ilvl w:val="0"/>
          <w:numId w:val="1"/>
        </w:numPr>
        <w:ind w:left="567"/>
        <w:jc w:val="both"/>
        <w:rPr>
          <w:rFonts w:ascii="Times New Roman" w:hAnsi="Times New Roman"/>
          <w:noProof/>
          <w:color w:val="000000"/>
          <w:sz w:val="22"/>
          <w:szCs w:val="22"/>
        </w:rPr>
      </w:pPr>
      <w:r w:rsidRPr="00BF2D87">
        <w:rPr>
          <w:rFonts w:ascii="Times New Roman" w:hAnsi="Times New Roman"/>
          <w:noProof/>
          <w:color w:val="000000"/>
          <w:sz w:val="22"/>
          <w:szCs w:val="22"/>
        </w:rPr>
        <w:t>Prodávající</w:t>
      </w:r>
      <w:r w:rsidR="009106AA" w:rsidRPr="00BF2D87">
        <w:rPr>
          <w:rFonts w:ascii="Times New Roman" w:hAnsi="Times New Roman"/>
          <w:noProof/>
          <w:color w:val="000000"/>
          <w:sz w:val="22"/>
          <w:szCs w:val="22"/>
        </w:rPr>
        <w:t xml:space="preserve"> prohlašuje, že</w:t>
      </w:r>
      <w:r w:rsidR="006F4917" w:rsidRPr="00BF2D87">
        <w:rPr>
          <w:rFonts w:ascii="Times New Roman" w:hAnsi="Times New Roman"/>
          <w:noProof/>
          <w:color w:val="000000"/>
          <w:sz w:val="22"/>
          <w:szCs w:val="22"/>
        </w:rPr>
        <w:t xml:space="preserve"> je </w:t>
      </w:r>
      <w:r w:rsidR="00F2683A" w:rsidRPr="00BF2D87">
        <w:rPr>
          <w:rFonts w:ascii="Times New Roman" w:hAnsi="Times New Roman"/>
          <w:noProof/>
          <w:color w:val="000000"/>
          <w:sz w:val="22"/>
          <w:szCs w:val="22"/>
        </w:rPr>
        <w:t xml:space="preserve">výlučným </w:t>
      </w:r>
      <w:r w:rsidR="006F4917" w:rsidRPr="00BF2D87">
        <w:rPr>
          <w:rFonts w:ascii="Times New Roman" w:hAnsi="Times New Roman"/>
          <w:noProof/>
          <w:color w:val="000000"/>
          <w:sz w:val="22"/>
          <w:szCs w:val="22"/>
        </w:rPr>
        <w:t>vlastníkem</w:t>
      </w:r>
      <w:r w:rsidRPr="00BF2D87">
        <w:rPr>
          <w:sz w:val="22"/>
          <w:szCs w:val="22"/>
        </w:rPr>
        <w:t xml:space="preserve"> </w:t>
      </w:r>
      <w:r w:rsidRPr="0050130D">
        <w:rPr>
          <w:rFonts w:ascii="Times New Roman" w:hAnsi="Times New Roman"/>
          <w:sz w:val="22"/>
          <w:szCs w:val="22"/>
        </w:rPr>
        <w:t>následující nemovité věci</w:t>
      </w:r>
      <w:r w:rsidR="006F4917" w:rsidRPr="0050130D">
        <w:rPr>
          <w:rFonts w:ascii="Times New Roman" w:hAnsi="Times New Roman"/>
          <w:noProof/>
          <w:color w:val="000000"/>
          <w:sz w:val="22"/>
          <w:szCs w:val="22"/>
        </w:rPr>
        <w:t xml:space="preserve">: </w:t>
      </w:r>
    </w:p>
    <w:p w:rsidR="006F4917" w:rsidRPr="00BF2D87" w:rsidRDefault="006F4917" w:rsidP="006F4917">
      <w:pPr>
        <w:pStyle w:val="Normln1"/>
        <w:keepNext/>
        <w:widowControl/>
        <w:ind w:left="567"/>
        <w:jc w:val="both"/>
        <w:rPr>
          <w:rFonts w:ascii="Times New Roman" w:hAnsi="Times New Roman"/>
          <w:noProof/>
          <w:color w:val="000000"/>
          <w:sz w:val="22"/>
          <w:szCs w:val="22"/>
        </w:rPr>
      </w:pPr>
    </w:p>
    <w:p w:rsidR="00F05FFC" w:rsidRPr="00BF2D87" w:rsidRDefault="00F05FFC" w:rsidP="00F05FFC">
      <w:pPr>
        <w:keepNext/>
        <w:numPr>
          <w:ilvl w:val="0"/>
          <w:numId w:val="12"/>
        </w:numPr>
        <w:spacing w:line="276" w:lineRule="auto"/>
      </w:pPr>
      <w:r w:rsidRPr="00BF2D87">
        <w:rPr>
          <w:b/>
        </w:rPr>
        <w:t xml:space="preserve">pozemku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548/16</w:t>
      </w:r>
      <w:r w:rsidRPr="00BF2D87">
        <w:t>, o výměře 35 m</w:t>
      </w:r>
      <w:r w:rsidRPr="00BF2D87">
        <w:rPr>
          <w:vertAlign w:val="superscript"/>
        </w:rPr>
        <w:t>2</w:t>
      </w:r>
      <w:r w:rsidRPr="00BF2D87">
        <w:t xml:space="preserve">, </w:t>
      </w:r>
    </w:p>
    <w:p w:rsidR="00F05FFC" w:rsidRPr="00BF2D87" w:rsidRDefault="00F05FFC" w:rsidP="00F05FFC">
      <w:pPr>
        <w:keepNext/>
        <w:numPr>
          <w:ilvl w:val="0"/>
          <w:numId w:val="12"/>
        </w:numPr>
        <w:spacing w:line="276" w:lineRule="auto"/>
      </w:pPr>
      <w:r w:rsidRPr="00BF2D87">
        <w:rPr>
          <w:b/>
        </w:rPr>
        <w:t xml:space="preserve">pozemku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561</w:t>
      </w:r>
      <w:r w:rsidRPr="00BF2D87">
        <w:t>, o výměře 706 m</w:t>
      </w:r>
      <w:r w:rsidRPr="00BF2D87">
        <w:rPr>
          <w:vertAlign w:val="superscript"/>
        </w:rPr>
        <w:t>2</w:t>
      </w:r>
      <w:r w:rsidRPr="00BF2D87">
        <w:t xml:space="preserve">, </w:t>
      </w:r>
    </w:p>
    <w:p w:rsidR="00F05FFC" w:rsidRPr="00BF2D87" w:rsidRDefault="00F05FFC" w:rsidP="00F05FFC">
      <w:pPr>
        <w:keepNext/>
        <w:numPr>
          <w:ilvl w:val="0"/>
          <w:numId w:val="12"/>
        </w:numPr>
        <w:spacing w:line="276" w:lineRule="auto"/>
      </w:pPr>
      <w:r w:rsidRPr="00BF2D87">
        <w:rPr>
          <w:b/>
        </w:rPr>
        <w:t xml:space="preserve">pozemku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562/6</w:t>
      </w:r>
      <w:r w:rsidRPr="00BF2D87">
        <w:t>, o výměře 5194 m</w:t>
      </w:r>
      <w:r w:rsidRPr="00BF2D87">
        <w:rPr>
          <w:vertAlign w:val="superscript"/>
        </w:rPr>
        <w:t>2</w:t>
      </w:r>
      <w:r w:rsidRPr="00BF2D87">
        <w:t xml:space="preserve">, </w:t>
      </w:r>
    </w:p>
    <w:p w:rsidR="00F05FFC" w:rsidRPr="00BF2D87" w:rsidRDefault="00F05FFC" w:rsidP="00F05FFC">
      <w:pPr>
        <w:keepNext/>
        <w:numPr>
          <w:ilvl w:val="0"/>
          <w:numId w:val="12"/>
        </w:numPr>
        <w:spacing w:line="276" w:lineRule="auto"/>
      </w:pPr>
      <w:r w:rsidRPr="00BF2D87">
        <w:rPr>
          <w:b/>
        </w:rPr>
        <w:t xml:space="preserve">pozemku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564/5</w:t>
      </w:r>
      <w:r w:rsidRPr="00BF2D87">
        <w:t>, o výměře 89 m</w:t>
      </w:r>
      <w:r w:rsidRPr="00BF2D87">
        <w:rPr>
          <w:vertAlign w:val="superscript"/>
        </w:rPr>
        <w:t>2</w:t>
      </w:r>
      <w:r w:rsidRPr="00BF2D87">
        <w:t xml:space="preserve">. </w:t>
      </w:r>
    </w:p>
    <w:p w:rsidR="00F05FFC" w:rsidRPr="00BF2D87" w:rsidRDefault="00F05FFC" w:rsidP="00F05FFC">
      <w:pPr>
        <w:keepNext/>
      </w:pPr>
    </w:p>
    <w:p w:rsidR="00F05FFC" w:rsidRPr="00BF2D87" w:rsidRDefault="00F05FFC" w:rsidP="00F05FFC">
      <w:pPr>
        <w:keepNext/>
        <w:ind w:left="709"/>
      </w:pPr>
      <w:r w:rsidRPr="00BF2D87">
        <w:t>vše zapsáno na LV č. 479 v katastru nemovitostí vedeném u Katastrálního úřadu pro hlavní město Prahu, Katastrální pracoviště Praha, v katastrálním území Satalice, obec Praha (dále jen „</w:t>
      </w:r>
      <w:r w:rsidRPr="00BF2D87">
        <w:rPr>
          <w:b/>
        </w:rPr>
        <w:t>předmětné pozemky</w:t>
      </w:r>
      <w:r w:rsidRPr="00BF2D87">
        <w:t>“),</w:t>
      </w:r>
    </w:p>
    <w:p w:rsidR="009106AA" w:rsidRPr="00BF2D87" w:rsidRDefault="006F4917" w:rsidP="00F05FFC">
      <w:pPr>
        <w:pStyle w:val="Normln1"/>
        <w:keepNext/>
        <w:widowControl/>
        <w:ind w:left="567"/>
        <w:jc w:val="both"/>
        <w:rPr>
          <w:rFonts w:ascii="Times New Roman" w:hAnsi="Times New Roman"/>
          <w:noProof/>
          <w:color w:val="000000"/>
          <w:sz w:val="22"/>
          <w:szCs w:val="22"/>
        </w:rPr>
      </w:pPr>
      <w:r w:rsidRPr="00BF2D87">
        <w:rPr>
          <w:rFonts w:ascii="Times New Roman" w:hAnsi="Times New Roman"/>
          <w:noProof/>
          <w:color w:val="000000"/>
          <w:sz w:val="22"/>
          <w:szCs w:val="22"/>
        </w:rPr>
        <w:t xml:space="preserve"> </w:t>
      </w:r>
    </w:p>
    <w:p w:rsidR="00C82993" w:rsidRPr="00BF2D87" w:rsidRDefault="009106AA" w:rsidP="00C82993">
      <w:pPr>
        <w:pStyle w:val="Normln1"/>
        <w:keepNext/>
        <w:widowControl/>
        <w:numPr>
          <w:ilvl w:val="0"/>
          <w:numId w:val="1"/>
        </w:numPr>
        <w:ind w:left="567"/>
        <w:jc w:val="both"/>
        <w:rPr>
          <w:rFonts w:ascii="Times New Roman" w:hAnsi="Times New Roman"/>
          <w:noProof/>
          <w:color w:val="000000"/>
          <w:sz w:val="22"/>
          <w:szCs w:val="22"/>
        </w:rPr>
      </w:pPr>
      <w:r w:rsidRPr="00BF2D87">
        <w:rPr>
          <w:rFonts w:ascii="Times New Roman" w:hAnsi="Times New Roman"/>
          <w:b/>
          <w:sz w:val="22"/>
          <w:szCs w:val="22"/>
        </w:rPr>
        <w:t>Geometrickým plánem pro rozdělení pozemku</w:t>
      </w:r>
      <w:r w:rsidRPr="00BF2D87">
        <w:rPr>
          <w:rFonts w:ascii="Times New Roman" w:hAnsi="Times New Roman"/>
          <w:sz w:val="22"/>
          <w:szCs w:val="22"/>
        </w:rPr>
        <w:t>, k</w:t>
      </w:r>
      <w:r w:rsidR="00F05FFC" w:rsidRPr="00BF2D87">
        <w:rPr>
          <w:rFonts w:ascii="Times New Roman" w:hAnsi="Times New Roman"/>
          <w:sz w:val="22"/>
          <w:szCs w:val="22"/>
        </w:rPr>
        <w:t>terý vyhotovil</w:t>
      </w:r>
      <w:r w:rsidRPr="00BF2D87">
        <w:rPr>
          <w:rFonts w:ascii="Times New Roman" w:hAnsi="Times New Roman"/>
          <w:sz w:val="22"/>
          <w:szCs w:val="22"/>
        </w:rPr>
        <w:t xml:space="preserve"> </w:t>
      </w:r>
      <w:r w:rsidR="00F05FFC" w:rsidRPr="00BF2D87">
        <w:rPr>
          <w:rFonts w:ascii="Times New Roman" w:hAnsi="Times New Roman"/>
          <w:sz w:val="22"/>
          <w:szCs w:val="22"/>
        </w:rPr>
        <w:t>pan Josef Švec, se sídlem Lesní 619, 289 23 Milovice, IČO: 71101390</w:t>
      </w:r>
      <w:r w:rsidRPr="00BF2D87">
        <w:rPr>
          <w:rFonts w:ascii="Times New Roman" w:hAnsi="Times New Roman"/>
          <w:sz w:val="22"/>
          <w:szCs w:val="22"/>
        </w:rPr>
        <w:t xml:space="preserve">, a který dne  </w:t>
      </w:r>
      <w:r w:rsidR="00F05FFC" w:rsidRPr="00BF2D87">
        <w:rPr>
          <w:rFonts w:ascii="Times New Roman" w:hAnsi="Times New Roman"/>
          <w:sz w:val="22"/>
          <w:szCs w:val="22"/>
        </w:rPr>
        <w:t>18.11</w:t>
      </w:r>
      <w:r w:rsidRPr="00BF2D87">
        <w:rPr>
          <w:rFonts w:ascii="Times New Roman" w:hAnsi="Times New Roman"/>
          <w:sz w:val="22"/>
          <w:szCs w:val="22"/>
        </w:rPr>
        <w:t xml:space="preserve">.2016 pod číslem </w:t>
      </w:r>
      <w:r w:rsidR="00F05FFC" w:rsidRPr="00BF2D87">
        <w:rPr>
          <w:rFonts w:ascii="Times New Roman" w:hAnsi="Times New Roman"/>
          <w:sz w:val="22"/>
          <w:szCs w:val="22"/>
        </w:rPr>
        <w:t>77/2016</w:t>
      </w:r>
      <w:r w:rsidRPr="00BF2D87">
        <w:rPr>
          <w:rFonts w:ascii="Times New Roman" w:hAnsi="Times New Roman"/>
          <w:sz w:val="22"/>
          <w:szCs w:val="22"/>
        </w:rPr>
        <w:t xml:space="preserve"> ověřil</w:t>
      </w:r>
      <w:r w:rsidR="00F05FFC" w:rsidRPr="00BF2D87">
        <w:rPr>
          <w:rFonts w:ascii="Times New Roman" w:hAnsi="Times New Roman"/>
          <w:sz w:val="22"/>
          <w:szCs w:val="22"/>
        </w:rPr>
        <w:t>a</w:t>
      </w:r>
      <w:r w:rsidRPr="00BF2D87">
        <w:rPr>
          <w:rFonts w:ascii="Times New Roman" w:hAnsi="Times New Roman"/>
          <w:sz w:val="22"/>
          <w:szCs w:val="22"/>
        </w:rPr>
        <w:t xml:space="preserve"> Ing</w:t>
      </w:r>
      <w:r w:rsidR="00F05FFC" w:rsidRPr="00BF2D87">
        <w:rPr>
          <w:rFonts w:ascii="Times New Roman" w:hAnsi="Times New Roman"/>
          <w:sz w:val="22"/>
          <w:szCs w:val="22"/>
        </w:rPr>
        <w:t>. Markéta Eichlerová</w:t>
      </w:r>
      <w:r w:rsidR="00097797" w:rsidRPr="00BF2D87">
        <w:rPr>
          <w:rFonts w:ascii="Times New Roman" w:hAnsi="Times New Roman"/>
          <w:sz w:val="22"/>
          <w:szCs w:val="22"/>
        </w:rPr>
        <w:t>, úředně oprávněný</w:t>
      </w:r>
      <w:r w:rsidRPr="00BF2D87">
        <w:rPr>
          <w:rFonts w:ascii="Times New Roman" w:hAnsi="Times New Roman"/>
          <w:sz w:val="22"/>
          <w:szCs w:val="22"/>
        </w:rPr>
        <w:t xml:space="preserve"> zeměměřičský inženýr, číslo plánu: </w:t>
      </w:r>
      <w:r w:rsidR="00F05FFC" w:rsidRPr="00BF2D87">
        <w:rPr>
          <w:rFonts w:ascii="Times New Roman" w:hAnsi="Times New Roman"/>
          <w:b/>
          <w:sz w:val="22"/>
          <w:szCs w:val="22"/>
        </w:rPr>
        <w:t>1015-11/2016</w:t>
      </w:r>
      <w:r w:rsidRPr="00BF2D87">
        <w:rPr>
          <w:rFonts w:ascii="Times New Roman" w:hAnsi="Times New Roman"/>
          <w:b/>
          <w:sz w:val="22"/>
          <w:szCs w:val="22"/>
        </w:rPr>
        <w:t xml:space="preserve">, </w:t>
      </w:r>
      <w:r w:rsidRPr="00BF2D87">
        <w:rPr>
          <w:rFonts w:ascii="Times New Roman" w:hAnsi="Times New Roman"/>
          <w:sz w:val="22"/>
          <w:szCs w:val="22"/>
        </w:rPr>
        <w:t xml:space="preserve">pro obec Praha, </w:t>
      </w:r>
      <w:proofErr w:type="spellStart"/>
      <w:proofErr w:type="gramStart"/>
      <w:r w:rsidRPr="00BF2D87">
        <w:rPr>
          <w:rFonts w:ascii="Times New Roman" w:hAnsi="Times New Roman"/>
          <w:sz w:val="22"/>
          <w:szCs w:val="22"/>
        </w:rPr>
        <w:t>k.ú</w:t>
      </w:r>
      <w:proofErr w:type="spellEnd"/>
      <w:r w:rsidRPr="00BF2D87">
        <w:rPr>
          <w:rFonts w:ascii="Times New Roman" w:hAnsi="Times New Roman"/>
          <w:sz w:val="22"/>
          <w:szCs w:val="22"/>
        </w:rPr>
        <w:t>.</w:t>
      </w:r>
      <w:proofErr w:type="gramEnd"/>
      <w:r w:rsidRPr="00BF2D87">
        <w:rPr>
          <w:rFonts w:ascii="Times New Roman" w:hAnsi="Times New Roman"/>
          <w:sz w:val="22"/>
          <w:szCs w:val="22"/>
        </w:rPr>
        <w:t xml:space="preserve"> Satalice (dále jen „</w:t>
      </w:r>
      <w:r w:rsidRPr="00BF2D87">
        <w:rPr>
          <w:rFonts w:ascii="Times New Roman" w:hAnsi="Times New Roman"/>
          <w:b/>
          <w:sz w:val="22"/>
          <w:szCs w:val="22"/>
        </w:rPr>
        <w:t>Geometrický plán</w:t>
      </w:r>
      <w:r w:rsidRPr="00BF2D87">
        <w:rPr>
          <w:rFonts w:ascii="Times New Roman" w:hAnsi="Times New Roman"/>
          <w:sz w:val="22"/>
          <w:szCs w:val="22"/>
        </w:rPr>
        <w:t>“), ke kterému by</w:t>
      </w:r>
      <w:r w:rsidR="00C82993" w:rsidRPr="00BF2D87">
        <w:rPr>
          <w:rFonts w:ascii="Times New Roman" w:hAnsi="Times New Roman"/>
          <w:sz w:val="22"/>
          <w:szCs w:val="22"/>
        </w:rPr>
        <w:t>l</w:t>
      </w:r>
      <w:r w:rsidRPr="00BF2D87">
        <w:rPr>
          <w:rFonts w:ascii="Times New Roman" w:hAnsi="Times New Roman"/>
          <w:sz w:val="22"/>
          <w:szCs w:val="22"/>
        </w:rPr>
        <w:t xml:space="preserve"> Katastrálním úřadem pro hlavní město Prahu, Katastrální pracoviště Praha dne </w:t>
      </w:r>
      <w:r w:rsidR="00F05FFC" w:rsidRPr="00BF2D87">
        <w:rPr>
          <w:rFonts w:ascii="Times New Roman" w:hAnsi="Times New Roman"/>
          <w:sz w:val="22"/>
          <w:szCs w:val="22"/>
        </w:rPr>
        <w:t>24.11.2016</w:t>
      </w:r>
      <w:r w:rsidRPr="00BF2D87">
        <w:rPr>
          <w:rFonts w:ascii="Times New Roman" w:hAnsi="Times New Roman"/>
          <w:sz w:val="22"/>
          <w:szCs w:val="22"/>
        </w:rPr>
        <w:t xml:space="preserve"> udělen souhlas </w:t>
      </w:r>
      <w:r w:rsidR="00097797" w:rsidRPr="00BF2D87">
        <w:rPr>
          <w:rFonts w:ascii="Times New Roman" w:hAnsi="Times New Roman"/>
          <w:sz w:val="22"/>
          <w:szCs w:val="22"/>
        </w:rPr>
        <w:t>s</w:t>
      </w:r>
      <w:r w:rsidRPr="00BF2D87">
        <w:rPr>
          <w:rFonts w:ascii="Times New Roman" w:hAnsi="Times New Roman"/>
          <w:sz w:val="22"/>
          <w:szCs w:val="22"/>
        </w:rPr>
        <w:t xml:space="preserve"> očíslováním parcel (PGP-</w:t>
      </w:r>
      <w:r w:rsidR="00F05FFC" w:rsidRPr="00BF2D87">
        <w:rPr>
          <w:rFonts w:ascii="Times New Roman" w:hAnsi="Times New Roman"/>
          <w:sz w:val="22"/>
          <w:szCs w:val="22"/>
        </w:rPr>
        <w:t>4826/2016-101</w:t>
      </w:r>
      <w:r w:rsidR="000F18E0" w:rsidRPr="00BF2D87">
        <w:rPr>
          <w:rFonts w:ascii="Times New Roman" w:hAnsi="Times New Roman"/>
          <w:sz w:val="22"/>
          <w:szCs w:val="22"/>
        </w:rPr>
        <w:t>), vznikly rozdělením parcely</w:t>
      </w:r>
      <w:r w:rsidRPr="00BF2D87">
        <w:rPr>
          <w:rFonts w:ascii="Times New Roman" w:hAnsi="Times New Roman"/>
          <w:sz w:val="22"/>
          <w:szCs w:val="22"/>
        </w:rPr>
        <w:t xml:space="preserve"> </w:t>
      </w:r>
      <w:r w:rsidRPr="00BF2D87">
        <w:rPr>
          <w:rFonts w:ascii="Times New Roman" w:hAnsi="Times New Roman"/>
          <w:b/>
          <w:sz w:val="22"/>
          <w:szCs w:val="22"/>
        </w:rPr>
        <w:t xml:space="preserve">č. </w:t>
      </w:r>
      <w:r w:rsidR="00F05FFC" w:rsidRPr="00BF2D87">
        <w:rPr>
          <w:rFonts w:ascii="Times New Roman" w:hAnsi="Times New Roman"/>
          <w:b/>
          <w:sz w:val="22"/>
          <w:szCs w:val="22"/>
        </w:rPr>
        <w:t>561</w:t>
      </w:r>
      <w:r w:rsidR="00F05FFC" w:rsidRPr="00BF2D87">
        <w:rPr>
          <w:rFonts w:ascii="Times New Roman" w:hAnsi="Times New Roman"/>
          <w:sz w:val="22"/>
          <w:szCs w:val="22"/>
        </w:rPr>
        <w:t xml:space="preserve"> a parcely č. </w:t>
      </w:r>
      <w:r w:rsidR="00F05FFC" w:rsidRPr="00BF2D87">
        <w:rPr>
          <w:rFonts w:ascii="Times New Roman" w:hAnsi="Times New Roman"/>
          <w:b/>
          <w:sz w:val="22"/>
          <w:szCs w:val="22"/>
        </w:rPr>
        <w:t>562/6</w:t>
      </w:r>
      <w:r w:rsidR="000F18E0" w:rsidRPr="00BF2D87">
        <w:rPr>
          <w:rFonts w:ascii="Times New Roman" w:hAnsi="Times New Roman"/>
          <w:sz w:val="22"/>
          <w:szCs w:val="22"/>
        </w:rPr>
        <w:t>, dosud zapsaných</w:t>
      </w:r>
      <w:r w:rsidRPr="00BF2D87">
        <w:rPr>
          <w:rFonts w:ascii="Times New Roman" w:hAnsi="Times New Roman"/>
          <w:sz w:val="22"/>
          <w:szCs w:val="22"/>
        </w:rPr>
        <w:t xml:space="preserve"> v katastru nemovitostí vedeném Katastrálním úřadem pro hlavní město Prahu, na LV č. </w:t>
      </w:r>
      <w:r w:rsidR="000F18E0" w:rsidRPr="00BF2D87">
        <w:rPr>
          <w:rFonts w:ascii="Times New Roman" w:hAnsi="Times New Roman"/>
          <w:sz w:val="22"/>
          <w:szCs w:val="22"/>
        </w:rPr>
        <w:t>479</w:t>
      </w:r>
      <w:r w:rsidRPr="00BF2D87">
        <w:rPr>
          <w:rFonts w:ascii="Times New Roman" w:hAnsi="Times New Roman"/>
          <w:sz w:val="22"/>
          <w:szCs w:val="22"/>
        </w:rPr>
        <w:t xml:space="preserve">, Katastrální pracoviště Praha, </w:t>
      </w:r>
      <w:proofErr w:type="spellStart"/>
      <w:proofErr w:type="gramStart"/>
      <w:r w:rsidRPr="00BF2D87">
        <w:rPr>
          <w:rFonts w:ascii="Times New Roman" w:hAnsi="Times New Roman"/>
          <w:sz w:val="22"/>
          <w:szCs w:val="22"/>
        </w:rPr>
        <w:t>k.ú</w:t>
      </w:r>
      <w:proofErr w:type="spellEnd"/>
      <w:r w:rsidRPr="00BF2D87">
        <w:rPr>
          <w:rFonts w:ascii="Times New Roman" w:hAnsi="Times New Roman"/>
          <w:sz w:val="22"/>
          <w:szCs w:val="22"/>
        </w:rPr>
        <w:t>.</w:t>
      </w:r>
      <w:proofErr w:type="gramEnd"/>
      <w:r w:rsidRPr="00BF2D87">
        <w:rPr>
          <w:rFonts w:ascii="Times New Roman" w:hAnsi="Times New Roman"/>
          <w:sz w:val="22"/>
          <w:szCs w:val="22"/>
        </w:rPr>
        <w:t xml:space="preserve"> Satalice, obec Praha, </w:t>
      </w:r>
      <w:r w:rsidRPr="00BF2D87">
        <w:rPr>
          <w:rFonts w:ascii="Times New Roman" w:hAnsi="Times New Roman"/>
          <w:b/>
          <w:sz w:val="22"/>
          <w:szCs w:val="22"/>
        </w:rPr>
        <w:t xml:space="preserve">nová parcela č. </w:t>
      </w:r>
      <w:r w:rsidR="000F18E0" w:rsidRPr="00BF2D87">
        <w:rPr>
          <w:rFonts w:ascii="Times New Roman" w:hAnsi="Times New Roman"/>
          <w:b/>
          <w:sz w:val="22"/>
          <w:szCs w:val="22"/>
        </w:rPr>
        <w:t>561/1</w:t>
      </w:r>
      <w:r w:rsidR="00441F03" w:rsidRPr="00BF2D87">
        <w:rPr>
          <w:rFonts w:ascii="Times New Roman" w:hAnsi="Times New Roman"/>
          <w:sz w:val="22"/>
          <w:szCs w:val="22"/>
        </w:rPr>
        <w:t xml:space="preserve">, </w:t>
      </w:r>
      <w:r w:rsidR="000F18E0" w:rsidRPr="00BF2D87">
        <w:rPr>
          <w:rFonts w:ascii="Times New Roman" w:hAnsi="Times New Roman"/>
          <w:sz w:val="22"/>
          <w:szCs w:val="22"/>
        </w:rPr>
        <w:t>jiná plocha</w:t>
      </w:r>
      <w:r w:rsidR="00441F03" w:rsidRPr="00BF2D87">
        <w:rPr>
          <w:rFonts w:ascii="Times New Roman" w:hAnsi="Times New Roman"/>
          <w:sz w:val="22"/>
          <w:szCs w:val="22"/>
        </w:rPr>
        <w:t xml:space="preserve">, o výměře </w:t>
      </w:r>
      <w:r w:rsidR="000F18E0" w:rsidRPr="00BF2D87">
        <w:rPr>
          <w:rFonts w:ascii="Times New Roman" w:hAnsi="Times New Roman"/>
          <w:sz w:val="22"/>
          <w:szCs w:val="22"/>
        </w:rPr>
        <w:t>541</w:t>
      </w:r>
      <w:r w:rsidRPr="00BF2D87">
        <w:rPr>
          <w:rFonts w:ascii="Times New Roman" w:hAnsi="Times New Roman"/>
          <w:sz w:val="22"/>
          <w:szCs w:val="22"/>
        </w:rPr>
        <w:t xml:space="preserve"> m</w:t>
      </w:r>
      <w:r w:rsidRPr="00BF2D87">
        <w:rPr>
          <w:rFonts w:ascii="Times New Roman" w:hAnsi="Times New Roman"/>
          <w:sz w:val="22"/>
          <w:szCs w:val="22"/>
          <w:vertAlign w:val="superscript"/>
        </w:rPr>
        <w:t>2</w:t>
      </w:r>
      <w:r w:rsidR="000F18E0" w:rsidRPr="00BF2D87">
        <w:rPr>
          <w:rFonts w:ascii="Times New Roman" w:hAnsi="Times New Roman"/>
          <w:sz w:val="22"/>
          <w:szCs w:val="22"/>
        </w:rPr>
        <w:t>,</w:t>
      </w:r>
      <w:r w:rsidRPr="00BF2D87">
        <w:rPr>
          <w:rFonts w:ascii="Times New Roman" w:hAnsi="Times New Roman"/>
          <w:sz w:val="22"/>
          <w:szCs w:val="22"/>
          <w:vertAlign w:val="superscript"/>
        </w:rPr>
        <w:t xml:space="preserve"> </w:t>
      </w:r>
      <w:r w:rsidRPr="00BF2D87">
        <w:rPr>
          <w:rFonts w:ascii="Times New Roman" w:hAnsi="Times New Roman"/>
          <w:b/>
          <w:sz w:val="22"/>
          <w:szCs w:val="22"/>
        </w:rPr>
        <w:t>nová parcela</w:t>
      </w:r>
      <w:r w:rsidRPr="00BF2D87">
        <w:rPr>
          <w:rFonts w:ascii="Times New Roman" w:hAnsi="Times New Roman"/>
          <w:b/>
          <w:sz w:val="22"/>
          <w:szCs w:val="22"/>
          <w:vertAlign w:val="superscript"/>
        </w:rPr>
        <w:t xml:space="preserve"> </w:t>
      </w:r>
      <w:r w:rsidRPr="00BF2D87">
        <w:rPr>
          <w:rFonts w:ascii="Times New Roman" w:hAnsi="Times New Roman"/>
          <w:b/>
          <w:sz w:val="22"/>
          <w:szCs w:val="22"/>
        </w:rPr>
        <w:t xml:space="preserve">č. </w:t>
      </w:r>
      <w:r w:rsidR="000F18E0" w:rsidRPr="00BF2D87">
        <w:rPr>
          <w:rFonts w:ascii="Times New Roman" w:hAnsi="Times New Roman"/>
          <w:b/>
          <w:sz w:val="22"/>
          <w:szCs w:val="22"/>
        </w:rPr>
        <w:t>561/2</w:t>
      </w:r>
      <w:r w:rsidRPr="00BF2D87">
        <w:rPr>
          <w:rFonts w:ascii="Times New Roman" w:hAnsi="Times New Roman"/>
          <w:sz w:val="22"/>
          <w:szCs w:val="22"/>
        </w:rPr>
        <w:t xml:space="preserve">, </w:t>
      </w:r>
      <w:r w:rsidR="000F18E0" w:rsidRPr="00BF2D87">
        <w:rPr>
          <w:rFonts w:ascii="Times New Roman" w:hAnsi="Times New Roman"/>
          <w:sz w:val="22"/>
          <w:szCs w:val="22"/>
        </w:rPr>
        <w:t>jiná plocha</w:t>
      </w:r>
      <w:r w:rsidRPr="00BF2D87">
        <w:rPr>
          <w:rFonts w:ascii="Times New Roman" w:hAnsi="Times New Roman"/>
          <w:sz w:val="22"/>
          <w:szCs w:val="22"/>
        </w:rPr>
        <w:t xml:space="preserve">, o výměře </w:t>
      </w:r>
      <w:r w:rsidR="00BF2D87" w:rsidRPr="00BF2D87">
        <w:rPr>
          <w:rFonts w:ascii="Times New Roman" w:hAnsi="Times New Roman"/>
          <w:sz w:val="22"/>
          <w:szCs w:val="22"/>
        </w:rPr>
        <w:t>164</w:t>
      </w:r>
      <w:r w:rsidRPr="00BF2D87">
        <w:rPr>
          <w:rFonts w:ascii="Times New Roman" w:hAnsi="Times New Roman"/>
          <w:sz w:val="22"/>
          <w:szCs w:val="22"/>
        </w:rPr>
        <w:t xml:space="preserve"> m</w:t>
      </w:r>
      <w:r w:rsidRPr="00BF2D87">
        <w:rPr>
          <w:rFonts w:ascii="Times New Roman" w:hAnsi="Times New Roman"/>
          <w:sz w:val="22"/>
          <w:szCs w:val="22"/>
          <w:vertAlign w:val="superscript"/>
        </w:rPr>
        <w:t>2</w:t>
      </w:r>
      <w:r w:rsidRPr="00BF2D87">
        <w:rPr>
          <w:rFonts w:ascii="Times New Roman" w:hAnsi="Times New Roman"/>
          <w:sz w:val="22"/>
          <w:szCs w:val="22"/>
        </w:rPr>
        <w:t>,</w:t>
      </w:r>
      <w:r w:rsidR="00BF2D87" w:rsidRPr="00BF2D87">
        <w:rPr>
          <w:rFonts w:ascii="Times New Roman" w:hAnsi="Times New Roman"/>
          <w:b/>
          <w:sz w:val="22"/>
          <w:szCs w:val="22"/>
        </w:rPr>
        <w:t xml:space="preserve"> nová parcela č. 562/6</w:t>
      </w:r>
      <w:r w:rsidR="00BF2D87" w:rsidRPr="00BF2D87">
        <w:rPr>
          <w:rFonts w:ascii="Times New Roman" w:hAnsi="Times New Roman"/>
          <w:sz w:val="22"/>
          <w:szCs w:val="22"/>
        </w:rPr>
        <w:t>, zahrada, o výměře 2181 m</w:t>
      </w:r>
      <w:r w:rsidR="00BF2D87" w:rsidRPr="00BF2D87">
        <w:rPr>
          <w:rFonts w:ascii="Times New Roman" w:hAnsi="Times New Roman"/>
          <w:sz w:val="22"/>
          <w:szCs w:val="22"/>
          <w:vertAlign w:val="superscript"/>
        </w:rPr>
        <w:t>2</w:t>
      </w:r>
      <w:r w:rsidR="00BF2D87" w:rsidRPr="00BF2D87">
        <w:rPr>
          <w:rFonts w:ascii="Times New Roman" w:hAnsi="Times New Roman"/>
          <w:sz w:val="22"/>
          <w:szCs w:val="22"/>
        </w:rPr>
        <w:t xml:space="preserve"> a</w:t>
      </w:r>
      <w:r w:rsidR="00BF2D87" w:rsidRPr="00BF2D87">
        <w:rPr>
          <w:rFonts w:ascii="Times New Roman" w:hAnsi="Times New Roman"/>
          <w:sz w:val="22"/>
          <w:szCs w:val="22"/>
          <w:vertAlign w:val="superscript"/>
        </w:rPr>
        <w:t xml:space="preserve"> </w:t>
      </w:r>
      <w:r w:rsidR="00BF2D87" w:rsidRPr="00BF2D87">
        <w:rPr>
          <w:rFonts w:ascii="Times New Roman" w:hAnsi="Times New Roman"/>
          <w:b/>
          <w:sz w:val="22"/>
          <w:szCs w:val="22"/>
        </w:rPr>
        <w:t>nová parcela</w:t>
      </w:r>
      <w:r w:rsidR="00BF2D87" w:rsidRPr="00BF2D87">
        <w:rPr>
          <w:rFonts w:ascii="Times New Roman" w:hAnsi="Times New Roman"/>
          <w:b/>
          <w:sz w:val="22"/>
          <w:szCs w:val="22"/>
          <w:vertAlign w:val="superscript"/>
        </w:rPr>
        <w:t xml:space="preserve"> </w:t>
      </w:r>
      <w:r w:rsidR="00BF2D87" w:rsidRPr="00BF2D87">
        <w:rPr>
          <w:rFonts w:ascii="Times New Roman" w:hAnsi="Times New Roman"/>
          <w:b/>
          <w:sz w:val="22"/>
          <w:szCs w:val="22"/>
        </w:rPr>
        <w:t>č. 562/8</w:t>
      </w:r>
      <w:r w:rsidR="009838FE">
        <w:rPr>
          <w:rFonts w:ascii="Times New Roman" w:hAnsi="Times New Roman"/>
          <w:sz w:val="22"/>
          <w:szCs w:val="22"/>
        </w:rPr>
        <w:t>, zahrada, o výměře 3</w:t>
      </w:r>
      <w:r w:rsidR="00BF2D87" w:rsidRPr="00BF2D87">
        <w:rPr>
          <w:rFonts w:ascii="Times New Roman" w:hAnsi="Times New Roman"/>
          <w:sz w:val="22"/>
          <w:szCs w:val="22"/>
        </w:rPr>
        <w:t>012 m</w:t>
      </w:r>
      <w:r w:rsidR="00BF2D87" w:rsidRPr="00BF2D87">
        <w:rPr>
          <w:rFonts w:ascii="Times New Roman" w:hAnsi="Times New Roman"/>
          <w:sz w:val="22"/>
          <w:szCs w:val="22"/>
          <w:vertAlign w:val="superscript"/>
        </w:rPr>
        <w:t>2</w:t>
      </w:r>
      <w:r w:rsidR="00BF2D87" w:rsidRPr="00BF2D87">
        <w:rPr>
          <w:rFonts w:ascii="Times New Roman" w:hAnsi="Times New Roman"/>
          <w:sz w:val="22"/>
          <w:szCs w:val="22"/>
        </w:rPr>
        <w:t>,</w:t>
      </w:r>
      <w:r w:rsidR="00BF2D87" w:rsidRPr="00BF2D87">
        <w:rPr>
          <w:rFonts w:ascii="Times New Roman" w:hAnsi="Times New Roman"/>
          <w:b/>
          <w:sz w:val="22"/>
          <w:szCs w:val="22"/>
        </w:rPr>
        <w:t xml:space="preserve"> </w:t>
      </w:r>
      <w:r w:rsidRPr="00BF2D87">
        <w:rPr>
          <w:rFonts w:ascii="Times New Roman" w:hAnsi="Times New Roman"/>
          <w:sz w:val="22"/>
          <w:szCs w:val="22"/>
        </w:rPr>
        <w:t>dosud nezapsané v katastru nemovitostí.</w:t>
      </w:r>
    </w:p>
    <w:p w:rsidR="00C82993" w:rsidRPr="00BF2D87" w:rsidRDefault="00C82993" w:rsidP="00C82993">
      <w:pPr>
        <w:pStyle w:val="Odstavecseseznamem"/>
      </w:pPr>
    </w:p>
    <w:p w:rsidR="009C2CE8" w:rsidRPr="00BF2D87" w:rsidRDefault="009106AA" w:rsidP="009C2CE8">
      <w:pPr>
        <w:pStyle w:val="Normln1"/>
        <w:keepNext/>
        <w:widowControl/>
        <w:numPr>
          <w:ilvl w:val="0"/>
          <w:numId w:val="1"/>
        </w:numPr>
        <w:ind w:left="567"/>
        <w:jc w:val="both"/>
        <w:rPr>
          <w:rFonts w:ascii="Times New Roman" w:hAnsi="Times New Roman"/>
          <w:noProof/>
          <w:color w:val="000000"/>
          <w:sz w:val="22"/>
          <w:szCs w:val="22"/>
        </w:rPr>
      </w:pPr>
      <w:r w:rsidRPr="00BF2D87">
        <w:rPr>
          <w:rFonts w:ascii="Times New Roman" w:hAnsi="Times New Roman"/>
          <w:sz w:val="22"/>
          <w:szCs w:val="22"/>
        </w:rPr>
        <w:lastRenderedPageBreak/>
        <w:t xml:space="preserve">Geometrický plán tvoří jako </w:t>
      </w:r>
      <w:r w:rsidRPr="00BF2D87">
        <w:rPr>
          <w:rFonts w:ascii="Times New Roman" w:hAnsi="Times New Roman"/>
          <w:b/>
          <w:sz w:val="22"/>
          <w:szCs w:val="22"/>
        </w:rPr>
        <w:t xml:space="preserve">příloha č. 1 </w:t>
      </w:r>
      <w:r w:rsidRPr="00BF2D87">
        <w:rPr>
          <w:rFonts w:ascii="Times New Roman" w:hAnsi="Times New Roman"/>
          <w:sz w:val="22"/>
          <w:szCs w:val="22"/>
        </w:rPr>
        <w:t>nedílnou součást této smlouvy</w:t>
      </w:r>
      <w:r w:rsidRPr="00BF2D87">
        <w:rPr>
          <w:sz w:val="22"/>
          <w:szCs w:val="22"/>
        </w:rPr>
        <w:t>.</w:t>
      </w:r>
    </w:p>
    <w:p w:rsidR="009C2CE8" w:rsidRPr="00BF2D87" w:rsidRDefault="009C2CE8" w:rsidP="009C2CE8">
      <w:pPr>
        <w:pStyle w:val="Odstavecseseznamem"/>
      </w:pPr>
    </w:p>
    <w:p w:rsidR="00801033" w:rsidRPr="00BF2D87" w:rsidRDefault="00801033" w:rsidP="009C2CE8">
      <w:pPr>
        <w:pStyle w:val="Odstavecseseznamem"/>
      </w:pPr>
    </w:p>
    <w:p w:rsidR="009C2CE8" w:rsidRPr="00BF2D87" w:rsidRDefault="009C2CE8" w:rsidP="009C2CE8">
      <w:pPr>
        <w:pStyle w:val="Normln1"/>
        <w:keepNext/>
        <w:widowControl/>
        <w:numPr>
          <w:ilvl w:val="0"/>
          <w:numId w:val="1"/>
        </w:numPr>
        <w:ind w:left="567"/>
        <w:jc w:val="both"/>
        <w:rPr>
          <w:rFonts w:ascii="Times New Roman" w:hAnsi="Times New Roman"/>
          <w:noProof/>
          <w:color w:val="000000"/>
          <w:sz w:val="22"/>
          <w:szCs w:val="22"/>
        </w:rPr>
      </w:pPr>
      <w:r w:rsidRPr="00BF2D87">
        <w:rPr>
          <w:rFonts w:ascii="Times New Roman" w:hAnsi="Times New Roman"/>
          <w:sz w:val="22"/>
          <w:szCs w:val="22"/>
        </w:rPr>
        <w:t>Kupující prohlašuje, že má zájem koupit do svého výlučného vlastnictví</w:t>
      </w:r>
      <w:r w:rsidR="00BF2D87" w:rsidRPr="00BF2D87">
        <w:rPr>
          <w:rFonts w:ascii="Times New Roman" w:hAnsi="Times New Roman"/>
          <w:sz w:val="22"/>
          <w:szCs w:val="22"/>
        </w:rPr>
        <w:t xml:space="preserve"> následující nemovité věci:</w:t>
      </w:r>
    </w:p>
    <w:p w:rsidR="00BF2D87" w:rsidRPr="00BF2D87" w:rsidRDefault="00BF2D87" w:rsidP="00BF2D87">
      <w:pPr>
        <w:pStyle w:val="Normln1"/>
        <w:keepNext/>
        <w:widowControl/>
        <w:jc w:val="both"/>
        <w:rPr>
          <w:rFonts w:ascii="Times New Roman" w:hAnsi="Times New Roman"/>
          <w:noProof/>
          <w:color w:val="000000"/>
          <w:sz w:val="22"/>
          <w:szCs w:val="22"/>
        </w:rPr>
      </w:pP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564/5</w:t>
      </w:r>
      <w:r w:rsidRPr="00BF2D87">
        <w:t xml:space="preserve"> o výměře 89 m</w:t>
      </w:r>
      <w:r w:rsidRPr="00BF2D87">
        <w:rPr>
          <w:vertAlign w:val="superscript"/>
        </w:rPr>
        <w:t>2</w:t>
      </w:r>
      <w:r w:rsidRPr="00BF2D87">
        <w:t xml:space="preserve">,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548/16</w:t>
      </w:r>
      <w:r w:rsidRPr="00BF2D87">
        <w:t xml:space="preserve"> o výměře 35 m</w:t>
      </w:r>
      <w:r w:rsidRPr="00BF2D87">
        <w:rPr>
          <w:vertAlign w:val="superscript"/>
        </w:rPr>
        <w:t>2</w:t>
      </w:r>
      <w:r w:rsidRPr="00BF2D87">
        <w:t xml:space="preserve">,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561/2</w:t>
      </w:r>
      <w:r w:rsidRPr="00BF2D87">
        <w:t xml:space="preserve"> o výměře 164 m</w:t>
      </w:r>
      <w:r w:rsidRPr="00BF2D87">
        <w:rPr>
          <w:vertAlign w:val="superscript"/>
        </w:rPr>
        <w:t>2</w:t>
      </w:r>
      <w:r w:rsidRPr="00BF2D87">
        <w:t xml:space="preserve"> (na základě geometrického plánu nově oddělený pozemek),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562/8</w:t>
      </w:r>
      <w:r w:rsidRPr="00BF2D87">
        <w:t xml:space="preserve"> o výměře 3012 m</w:t>
      </w:r>
      <w:r w:rsidRPr="00BF2D87">
        <w:rPr>
          <w:vertAlign w:val="superscript"/>
        </w:rPr>
        <w:t>2</w:t>
      </w:r>
      <w:r w:rsidRPr="00BF2D87">
        <w:t xml:space="preserve">(na základě geometrického plánu nově oddělený pozemek). </w:t>
      </w:r>
    </w:p>
    <w:p w:rsidR="00097797" w:rsidRPr="00BF2D87" w:rsidRDefault="00097797" w:rsidP="00097797">
      <w:pPr>
        <w:pStyle w:val="Normln1"/>
        <w:keepNext/>
        <w:widowControl/>
        <w:ind w:left="567"/>
        <w:jc w:val="both"/>
        <w:rPr>
          <w:rFonts w:ascii="Times New Roman" w:hAnsi="Times New Roman"/>
          <w:noProof/>
          <w:color w:val="000000"/>
          <w:sz w:val="22"/>
          <w:szCs w:val="22"/>
        </w:rPr>
      </w:pPr>
    </w:p>
    <w:p w:rsidR="00BF2D87" w:rsidRPr="00BF2D87" w:rsidRDefault="00BF2D87" w:rsidP="00097797">
      <w:pPr>
        <w:pStyle w:val="Normln1"/>
        <w:keepNext/>
        <w:widowControl/>
        <w:ind w:left="567"/>
        <w:jc w:val="both"/>
        <w:rPr>
          <w:rFonts w:ascii="Times New Roman" w:hAnsi="Times New Roman"/>
          <w:noProof/>
          <w:color w:val="000000"/>
          <w:sz w:val="22"/>
          <w:szCs w:val="22"/>
        </w:rPr>
      </w:pPr>
      <w:r w:rsidRPr="00BF2D87">
        <w:rPr>
          <w:rFonts w:ascii="Times New Roman" w:hAnsi="Times New Roman"/>
          <w:noProof/>
          <w:color w:val="000000"/>
          <w:sz w:val="22"/>
          <w:szCs w:val="22"/>
        </w:rPr>
        <w:t>vše v katastru nemovitostí vedeném u Katastrálního úřadu pro hlavní město Prahu, Katastrální pracoviště Praha, v katastrálním území Satalice, obec Praha.</w:t>
      </w:r>
    </w:p>
    <w:p w:rsidR="00BF2D87" w:rsidRPr="00BF2D87" w:rsidRDefault="00BF2D87" w:rsidP="00097797">
      <w:pPr>
        <w:pStyle w:val="Normln1"/>
        <w:keepNext/>
        <w:widowControl/>
        <w:ind w:left="567"/>
        <w:jc w:val="both"/>
        <w:rPr>
          <w:rFonts w:ascii="Times New Roman" w:hAnsi="Times New Roman"/>
          <w:noProof/>
          <w:color w:val="000000"/>
          <w:sz w:val="22"/>
          <w:szCs w:val="22"/>
        </w:rPr>
      </w:pPr>
    </w:p>
    <w:p w:rsidR="00BF2D87" w:rsidRPr="00BF2D87" w:rsidRDefault="00BF2D87" w:rsidP="00097797">
      <w:pPr>
        <w:pStyle w:val="Normln1"/>
        <w:keepNext/>
        <w:widowControl/>
        <w:ind w:left="567"/>
        <w:jc w:val="both"/>
        <w:rPr>
          <w:rFonts w:ascii="Times New Roman" w:hAnsi="Times New Roman"/>
          <w:noProof/>
          <w:color w:val="000000"/>
          <w:sz w:val="22"/>
          <w:szCs w:val="22"/>
        </w:rPr>
      </w:pPr>
      <w:r w:rsidRPr="00BF2D87">
        <w:rPr>
          <w:rFonts w:ascii="Times New Roman" w:hAnsi="Times New Roman"/>
          <w:noProof/>
          <w:color w:val="000000"/>
          <w:sz w:val="22"/>
          <w:szCs w:val="22"/>
        </w:rPr>
        <w:t>(dále také jako „</w:t>
      </w:r>
      <w:r w:rsidRPr="00BF2D87">
        <w:rPr>
          <w:rFonts w:ascii="Times New Roman" w:hAnsi="Times New Roman"/>
          <w:b/>
          <w:noProof/>
          <w:color w:val="000000"/>
          <w:sz w:val="22"/>
          <w:szCs w:val="22"/>
        </w:rPr>
        <w:t>předmět převodu</w:t>
      </w:r>
      <w:r w:rsidRPr="00BF2D87">
        <w:rPr>
          <w:rFonts w:ascii="Times New Roman" w:hAnsi="Times New Roman"/>
          <w:noProof/>
          <w:color w:val="000000"/>
          <w:sz w:val="22"/>
          <w:szCs w:val="22"/>
        </w:rPr>
        <w:t>“)</w:t>
      </w:r>
    </w:p>
    <w:p w:rsidR="00BF2D87" w:rsidRPr="00BF2D87" w:rsidRDefault="00BF2D87" w:rsidP="00097797">
      <w:pPr>
        <w:pStyle w:val="Normln1"/>
        <w:keepNext/>
        <w:widowControl/>
        <w:ind w:left="567"/>
        <w:jc w:val="both"/>
        <w:rPr>
          <w:rFonts w:ascii="Times New Roman" w:hAnsi="Times New Roman"/>
          <w:noProof/>
          <w:color w:val="000000"/>
          <w:sz w:val="22"/>
          <w:szCs w:val="22"/>
        </w:rPr>
      </w:pPr>
    </w:p>
    <w:p w:rsidR="006F4917" w:rsidRPr="00BF2D87" w:rsidRDefault="006F4917" w:rsidP="00A57180">
      <w:pPr>
        <w:keepNext/>
        <w:spacing w:after="240"/>
        <w:contextualSpacing/>
        <w:jc w:val="center"/>
        <w:outlineLvl w:val="0"/>
        <w:rPr>
          <w:b/>
        </w:rPr>
      </w:pPr>
      <w:r w:rsidRPr="00BF2D87">
        <w:rPr>
          <w:b/>
        </w:rPr>
        <w:t xml:space="preserve">II. Předmět </w:t>
      </w:r>
      <w:r w:rsidR="00BF2D87">
        <w:rPr>
          <w:b/>
        </w:rPr>
        <w:t>převodu</w:t>
      </w:r>
    </w:p>
    <w:p w:rsidR="00BF2D87" w:rsidRPr="00BF2D87" w:rsidRDefault="006F4917" w:rsidP="00322287">
      <w:pPr>
        <w:pStyle w:val="Odstavecseseznamem"/>
        <w:numPr>
          <w:ilvl w:val="0"/>
          <w:numId w:val="2"/>
        </w:numPr>
        <w:ind w:left="567"/>
        <w:rPr>
          <w:rFonts w:eastAsia="Times New Roman"/>
          <w:noProof/>
          <w:color w:val="000000"/>
          <w:lang w:eastAsia="cs-CZ"/>
        </w:rPr>
      </w:pPr>
      <w:r w:rsidRPr="00BF2D87">
        <w:rPr>
          <w:rFonts w:eastAsia="Times New Roman"/>
          <w:noProof/>
          <w:color w:val="000000"/>
          <w:lang w:eastAsia="cs-CZ"/>
        </w:rPr>
        <w:t xml:space="preserve">Prodávající </w:t>
      </w:r>
      <w:r w:rsidR="00322287" w:rsidRPr="00BF2D87">
        <w:rPr>
          <w:rFonts w:eastAsia="Times New Roman"/>
          <w:noProof/>
          <w:color w:val="000000"/>
          <w:lang w:eastAsia="cs-CZ"/>
        </w:rPr>
        <w:t>na základě této smlouvy</w:t>
      </w:r>
      <w:r w:rsidRPr="00BF2D87">
        <w:rPr>
          <w:rFonts w:eastAsia="Times New Roman"/>
          <w:noProof/>
          <w:color w:val="000000"/>
          <w:lang w:eastAsia="cs-CZ"/>
        </w:rPr>
        <w:t xml:space="preserve"> </w:t>
      </w:r>
      <w:r w:rsidR="00322287" w:rsidRPr="00BF2D87">
        <w:rPr>
          <w:rFonts w:eastAsia="Times New Roman"/>
          <w:noProof/>
          <w:color w:val="000000"/>
          <w:lang w:eastAsia="cs-CZ"/>
        </w:rPr>
        <w:t>prodává</w:t>
      </w:r>
      <w:r w:rsidRPr="00BF2D87">
        <w:rPr>
          <w:rFonts w:eastAsia="Times New Roman"/>
          <w:noProof/>
          <w:color w:val="000000"/>
          <w:lang w:eastAsia="cs-CZ"/>
        </w:rPr>
        <w:t xml:space="preserve"> </w:t>
      </w:r>
      <w:r w:rsidR="00BF2D87" w:rsidRPr="00BF2D87">
        <w:rPr>
          <w:rFonts w:eastAsia="Times New Roman"/>
          <w:noProof/>
          <w:color w:val="000000"/>
          <w:lang w:eastAsia="cs-CZ"/>
        </w:rPr>
        <w:t>předmět převodu, tedy následujcí nemovité věci:</w:t>
      </w:r>
    </w:p>
    <w:p w:rsidR="00BF2D87" w:rsidRPr="00BF2D87" w:rsidRDefault="00BF2D87" w:rsidP="00BF2D87">
      <w:pPr>
        <w:pStyle w:val="Odstavecseseznamem"/>
        <w:ind w:left="567"/>
        <w:rPr>
          <w:rFonts w:eastAsia="Times New Roman"/>
          <w:noProof/>
          <w:color w:val="000000"/>
          <w:lang w:eastAsia="cs-CZ"/>
        </w:rPr>
      </w:pP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564/5</w:t>
      </w:r>
      <w:r w:rsidRPr="00BF2D87">
        <w:t xml:space="preserve"> o výměře 89 m</w:t>
      </w:r>
      <w:r w:rsidRPr="00BF2D87">
        <w:rPr>
          <w:vertAlign w:val="superscript"/>
        </w:rPr>
        <w:t>2</w:t>
      </w:r>
      <w:r w:rsidRPr="00BF2D87">
        <w:t xml:space="preserve">,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548/16</w:t>
      </w:r>
      <w:r w:rsidRPr="00BF2D87">
        <w:t xml:space="preserve"> o výměře 35 m</w:t>
      </w:r>
      <w:r w:rsidRPr="00BF2D87">
        <w:rPr>
          <w:vertAlign w:val="superscript"/>
        </w:rPr>
        <w:t>2</w:t>
      </w:r>
      <w:r w:rsidRPr="00BF2D87">
        <w:t xml:space="preserve">,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561/2</w:t>
      </w:r>
      <w:r w:rsidRPr="00BF2D87">
        <w:t xml:space="preserve"> o výměře 164 m</w:t>
      </w:r>
      <w:r w:rsidRPr="00BF2D87">
        <w:rPr>
          <w:vertAlign w:val="superscript"/>
        </w:rPr>
        <w:t>2</w:t>
      </w:r>
      <w:r w:rsidRPr="00BF2D87">
        <w:t xml:space="preserve"> (na základě geometrického plánu nově oddělený pozemek),  </w:t>
      </w:r>
    </w:p>
    <w:p w:rsidR="00BF2D87" w:rsidRPr="00BF2D87" w:rsidRDefault="00BF2D87" w:rsidP="00BF2D87">
      <w:pPr>
        <w:keepNext/>
        <w:numPr>
          <w:ilvl w:val="0"/>
          <w:numId w:val="13"/>
        </w:numPr>
        <w:spacing w:line="276" w:lineRule="auto"/>
        <w:ind w:left="1418"/>
      </w:pPr>
      <w:r w:rsidRPr="00BF2D87">
        <w:t xml:space="preserve">pozemek </w:t>
      </w:r>
      <w:proofErr w:type="spellStart"/>
      <w:r w:rsidRPr="00BF2D87">
        <w:rPr>
          <w:b/>
        </w:rPr>
        <w:t>parc</w:t>
      </w:r>
      <w:proofErr w:type="spellEnd"/>
      <w:r w:rsidRPr="00BF2D87">
        <w:rPr>
          <w:b/>
        </w:rPr>
        <w:t xml:space="preserve">. </w:t>
      </w:r>
      <w:proofErr w:type="gramStart"/>
      <w:r w:rsidRPr="00BF2D87">
        <w:rPr>
          <w:b/>
        </w:rPr>
        <w:t>č.</w:t>
      </w:r>
      <w:proofErr w:type="gramEnd"/>
      <w:r w:rsidRPr="00BF2D87">
        <w:rPr>
          <w:b/>
        </w:rPr>
        <w:t xml:space="preserve"> 562/8</w:t>
      </w:r>
      <w:r w:rsidRPr="00BF2D87">
        <w:t xml:space="preserve"> o výměře 3012 m</w:t>
      </w:r>
      <w:r w:rsidRPr="00BF2D87">
        <w:rPr>
          <w:vertAlign w:val="superscript"/>
        </w:rPr>
        <w:t>2</w:t>
      </w:r>
      <w:r w:rsidRPr="00BF2D87">
        <w:t xml:space="preserve"> (na základě geometrického plánu nově oddělený pozemek). </w:t>
      </w:r>
    </w:p>
    <w:p w:rsidR="00BF2D87" w:rsidRPr="00BF2D87" w:rsidRDefault="00BF2D87" w:rsidP="00BF2D87">
      <w:pPr>
        <w:pStyle w:val="Normln1"/>
        <w:keepNext/>
        <w:widowControl/>
        <w:ind w:left="567"/>
        <w:jc w:val="both"/>
        <w:rPr>
          <w:rFonts w:ascii="Times New Roman" w:hAnsi="Times New Roman"/>
          <w:noProof/>
          <w:color w:val="000000"/>
          <w:sz w:val="22"/>
          <w:szCs w:val="22"/>
        </w:rPr>
      </w:pPr>
    </w:p>
    <w:p w:rsidR="00BF2D87" w:rsidRPr="00BF2D87" w:rsidRDefault="00BF2D87" w:rsidP="00BF2D87">
      <w:pPr>
        <w:pStyle w:val="Odstavecseseznamem"/>
        <w:ind w:left="567"/>
        <w:rPr>
          <w:rFonts w:eastAsia="Times New Roman"/>
          <w:noProof/>
          <w:color w:val="000000"/>
          <w:lang w:eastAsia="cs-CZ"/>
        </w:rPr>
      </w:pPr>
      <w:r w:rsidRPr="00BF2D87">
        <w:rPr>
          <w:noProof/>
          <w:color w:val="000000"/>
        </w:rPr>
        <w:t>vše v katastru nemovitostí vedeném u Katastrálního úřadu pro hlavní město Prahu, Katastrální pracoviště Praha, v katastrálním území Satalice, obec Praha.</w:t>
      </w:r>
    </w:p>
    <w:p w:rsidR="00BF2D87" w:rsidRPr="00BF2D87" w:rsidRDefault="00BF2D87" w:rsidP="00BF2D87">
      <w:pPr>
        <w:pStyle w:val="Odstavecseseznamem"/>
        <w:ind w:left="567"/>
        <w:rPr>
          <w:rFonts w:eastAsia="Times New Roman"/>
          <w:noProof/>
          <w:color w:val="000000"/>
          <w:lang w:eastAsia="cs-CZ"/>
        </w:rPr>
      </w:pPr>
    </w:p>
    <w:p w:rsidR="006F4917" w:rsidRPr="00BF2D87" w:rsidRDefault="00441F03" w:rsidP="00BF2D87">
      <w:pPr>
        <w:pStyle w:val="Odstavecseseznamem"/>
        <w:ind w:left="567"/>
        <w:rPr>
          <w:rFonts w:eastAsia="Times New Roman"/>
          <w:noProof/>
          <w:color w:val="000000"/>
          <w:lang w:eastAsia="cs-CZ"/>
        </w:rPr>
      </w:pPr>
      <w:r w:rsidRPr="00BF2D87">
        <w:rPr>
          <w:noProof/>
          <w:color w:val="000000"/>
        </w:rPr>
        <w:t xml:space="preserve">a kupující </w:t>
      </w:r>
      <w:r w:rsidRPr="00BF2D87">
        <w:rPr>
          <w:rFonts w:eastAsia="Times New Roman"/>
          <w:noProof/>
          <w:color w:val="000000"/>
          <w:lang w:eastAsia="cs-CZ"/>
        </w:rPr>
        <w:t xml:space="preserve">se zavazuje, že předmět </w:t>
      </w:r>
      <w:r w:rsidR="00BF2D87" w:rsidRPr="00BF2D87">
        <w:rPr>
          <w:rFonts w:eastAsia="Times New Roman"/>
          <w:noProof/>
          <w:color w:val="000000"/>
          <w:lang w:eastAsia="cs-CZ"/>
        </w:rPr>
        <w:t>převodu</w:t>
      </w:r>
      <w:r w:rsidRPr="00BF2D87">
        <w:rPr>
          <w:rFonts w:eastAsia="Times New Roman"/>
          <w:noProof/>
          <w:color w:val="000000"/>
          <w:lang w:eastAsia="cs-CZ"/>
        </w:rPr>
        <w:t xml:space="preserve"> převezme a zaplatí prodávajícímu kupní cenu dle čl. III této smlouvy.</w:t>
      </w:r>
    </w:p>
    <w:p w:rsidR="006F4917" w:rsidRPr="00BF2D87" w:rsidRDefault="006F4917" w:rsidP="006F4917">
      <w:pPr>
        <w:pStyle w:val="Odstavecseseznamem"/>
        <w:rPr>
          <w:rFonts w:eastAsia="Times New Roman"/>
          <w:noProof/>
          <w:color w:val="000000"/>
          <w:lang w:eastAsia="cs-CZ"/>
        </w:rPr>
      </w:pPr>
    </w:p>
    <w:p w:rsidR="006F4917" w:rsidRPr="00BF2D87" w:rsidRDefault="006F4917" w:rsidP="00BF2D87">
      <w:pPr>
        <w:pStyle w:val="Odstavecseseznamem"/>
        <w:numPr>
          <w:ilvl w:val="0"/>
          <w:numId w:val="2"/>
        </w:numPr>
        <w:ind w:left="567"/>
        <w:rPr>
          <w:rFonts w:eastAsia="Times New Roman"/>
          <w:noProof/>
          <w:color w:val="000000"/>
          <w:lang w:eastAsia="cs-CZ"/>
        </w:rPr>
      </w:pPr>
      <w:r w:rsidRPr="00BF2D87">
        <w:rPr>
          <w:rFonts w:eastAsia="Times New Roman"/>
          <w:noProof/>
          <w:color w:val="000000"/>
          <w:lang w:eastAsia="cs-CZ"/>
        </w:rPr>
        <w:t xml:space="preserve">Prodávající se zavazuje, že kupujícímu odevzdá předmět </w:t>
      </w:r>
      <w:r w:rsidR="00BF2D87">
        <w:rPr>
          <w:rFonts w:eastAsia="Times New Roman"/>
          <w:noProof/>
          <w:color w:val="000000"/>
          <w:lang w:eastAsia="cs-CZ"/>
        </w:rPr>
        <w:t>převodu</w:t>
      </w:r>
      <w:r w:rsidRPr="00BF2D87">
        <w:rPr>
          <w:rFonts w:eastAsia="Times New Roman"/>
          <w:noProof/>
          <w:color w:val="000000"/>
          <w:lang w:eastAsia="cs-CZ"/>
        </w:rPr>
        <w:t xml:space="preserve"> s veškerými součástmi a příslušenstvím a s veškerými k němu příslušejícími právy a povinnostmi a umožní mu nabýt vlastnické právo k předmětu </w:t>
      </w:r>
      <w:r w:rsidR="00BF2D87">
        <w:rPr>
          <w:rFonts w:eastAsia="Times New Roman"/>
          <w:noProof/>
          <w:color w:val="000000"/>
          <w:lang w:eastAsia="cs-CZ"/>
        </w:rPr>
        <w:t>převodu</w:t>
      </w:r>
      <w:r w:rsidRPr="00BF2D87">
        <w:rPr>
          <w:rFonts w:eastAsia="Times New Roman"/>
          <w:noProof/>
          <w:color w:val="000000"/>
          <w:lang w:eastAsia="cs-CZ"/>
        </w:rPr>
        <w:t xml:space="preserve">, a kupující se zavazuje, že předmět </w:t>
      </w:r>
      <w:r w:rsidR="00BF2D87">
        <w:rPr>
          <w:rFonts w:eastAsia="Times New Roman"/>
          <w:noProof/>
          <w:color w:val="000000"/>
          <w:lang w:eastAsia="cs-CZ"/>
        </w:rPr>
        <w:t>převodu</w:t>
      </w:r>
      <w:r w:rsidRPr="00BF2D87">
        <w:rPr>
          <w:rFonts w:eastAsia="Times New Roman"/>
          <w:noProof/>
          <w:color w:val="000000"/>
          <w:lang w:eastAsia="cs-CZ"/>
        </w:rPr>
        <w:t xml:space="preserve"> převezme a zaplatí prodávajícímu kupní cenu dle čl. III této smlouvy.</w:t>
      </w:r>
    </w:p>
    <w:p w:rsidR="006F4917" w:rsidRPr="00BF2D87" w:rsidRDefault="006F4917" w:rsidP="00BF2D87">
      <w:pPr>
        <w:pStyle w:val="Odstavecseseznamem"/>
        <w:ind w:left="567"/>
        <w:rPr>
          <w:rFonts w:eastAsia="Times New Roman"/>
          <w:noProof/>
          <w:color w:val="000000"/>
          <w:lang w:eastAsia="cs-CZ"/>
        </w:rPr>
      </w:pPr>
    </w:p>
    <w:p w:rsidR="006F4917" w:rsidRPr="00BF2D87" w:rsidRDefault="006F4917" w:rsidP="00A57180">
      <w:pPr>
        <w:keepNext/>
        <w:spacing w:after="240"/>
        <w:contextualSpacing/>
        <w:jc w:val="center"/>
        <w:outlineLvl w:val="0"/>
        <w:rPr>
          <w:b/>
        </w:rPr>
      </w:pPr>
      <w:r w:rsidRPr="00BF2D87">
        <w:rPr>
          <w:b/>
        </w:rPr>
        <w:t>III. Kupní cena</w:t>
      </w:r>
    </w:p>
    <w:p w:rsidR="006F4917" w:rsidRPr="00BF2D87" w:rsidRDefault="006F4917" w:rsidP="006F4917">
      <w:pPr>
        <w:pStyle w:val="Odstavecseseznamem"/>
        <w:numPr>
          <w:ilvl w:val="0"/>
          <w:numId w:val="3"/>
        </w:numPr>
        <w:spacing w:after="240"/>
        <w:ind w:left="567"/>
      </w:pPr>
      <w:r w:rsidRPr="00BF2D87">
        <w:t xml:space="preserve">Smluvní strany se dohodly na kupní ceně za předmět </w:t>
      </w:r>
      <w:r w:rsidR="00BF2D87">
        <w:t>převodu</w:t>
      </w:r>
      <w:r w:rsidRPr="00BF2D87">
        <w:t xml:space="preserve"> ve výši </w:t>
      </w:r>
      <w:r w:rsidR="00BF2D87">
        <w:rPr>
          <w:b/>
        </w:rPr>
        <w:t>3.000</w:t>
      </w:r>
      <w:r w:rsidRPr="00BF2D87">
        <w:rPr>
          <w:b/>
        </w:rPr>
        <w:t>,- K</w:t>
      </w:r>
      <w:r w:rsidR="00BF2D87">
        <w:rPr>
          <w:b/>
        </w:rPr>
        <w:t>č za 1 m</w:t>
      </w:r>
      <w:r w:rsidR="00BF2D87" w:rsidRPr="00BF2D87">
        <w:rPr>
          <w:b/>
          <w:vertAlign w:val="superscript"/>
        </w:rPr>
        <w:t>2</w:t>
      </w:r>
      <w:r w:rsidR="00BF2D87">
        <w:rPr>
          <w:b/>
        </w:rPr>
        <w:t xml:space="preserve">, celkově tedy kupní cena činí finanční částku ve výši 9.900.000,- Kč </w:t>
      </w:r>
      <w:r w:rsidRPr="00BF2D87">
        <w:t xml:space="preserve">(slovy: </w:t>
      </w:r>
      <w:r w:rsidR="00BF2D87">
        <w:t>devět milionů devět set tisíc</w:t>
      </w:r>
      <w:r w:rsidRPr="00BF2D87">
        <w:t xml:space="preserve"> korun českých).</w:t>
      </w:r>
    </w:p>
    <w:p w:rsidR="00097797" w:rsidRPr="00BF2D87" w:rsidRDefault="00097797" w:rsidP="00097797">
      <w:pPr>
        <w:pStyle w:val="Odstavecseseznamem"/>
        <w:spacing w:after="240"/>
        <w:ind w:left="567"/>
      </w:pPr>
    </w:p>
    <w:p w:rsidR="006F4917" w:rsidRPr="00BF2D87" w:rsidRDefault="006F4917" w:rsidP="006F4917">
      <w:pPr>
        <w:pStyle w:val="Odstavecseseznamem"/>
        <w:numPr>
          <w:ilvl w:val="0"/>
          <w:numId w:val="3"/>
        </w:numPr>
        <w:ind w:left="567"/>
      </w:pPr>
      <w:r w:rsidRPr="00BF2D87">
        <w:t xml:space="preserve">Kupní cenu se zavazuje kupující zaplatit prodávajícímu nejpozději do </w:t>
      </w:r>
      <w:r w:rsidR="00BF2D87">
        <w:t>15</w:t>
      </w:r>
      <w:r w:rsidRPr="00BF2D87">
        <w:t xml:space="preserve"> dnů ode dne podpisu této smlouvy</w:t>
      </w:r>
      <w:r w:rsidR="00BF2D87">
        <w:t xml:space="preserve">, a to </w:t>
      </w:r>
      <w:r w:rsidR="00BF2D87" w:rsidRPr="00DC76C7">
        <w:t xml:space="preserve">na účet </w:t>
      </w:r>
      <w:r w:rsidR="00BF2D87">
        <w:t xml:space="preserve">advokátní </w:t>
      </w:r>
      <w:r w:rsidR="00BF2D87" w:rsidRPr="00DC76C7">
        <w:t>úschovy Mgr. Karla Fischera</w:t>
      </w:r>
      <w:r w:rsidR="00BF2D87">
        <w:t>, advokáta</w:t>
      </w:r>
      <w:r w:rsidR="00BF2D87" w:rsidRPr="00DC76C7">
        <w:t>, ev. č. ČAK 09852</w:t>
      </w:r>
      <w:r w:rsidR="00BF2D87">
        <w:t>, se sídlem Kaprova 42/14,</w:t>
      </w:r>
      <w:r w:rsidR="00BF2D87" w:rsidRPr="00DC76C7">
        <w:t xml:space="preserve"> 11000 Praha 1</w:t>
      </w:r>
      <w:r w:rsidR="00BF2D87">
        <w:t xml:space="preserve"> (dále jen „advokát“)</w:t>
      </w:r>
      <w:r w:rsidR="00BF2D87" w:rsidRPr="00DC76C7">
        <w:t xml:space="preserve">, a to </w:t>
      </w:r>
      <w:r w:rsidR="00BF2D87">
        <w:t>v souladu se smlouvou</w:t>
      </w:r>
      <w:r w:rsidR="00BF2D87" w:rsidRPr="00DC76C7">
        <w:t xml:space="preserve"> o advokátní úschově, která </w:t>
      </w:r>
      <w:r w:rsidR="00BF2D87">
        <w:t>je</w:t>
      </w:r>
      <w:r w:rsidR="00BF2D87" w:rsidRPr="00DC76C7">
        <w:t xml:space="preserve"> za tímto účelem </w:t>
      </w:r>
      <w:r w:rsidR="00BF2D87">
        <w:t>uzavírána současně s touto smlouvou</w:t>
      </w:r>
      <w:r w:rsidRPr="00BF2D87">
        <w:t>.</w:t>
      </w:r>
      <w:r w:rsidR="00BF2D87">
        <w:t xml:space="preserve"> Podmínky výplaty kupní ceny stanovuje smlouva o advokátní úschově.</w:t>
      </w:r>
      <w:r w:rsidR="0050130D" w:rsidRPr="0050130D">
        <w:t xml:space="preserve"> </w:t>
      </w:r>
      <w:r w:rsidR="0050130D">
        <w:t>Povinnost zaplatit kupní cenu je splněna až výplatou peněz z úschovy a připsáním kupní ceny na účet prodávajícího.</w:t>
      </w:r>
    </w:p>
    <w:p w:rsidR="00097797" w:rsidRPr="00BF2D87" w:rsidRDefault="00097797" w:rsidP="00097797">
      <w:pPr>
        <w:pStyle w:val="Odstavecseseznamem"/>
        <w:ind w:left="567"/>
      </w:pPr>
    </w:p>
    <w:p w:rsidR="006F4917" w:rsidRPr="00BF2D87" w:rsidRDefault="006F4917" w:rsidP="006F4917">
      <w:pPr>
        <w:pStyle w:val="Odstavecseseznamem"/>
        <w:keepNext/>
        <w:spacing w:after="240"/>
        <w:ind w:left="1983" w:firstLine="141"/>
        <w:jc w:val="center"/>
        <w:outlineLvl w:val="0"/>
        <w:rPr>
          <w:b/>
        </w:rPr>
      </w:pPr>
    </w:p>
    <w:p w:rsidR="006F4917" w:rsidRPr="00BF2D87" w:rsidRDefault="006F4917" w:rsidP="006F4917">
      <w:pPr>
        <w:pStyle w:val="Odstavecseseznamem"/>
        <w:keepNext/>
        <w:spacing w:after="240"/>
        <w:ind w:left="1983" w:firstLine="141"/>
        <w:jc w:val="center"/>
        <w:outlineLvl w:val="0"/>
        <w:rPr>
          <w:b/>
        </w:rPr>
      </w:pPr>
    </w:p>
    <w:p w:rsidR="006F4917" w:rsidRPr="00BF2D87" w:rsidRDefault="006F4917" w:rsidP="00A57180">
      <w:pPr>
        <w:pStyle w:val="Odstavecseseznamem"/>
        <w:keepNext/>
        <w:spacing w:after="240"/>
        <w:ind w:left="0" w:firstLine="141"/>
        <w:jc w:val="center"/>
        <w:outlineLvl w:val="0"/>
        <w:rPr>
          <w:b/>
        </w:rPr>
      </w:pPr>
      <w:r w:rsidRPr="00BF2D87">
        <w:rPr>
          <w:b/>
        </w:rPr>
        <w:t>IV. Vklad práva do katastru nemovitostí</w:t>
      </w:r>
    </w:p>
    <w:p w:rsidR="006F4917" w:rsidRPr="00BF2D87" w:rsidRDefault="006F4917" w:rsidP="006F4917">
      <w:pPr>
        <w:pStyle w:val="Odstavecseseznamem"/>
        <w:keepNext/>
        <w:spacing w:after="240"/>
        <w:ind w:left="1983" w:firstLine="141"/>
        <w:jc w:val="center"/>
        <w:outlineLvl w:val="0"/>
        <w:rPr>
          <w:b/>
        </w:rPr>
      </w:pPr>
    </w:p>
    <w:p w:rsidR="006F4917" w:rsidRPr="00BF2D87" w:rsidRDefault="006F4917" w:rsidP="006F4917">
      <w:pPr>
        <w:pStyle w:val="Odstavecseseznamem"/>
        <w:numPr>
          <w:ilvl w:val="0"/>
          <w:numId w:val="4"/>
        </w:numPr>
        <w:spacing w:after="240"/>
        <w:ind w:left="567"/>
      </w:pPr>
      <w:r w:rsidRPr="00BF2D87">
        <w:t xml:space="preserve">Prodávající a kupující se zavazují, že spolu s podpisem této smlouvy, podepíší ve dvou vyhotoveních návrh na vklad vlastnického práva k předmětu </w:t>
      </w:r>
      <w:r w:rsidR="00BF2D87">
        <w:t>převodu</w:t>
      </w:r>
      <w:r w:rsidRPr="00BF2D87">
        <w:t xml:space="preserve"> ve prospěch kupujícího do katastru nemovitostí (dále jen „</w:t>
      </w:r>
      <w:r w:rsidRPr="00BF2D87">
        <w:rPr>
          <w:b/>
        </w:rPr>
        <w:t>návrh na vklad</w:t>
      </w:r>
      <w:r w:rsidRPr="00BF2D87">
        <w:t>“). Prodávající se zavazuje, že podá návrh na vklad</w:t>
      </w:r>
      <w:r w:rsidR="006D1C6F">
        <w:t xml:space="preserve"> společně s jedním vyhotovením této smlouvy</w:t>
      </w:r>
      <w:r w:rsidRPr="00BF2D87">
        <w:t xml:space="preserve"> příslušnému katastrálnímu úřadu nejpozději do 5 pracovních dnů </w:t>
      </w:r>
      <w:r w:rsidR="00BF2D87">
        <w:t>poté, co</w:t>
      </w:r>
      <w:r w:rsidR="006D1C6F">
        <w:t xml:space="preserve"> mu bude ze strany advokáta doručeno</w:t>
      </w:r>
      <w:r w:rsidR="00A57180">
        <w:t xml:space="preserve"> na e-mailovou adresu uvedenou v záhlaví této smlouvy</w:t>
      </w:r>
      <w:r w:rsidR="006D1C6F">
        <w:t xml:space="preserve"> oznámení o složení celé výše kupní ceny na účet advokátní úschovy v souladu s touto smlouvou a v souladu se smlouvou o advokátní úschově.</w:t>
      </w:r>
      <w:r w:rsidR="00BF2D87">
        <w:t xml:space="preserve"> </w:t>
      </w:r>
    </w:p>
    <w:p w:rsidR="006F4917" w:rsidRPr="00BF2D87" w:rsidRDefault="006F4917" w:rsidP="006F4917">
      <w:pPr>
        <w:pStyle w:val="Odstavecseseznamem"/>
        <w:numPr>
          <w:ilvl w:val="0"/>
          <w:numId w:val="4"/>
        </w:numPr>
        <w:ind w:left="567"/>
      </w:pPr>
      <w:r w:rsidRPr="00BF2D87">
        <w:t xml:space="preserve">Vlastnické právo k předmětu </w:t>
      </w:r>
      <w:r w:rsidR="00BF2D87">
        <w:t>převodu</w:t>
      </w:r>
      <w:r w:rsidRPr="00BF2D87">
        <w:t xml:space="preserve"> nabude kupující vkladem vlastnického práva k předmětu </w:t>
      </w:r>
      <w:r w:rsidR="00BF2D87">
        <w:t>převodu</w:t>
      </w:r>
      <w:r w:rsidRPr="00BF2D87">
        <w:t xml:space="preserve"> do katastru nemovitostí, a to s účinností ke dni podání návrhu na vklad katastrálnímu úřadu.</w:t>
      </w:r>
    </w:p>
    <w:p w:rsidR="006F4917" w:rsidRPr="00BF2D87" w:rsidRDefault="006F4917" w:rsidP="006F4917">
      <w:pPr>
        <w:pStyle w:val="Odstavecseseznamem"/>
        <w:numPr>
          <w:ilvl w:val="0"/>
          <w:numId w:val="4"/>
        </w:numPr>
        <w:ind w:left="567"/>
      </w:pPr>
      <w:r w:rsidRPr="00BF2D87">
        <w:t>Poplatek spo</w:t>
      </w:r>
      <w:r w:rsidR="006D1C6F">
        <w:t xml:space="preserve">jený s podáním návrhu na vklad </w:t>
      </w:r>
      <w:r w:rsidRPr="00BF2D87">
        <w:t xml:space="preserve">hradí </w:t>
      </w:r>
      <w:r w:rsidR="009838FE">
        <w:t>prodávající</w:t>
      </w:r>
      <w:r w:rsidRPr="00BF2D87">
        <w:t>.</w:t>
      </w:r>
    </w:p>
    <w:p w:rsidR="006F4917" w:rsidRPr="00BF2D87" w:rsidRDefault="006F4917" w:rsidP="006F4917">
      <w:pPr>
        <w:pStyle w:val="Odstavecseseznamem"/>
        <w:numPr>
          <w:ilvl w:val="0"/>
          <w:numId w:val="4"/>
        </w:numPr>
        <w:ind w:left="567"/>
      </w:pPr>
      <w:r w:rsidRPr="00BF2D87">
        <w:t xml:space="preserve">Pokud příslušný katastrální úřad zastaví řízení o povolení vkladu vlastnického práva kupujícího k předmětu </w:t>
      </w:r>
      <w:r w:rsidR="00BF2D87">
        <w:t>převodu</w:t>
      </w:r>
      <w:r w:rsidRPr="00BF2D87">
        <w:t xml:space="preserve"> do katastru nemovitostí nebo vyzve k odstranění nedostatků, poskytnou si smluvní strany vzájemně nezbytnou součinnost za účelem co možná nejrychlejšího odstranění všech překážek či odstranění všech nesrovnalostí v této smlouvě a/nebo návrhu na vklad vlastnického práva v co nejkratší době, aby mohl katastrální úřad povolit vklad vlastnického práva do katastru nemovitostí v co nejkratší době. </w:t>
      </w:r>
    </w:p>
    <w:p w:rsidR="006F4917" w:rsidRPr="00BF2D87" w:rsidRDefault="006F4917" w:rsidP="006F4917">
      <w:pPr>
        <w:pStyle w:val="Odstavecseseznamem"/>
        <w:numPr>
          <w:ilvl w:val="0"/>
          <w:numId w:val="4"/>
        </w:numPr>
        <w:ind w:left="567"/>
      </w:pPr>
      <w:r w:rsidRPr="00BF2D87">
        <w:t>Bude-li návrh na vklad zamítnut na základě pravomocného rozhodnutí, z důvodu právních nedostatků této smlouvy zjištěných v průběhu kontrolních činností v rámci schvalovacího procesu v </w:t>
      </w:r>
      <w:proofErr w:type="gramStart"/>
      <w:r w:rsidRPr="00BF2D87">
        <w:t>souvislosti s vkladem</w:t>
      </w:r>
      <w:proofErr w:type="gramEnd"/>
      <w:r w:rsidRPr="00BF2D87">
        <w:t xml:space="preserve"> vlastnického práva podle zákona č. 256/2013 Sb., o katastru nemovitostí (katastrální zákon), ve znění pozdějších předpisů, zavazují se Smluvní strany uzavřít novou kupní smlouvu o převodu vlastnického práva k předmětu </w:t>
      </w:r>
      <w:r w:rsidR="00BF2D87">
        <w:t>převodu</w:t>
      </w:r>
      <w:r w:rsidRPr="00BF2D87">
        <w:t xml:space="preserve"> kupujícímu, za níže uvedených podmínek (dále jen „</w:t>
      </w:r>
      <w:r w:rsidRPr="00BF2D87">
        <w:rPr>
          <w:b/>
        </w:rPr>
        <w:t>nová smlouva</w:t>
      </w:r>
      <w:r w:rsidRPr="00BF2D87">
        <w:t>“). Znění nové smlouvy bude plně v souladu se zněním této smlouvy, s výjimkou ustanovení, v nichž byly zjištěny právní nedostatky. Ustanovení obsahující právní nedostatky musejí být nahrazena novými ustanoveními v dobré víře tak, aby došlo k odstranění daných právních nedostatků, přičemž obsah a význam těchto ustanovení musí zůstat beze změn. Každá smluvní strana je oprávněna vyzvat druhou smluvní stranu k uzavření nové smlouvy předložením upraveného návrhu nové smlouvy do patnácti (15) kalendářních dnů ode dne, kdy rozhodnutí katastrálního úřadu o zamítnutí vkladu vlastnického práva nabude právní moci. Vyzvaná smluvní strana musí uzavřít novou smlouvu nejpozději do patnácti (15) kalendářních dnů od doručení žádosti.</w:t>
      </w:r>
    </w:p>
    <w:p w:rsidR="006F4917" w:rsidRPr="00BF2D87" w:rsidRDefault="006F4917" w:rsidP="006F4917"/>
    <w:p w:rsidR="00F95FC3" w:rsidRPr="00BF2D87" w:rsidRDefault="00F95FC3" w:rsidP="00F95FC3">
      <w:pPr>
        <w:jc w:val="center"/>
        <w:rPr>
          <w:b/>
        </w:rPr>
      </w:pPr>
      <w:r>
        <w:rPr>
          <w:b/>
        </w:rPr>
        <w:t>V</w:t>
      </w:r>
      <w:r w:rsidRPr="00BF2D87">
        <w:rPr>
          <w:b/>
        </w:rPr>
        <w:t xml:space="preserve">. </w:t>
      </w:r>
      <w:r>
        <w:rPr>
          <w:b/>
        </w:rPr>
        <w:t xml:space="preserve">Prohlášení prodávajícího, </w:t>
      </w:r>
      <w:r w:rsidRPr="00BF2D87">
        <w:rPr>
          <w:b/>
        </w:rPr>
        <w:t>Daň z nabytí nemovitých věcí.</w:t>
      </w:r>
    </w:p>
    <w:p w:rsidR="00801033" w:rsidRPr="00BF2D87" w:rsidRDefault="00801033" w:rsidP="00A57180">
      <w:pPr>
        <w:jc w:val="center"/>
        <w:rPr>
          <w:b/>
        </w:rPr>
      </w:pPr>
    </w:p>
    <w:p w:rsidR="00F95FC3" w:rsidRDefault="00F95FC3" w:rsidP="00F95FC3">
      <w:pPr>
        <w:pStyle w:val="Odstavecseseznamem"/>
        <w:numPr>
          <w:ilvl w:val="0"/>
          <w:numId w:val="9"/>
        </w:numPr>
        <w:ind w:left="567"/>
      </w:pPr>
      <w:r w:rsidRPr="0083649A">
        <w:t xml:space="preserve">Prodávající prohlašuje, že: </w:t>
      </w:r>
    </w:p>
    <w:p w:rsidR="00F95FC3" w:rsidRPr="0083649A" w:rsidRDefault="00F95FC3" w:rsidP="00F95FC3">
      <w:pPr>
        <w:pStyle w:val="Odstavecseseznamem"/>
        <w:ind w:left="567"/>
      </w:pPr>
    </w:p>
    <w:p w:rsidR="00F95FC3" w:rsidRPr="0083649A" w:rsidRDefault="00F95FC3" w:rsidP="00F95FC3">
      <w:pPr>
        <w:pStyle w:val="Zkladntext21"/>
        <w:numPr>
          <w:ilvl w:val="0"/>
          <w:numId w:val="14"/>
        </w:numPr>
        <w:rPr>
          <w:rFonts w:eastAsiaTheme="minorHAnsi"/>
          <w:sz w:val="22"/>
          <w:szCs w:val="22"/>
          <w:lang w:eastAsia="en-US"/>
        </w:rPr>
      </w:pPr>
      <w:proofErr w:type="gramStart"/>
      <w:r w:rsidRPr="0083649A">
        <w:rPr>
          <w:rFonts w:eastAsiaTheme="minorHAnsi"/>
          <w:sz w:val="22"/>
          <w:szCs w:val="22"/>
          <w:lang w:eastAsia="en-US"/>
        </w:rPr>
        <w:t>mu</w:t>
      </w:r>
      <w:proofErr w:type="gramEnd"/>
      <w:r w:rsidRPr="0083649A">
        <w:rPr>
          <w:rFonts w:eastAsiaTheme="minorHAnsi"/>
          <w:sz w:val="22"/>
          <w:szCs w:val="22"/>
          <w:lang w:eastAsia="en-US"/>
        </w:rPr>
        <w:t xml:space="preserve"> nejsou známy žádné právní vady předmětu převodu;</w:t>
      </w:r>
    </w:p>
    <w:p w:rsidR="00F95FC3" w:rsidRPr="0083649A" w:rsidRDefault="00F95FC3" w:rsidP="00F95FC3">
      <w:pPr>
        <w:pStyle w:val="Zkladntext21"/>
        <w:numPr>
          <w:ilvl w:val="0"/>
          <w:numId w:val="14"/>
        </w:numPr>
        <w:rPr>
          <w:rFonts w:eastAsiaTheme="minorHAnsi"/>
          <w:sz w:val="22"/>
          <w:szCs w:val="22"/>
          <w:lang w:eastAsia="en-US"/>
        </w:rPr>
      </w:pPr>
      <w:r w:rsidRPr="0083649A">
        <w:rPr>
          <w:rFonts w:eastAsiaTheme="minorHAnsi"/>
          <w:sz w:val="22"/>
          <w:szCs w:val="22"/>
          <w:lang w:eastAsia="en-US"/>
        </w:rPr>
        <w:t>na předmětu převodu neváznou ke dni podpisu této smlouvy žádná zástavní práva, reálná břemena, služebnosti, předkupní práva, práva nájmu, ani jiná práva třetích osob, která by bránila či omezovala výkon vlastnického práva k předmětu převodu vyjma práv, která by byla výslovně uvedena v této smlouvě;</w:t>
      </w:r>
    </w:p>
    <w:p w:rsidR="00F95FC3" w:rsidRPr="0083649A" w:rsidRDefault="00F95FC3" w:rsidP="00F95FC3">
      <w:pPr>
        <w:pStyle w:val="Zkladntext"/>
        <w:numPr>
          <w:ilvl w:val="0"/>
          <w:numId w:val="14"/>
        </w:numPr>
        <w:rPr>
          <w:rFonts w:eastAsiaTheme="minorHAnsi"/>
          <w:i w:val="0"/>
          <w:sz w:val="22"/>
          <w:szCs w:val="22"/>
          <w:lang w:eastAsia="en-US"/>
        </w:rPr>
      </w:pPr>
      <w:r w:rsidRPr="0083649A">
        <w:rPr>
          <w:rFonts w:eastAsiaTheme="minorHAnsi"/>
          <w:i w:val="0"/>
          <w:sz w:val="22"/>
          <w:szCs w:val="22"/>
          <w:lang w:eastAsia="en-US"/>
        </w:rPr>
        <w:t>ve věci právně související s předmětem převodu není vedeno soudní ani jiné řízení, které by dispozici s předmětem převodu jakkoli ovlivňovalo či omezovalo, popřípadě soudní ani jiné řízení, které by se předmětu převodu jakkoli právně dotýkalo;</w:t>
      </w:r>
    </w:p>
    <w:p w:rsidR="00F95FC3" w:rsidRPr="0083649A" w:rsidRDefault="00F95FC3" w:rsidP="00F95FC3">
      <w:pPr>
        <w:pStyle w:val="Zkladntext"/>
        <w:numPr>
          <w:ilvl w:val="0"/>
          <w:numId w:val="14"/>
        </w:numPr>
        <w:rPr>
          <w:rFonts w:eastAsiaTheme="minorHAnsi"/>
          <w:i w:val="0"/>
          <w:sz w:val="22"/>
          <w:szCs w:val="22"/>
          <w:lang w:eastAsia="en-US"/>
        </w:rPr>
      </w:pPr>
      <w:proofErr w:type="gramStart"/>
      <w:r w:rsidRPr="0083649A">
        <w:rPr>
          <w:rFonts w:eastAsiaTheme="minorHAnsi"/>
          <w:i w:val="0"/>
          <w:sz w:val="22"/>
          <w:szCs w:val="22"/>
          <w:lang w:eastAsia="en-US"/>
        </w:rPr>
        <w:t>mu</w:t>
      </w:r>
      <w:proofErr w:type="gramEnd"/>
      <w:r w:rsidRPr="0083649A">
        <w:rPr>
          <w:rFonts w:eastAsiaTheme="minorHAnsi"/>
          <w:i w:val="0"/>
          <w:sz w:val="22"/>
          <w:szCs w:val="22"/>
          <w:lang w:eastAsia="en-US"/>
        </w:rPr>
        <w:t xml:space="preserve"> nejsou známy žádné podstatné věcné vady předmětu převodu;</w:t>
      </w:r>
    </w:p>
    <w:p w:rsidR="00F95FC3" w:rsidRPr="0083649A" w:rsidRDefault="00F95FC3" w:rsidP="00F95FC3">
      <w:pPr>
        <w:pStyle w:val="Normln0"/>
        <w:numPr>
          <w:ilvl w:val="0"/>
          <w:numId w:val="14"/>
        </w:numPr>
        <w:jc w:val="both"/>
        <w:rPr>
          <w:rFonts w:eastAsiaTheme="minorHAnsi"/>
          <w:sz w:val="22"/>
          <w:szCs w:val="22"/>
          <w:lang w:eastAsia="en-US"/>
        </w:rPr>
      </w:pPr>
      <w:r w:rsidRPr="0083649A">
        <w:rPr>
          <w:rFonts w:eastAsiaTheme="minorHAnsi"/>
          <w:sz w:val="22"/>
          <w:szCs w:val="22"/>
          <w:lang w:eastAsia="en-US"/>
        </w:rPr>
        <w:t>není proti němu vedeno insolvenční řízení ani se nenachází v takové situaci, kdy by tato skutečnost hrozila;</w:t>
      </w:r>
    </w:p>
    <w:p w:rsidR="00F95FC3" w:rsidRPr="0083649A" w:rsidRDefault="00F95FC3" w:rsidP="00F95FC3">
      <w:pPr>
        <w:pStyle w:val="Zkladntextodsazen21"/>
        <w:numPr>
          <w:ilvl w:val="0"/>
          <w:numId w:val="14"/>
        </w:numPr>
        <w:rPr>
          <w:rFonts w:eastAsiaTheme="minorHAnsi"/>
          <w:sz w:val="22"/>
          <w:szCs w:val="22"/>
          <w:lang w:eastAsia="en-US"/>
        </w:rPr>
      </w:pPr>
      <w:r w:rsidRPr="0083649A">
        <w:rPr>
          <w:rFonts w:eastAsiaTheme="minorHAnsi"/>
          <w:sz w:val="22"/>
          <w:szCs w:val="22"/>
          <w:lang w:eastAsia="en-US"/>
        </w:rPr>
        <w:t>nebyl</w:t>
      </w:r>
      <w:r>
        <w:rPr>
          <w:rFonts w:eastAsiaTheme="minorHAnsi"/>
          <w:sz w:val="22"/>
          <w:szCs w:val="22"/>
          <w:lang w:eastAsia="en-US"/>
        </w:rPr>
        <w:t>a k vymožení pohledávky za ní</w:t>
      </w:r>
      <w:r w:rsidRPr="0083649A">
        <w:rPr>
          <w:rFonts w:eastAsiaTheme="minorHAnsi"/>
          <w:sz w:val="22"/>
          <w:szCs w:val="22"/>
          <w:lang w:eastAsia="en-US"/>
        </w:rPr>
        <w:t xml:space="preserve">m nařízena exekuce, či soudní výkon rozhodnutí, ani se nenachází v takové situaci, kdy by takováto skutečnost hrozila; </w:t>
      </w:r>
    </w:p>
    <w:p w:rsidR="00F95FC3" w:rsidRPr="0083649A" w:rsidRDefault="00F95FC3" w:rsidP="00F95FC3">
      <w:pPr>
        <w:pStyle w:val="BodyTextIndent21"/>
        <w:numPr>
          <w:ilvl w:val="0"/>
          <w:numId w:val="14"/>
        </w:numPr>
        <w:ind w:left="1066" w:hanging="357"/>
        <w:rPr>
          <w:rFonts w:eastAsiaTheme="minorHAnsi"/>
          <w:sz w:val="22"/>
          <w:szCs w:val="22"/>
          <w:lang w:eastAsia="en-US"/>
        </w:rPr>
      </w:pPr>
      <w:r w:rsidRPr="0083649A">
        <w:rPr>
          <w:rFonts w:eastAsiaTheme="minorHAnsi"/>
          <w:sz w:val="22"/>
          <w:szCs w:val="22"/>
          <w:lang w:eastAsia="en-US"/>
        </w:rPr>
        <w:t xml:space="preserve">není v prodlení s plněním svých daňových povinností ani jiných veřejných odvodů. </w:t>
      </w:r>
    </w:p>
    <w:p w:rsidR="00F95FC3" w:rsidRPr="0083649A" w:rsidRDefault="00F95FC3" w:rsidP="00F95FC3">
      <w:pPr>
        <w:pStyle w:val="BodyTextIndent21"/>
        <w:ind w:left="1066" w:firstLine="0"/>
        <w:rPr>
          <w:rFonts w:eastAsiaTheme="minorHAnsi"/>
          <w:sz w:val="22"/>
          <w:szCs w:val="22"/>
          <w:lang w:eastAsia="en-US"/>
        </w:rPr>
      </w:pPr>
    </w:p>
    <w:p w:rsidR="00F95FC3" w:rsidRPr="00816B60" w:rsidRDefault="00F95FC3" w:rsidP="00F95FC3">
      <w:pPr>
        <w:pStyle w:val="Odstavecseseznamem"/>
        <w:numPr>
          <w:ilvl w:val="0"/>
          <w:numId w:val="9"/>
        </w:numPr>
        <w:ind w:left="567"/>
      </w:pPr>
      <w:r w:rsidRPr="00816B60">
        <w:lastRenderedPageBreak/>
        <w:t>Prodávající se zavazuje, že od uzavření této smlouvy do provedení vkladu vlastnického práva dle této smlouvy do katastru nemovitostí neuzavře jakékoliv smlouvy, jimiž by předmět převodu zcizoval, zatěžoval nebo omezoval jeho užívání, neprovede stavební úpravy bez písemného souhlasu kupující</w:t>
      </w:r>
      <w:r>
        <w:t>ho</w:t>
      </w:r>
      <w:r w:rsidRPr="00816B60">
        <w:t xml:space="preserve"> a neučiní nic, čím by zhoršoval stav předmětu převodu. </w:t>
      </w:r>
    </w:p>
    <w:p w:rsidR="00F95FC3" w:rsidRPr="00542416" w:rsidRDefault="00F95FC3" w:rsidP="00F95FC3">
      <w:pPr>
        <w:pStyle w:val="Odstavecseseznamem"/>
        <w:numPr>
          <w:ilvl w:val="0"/>
          <w:numId w:val="9"/>
        </w:numPr>
        <w:ind w:left="567"/>
      </w:pPr>
      <w:r w:rsidRPr="007524E1">
        <w:t xml:space="preserve">Prodávající se zavazuje zajistit, aby prohlášení a ujištění uvedená v tomto článku smlouvy byla platná, pravdivá a úplná nejméně do doby vkladu vlastnického práva k předmětu převodu do katastru nemovitostí ve prospěch kupujícího. </w:t>
      </w:r>
    </w:p>
    <w:p w:rsidR="00F95FC3" w:rsidRPr="0083649A" w:rsidRDefault="00F95FC3" w:rsidP="00F95FC3">
      <w:pPr>
        <w:pStyle w:val="Odstavecseseznamem"/>
        <w:numPr>
          <w:ilvl w:val="0"/>
          <w:numId w:val="9"/>
        </w:numPr>
        <w:ind w:left="567"/>
      </w:pPr>
      <w:r w:rsidRPr="00542416">
        <w:t xml:space="preserve">V případě, že se některé tvrzení </w:t>
      </w:r>
      <w:r>
        <w:t xml:space="preserve">prodávajícího </w:t>
      </w:r>
      <w:r w:rsidRPr="00542416">
        <w:t>uvedené v</w:t>
      </w:r>
      <w:r>
        <w:t> tomto článku</w:t>
      </w:r>
      <w:r w:rsidRPr="00542416">
        <w:t xml:space="preserve"> této smlouvy ukáže jako nepravdivé v podstatném ohledu a přes písemnou výzvu </w:t>
      </w:r>
      <w:r>
        <w:t>kupujícího</w:t>
      </w:r>
      <w:r w:rsidRPr="00542416">
        <w:t xml:space="preserve"> nebude odstraněn závadný stav ani ve lhůtě třiceti (30) dnů, je takovéto porušení smluvní povinnosti důvodem pro odstoupení od této smlouvy ze strany </w:t>
      </w:r>
      <w:r>
        <w:t>kupujícího</w:t>
      </w:r>
      <w:r w:rsidRPr="00542416">
        <w:t xml:space="preserve"> s právními účinky k okamžiku doručení písemného oznámení o odstoupení </w:t>
      </w:r>
      <w:r>
        <w:t>prodávajícímu.</w:t>
      </w:r>
    </w:p>
    <w:p w:rsidR="006F4917" w:rsidRPr="00BF2D87" w:rsidRDefault="00F95FC3" w:rsidP="00F95FC3">
      <w:pPr>
        <w:pStyle w:val="Odstavecseseznamem"/>
        <w:numPr>
          <w:ilvl w:val="0"/>
          <w:numId w:val="9"/>
        </w:numPr>
        <w:ind w:left="567"/>
        <w:rPr>
          <w:b/>
        </w:rPr>
      </w:pPr>
      <w:r w:rsidRPr="00BF2D87">
        <w:t xml:space="preserve">V souladu s příslušným ustanovením zákonného opatření senátu č. 340/2013 Sb., o dani z nabytí nemovitých věcí, </w:t>
      </w:r>
      <w:r>
        <w:t>smluvní strany konstatují, že poplatníkem k dani z nabytí nemovitých věcí je kupující</w:t>
      </w:r>
      <w:r w:rsidRPr="0083649A">
        <w:t>.</w:t>
      </w:r>
    </w:p>
    <w:p w:rsidR="00097797" w:rsidRPr="00BF2D87" w:rsidRDefault="00097797" w:rsidP="00097797">
      <w:pPr>
        <w:pStyle w:val="Odstavecseseznamem"/>
        <w:ind w:left="567"/>
        <w:rPr>
          <w:b/>
        </w:rPr>
      </w:pPr>
    </w:p>
    <w:p w:rsidR="006F4917" w:rsidRPr="00BF2D87" w:rsidRDefault="006D1C6F" w:rsidP="00A57180">
      <w:pPr>
        <w:keepNext/>
        <w:spacing w:after="240"/>
        <w:contextualSpacing/>
        <w:jc w:val="center"/>
        <w:outlineLvl w:val="0"/>
        <w:rPr>
          <w:b/>
        </w:rPr>
      </w:pPr>
      <w:r>
        <w:rPr>
          <w:b/>
        </w:rPr>
        <w:t>V</w:t>
      </w:r>
      <w:r w:rsidR="006F4917" w:rsidRPr="00BF2D87">
        <w:rPr>
          <w:b/>
        </w:rPr>
        <w:t>I. Závěrečná ustanovení</w:t>
      </w:r>
    </w:p>
    <w:p w:rsidR="006F4917" w:rsidRPr="00BF2D87" w:rsidRDefault="006F4917" w:rsidP="006F4917">
      <w:pPr>
        <w:pStyle w:val="Odstavecseseznamem"/>
        <w:numPr>
          <w:ilvl w:val="0"/>
          <w:numId w:val="6"/>
        </w:numPr>
        <w:spacing w:after="240"/>
        <w:ind w:left="567"/>
      </w:pPr>
      <w:r w:rsidRPr="00BF2D87">
        <w:t xml:space="preserve">Smluvní strany se zavazují bez zbytečného odkladu vyrozumět druhou smluvní stranu o všech okolnostech nebo změnách, majících vliv na tuto smlouvu. </w:t>
      </w:r>
    </w:p>
    <w:p w:rsidR="006F4917" w:rsidRPr="00BF2D87" w:rsidRDefault="006F4917" w:rsidP="006F4917">
      <w:pPr>
        <w:pStyle w:val="Odstavecseseznamem"/>
        <w:numPr>
          <w:ilvl w:val="0"/>
          <w:numId w:val="6"/>
        </w:numPr>
        <w:ind w:left="567"/>
      </w:pPr>
      <w:r w:rsidRPr="00BF2D87">
        <w:t>Všechny změny nebo doplňky této smlouvy mohou být učiněny pouze formou písemných očíslovaných dodatků, podepsaných oběma smluvními stranami.</w:t>
      </w:r>
    </w:p>
    <w:p w:rsidR="006F4917" w:rsidRPr="00BF2D87" w:rsidRDefault="006F4917" w:rsidP="006F4917">
      <w:pPr>
        <w:pStyle w:val="Odstavecseseznamem"/>
        <w:numPr>
          <w:ilvl w:val="0"/>
          <w:numId w:val="6"/>
        </w:numPr>
        <w:ind w:left="567"/>
      </w:pPr>
      <w:r w:rsidRPr="00BF2D87">
        <w:t>Tato smlouva se uzavírá ve třech vyhotoveních. Každá smluvní strana obdrží po jednom vyhotovení, jedno vyhotovení smlouvy bude přiloženo k návrhu na vklad vlastnického práva do katastru nemovitostí.</w:t>
      </w:r>
    </w:p>
    <w:p w:rsidR="006F4917" w:rsidRPr="00BF2D87" w:rsidRDefault="006F4917" w:rsidP="006F4917">
      <w:pPr>
        <w:pStyle w:val="Odstavecseseznamem"/>
        <w:numPr>
          <w:ilvl w:val="0"/>
          <w:numId w:val="6"/>
        </w:numPr>
        <w:ind w:left="567"/>
      </w:pPr>
      <w:r w:rsidRPr="00BF2D87">
        <w:t>Pokud by se stala některá ustanovení této smlouvy neplatnými nebo neúčinnými, pak platnost ostatních ustanovení této smlouvy zůstává nedotčena. Neplatná nebo neúčinná ustanovení této smlouvy smluvní strany nahradí takovými platnými nebo účinnými ustanoveními, která odpovídají smyslu a účelu neplatných nebo neúčinných ustanovení nebo jsou jim nejbližší.</w:t>
      </w:r>
    </w:p>
    <w:p w:rsidR="006F4917" w:rsidRPr="00BF2D87" w:rsidRDefault="006F4917" w:rsidP="006F4917">
      <w:pPr>
        <w:pStyle w:val="Odstavecseseznamem"/>
        <w:numPr>
          <w:ilvl w:val="0"/>
          <w:numId w:val="6"/>
        </w:numPr>
        <w:ind w:left="567"/>
      </w:pPr>
      <w:r w:rsidRPr="00BF2D87">
        <w:t>Vztahy smluvních stran výslovně neupravené touto smlouvou se řídí zák. č. 89/2012 Sb., občanský zákoník, ve znění pozdějších předpisů.</w:t>
      </w:r>
    </w:p>
    <w:p w:rsidR="006F4917" w:rsidRPr="00BF2D87" w:rsidRDefault="006F4917" w:rsidP="006F4917">
      <w:pPr>
        <w:pStyle w:val="Odstavecseseznamem"/>
        <w:numPr>
          <w:ilvl w:val="0"/>
          <w:numId w:val="6"/>
        </w:numPr>
        <w:ind w:left="567"/>
      </w:pPr>
      <w:r w:rsidRPr="00BF2D87">
        <w:t>Smluvní strany prohlašují, že si smlouvu přečetly, a že porozuměly jejímu obsahu a účelu. Dále smluvní strany prohlašují, že tato smlouva je výrazem jejich pravé a svobodné vůle, a že není uzavírána v tísni ani za nápadně nevýhodných podmínek. Na důkaz toho připojují své úředně ověřené podpisy.</w:t>
      </w:r>
    </w:p>
    <w:p w:rsidR="006F4917" w:rsidRPr="00BF2D87" w:rsidRDefault="00A57180" w:rsidP="006F4917">
      <w:pPr>
        <w:pStyle w:val="Odstavecseseznamem"/>
        <w:numPr>
          <w:ilvl w:val="0"/>
          <w:numId w:val="6"/>
        </w:numPr>
        <w:ind w:left="567"/>
      </w:pPr>
      <w:r>
        <w:t>U</w:t>
      </w:r>
      <w:r w:rsidR="006F4917" w:rsidRPr="00BF2D87">
        <w:t>zavření této smlouvy bylo schváleno usnesením Zastupitelstva městské části Praha – Satalice č</w:t>
      </w:r>
      <w:r w:rsidR="009838FE">
        <w:rPr>
          <w:i/>
        </w:rPr>
        <w:t xml:space="preserve">. </w:t>
      </w:r>
      <w:r w:rsidR="009838FE">
        <w:t xml:space="preserve">8/23/2016 </w:t>
      </w:r>
      <w:r w:rsidR="006F4917" w:rsidRPr="00BF2D87">
        <w:t xml:space="preserve">ze dne </w:t>
      </w:r>
      <w:proofErr w:type="gramStart"/>
      <w:r w:rsidR="009838FE">
        <w:t>5.1.2017</w:t>
      </w:r>
      <w:proofErr w:type="gramEnd"/>
      <w:r w:rsidR="006F4917" w:rsidRPr="00BF2D87">
        <w:t>.</w:t>
      </w:r>
    </w:p>
    <w:p w:rsidR="006F4917" w:rsidRPr="00BF2D87" w:rsidRDefault="006F4917" w:rsidP="006F4917">
      <w:pPr>
        <w:keepNext/>
        <w:ind w:right="-567" w:firstLine="360"/>
        <w:contextualSpacing/>
        <w:outlineLvl w:val="0"/>
      </w:pPr>
    </w:p>
    <w:p w:rsidR="006F4917" w:rsidRPr="00BF2D87" w:rsidRDefault="006F4917" w:rsidP="006F4917">
      <w:pPr>
        <w:keepNext/>
        <w:ind w:right="-567" w:firstLine="360"/>
        <w:contextualSpacing/>
        <w:outlineLvl w:val="0"/>
      </w:pPr>
    </w:p>
    <w:p w:rsidR="006F4917" w:rsidRPr="00BF2D87" w:rsidRDefault="006F4917" w:rsidP="006F4917">
      <w:pPr>
        <w:keepNext/>
        <w:ind w:right="-567" w:firstLine="360"/>
        <w:contextualSpacing/>
        <w:outlineLvl w:val="0"/>
      </w:pPr>
    </w:p>
    <w:p w:rsidR="006F4917" w:rsidRPr="00BF2D87" w:rsidRDefault="006F4917" w:rsidP="006F4917">
      <w:pPr>
        <w:keepNext/>
        <w:ind w:right="-567" w:firstLine="360"/>
        <w:contextualSpacing/>
        <w:outlineLvl w:val="0"/>
      </w:pPr>
      <w:r w:rsidRPr="00BF2D87">
        <w:t>V Praze dne ___________</w:t>
      </w:r>
    </w:p>
    <w:p w:rsidR="006F4917" w:rsidRPr="00BF2D87" w:rsidRDefault="006F4917" w:rsidP="006F4917">
      <w:pPr>
        <w:keepNext/>
        <w:ind w:right="-567"/>
        <w:contextualSpacing/>
      </w:pPr>
    </w:p>
    <w:p w:rsidR="006F4917" w:rsidRPr="00BF2D87" w:rsidRDefault="006F4917" w:rsidP="006F4917">
      <w:pPr>
        <w:keepNext/>
        <w:ind w:right="-567"/>
        <w:contextualSpacing/>
      </w:pPr>
    </w:p>
    <w:p w:rsidR="006F4917" w:rsidRPr="00BF2D87" w:rsidRDefault="006F4917" w:rsidP="006F4917">
      <w:pPr>
        <w:keepNext/>
        <w:ind w:right="-567"/>
        <w:contextualSpacing/>
      </w:pPr>
    </w:p>
    <w:p w:rsidR="006F4917" w:rsidRPr="00BF2D87" w:rsidRDefault="006F4917" w:rsidP="006F4917">
      <w:pPr>
        <w:keepNext/>
        <w:ind w:right="-567"/>
        <w:contextualSpacing/>
      </w:pPr>
    </w:p>
    <w:p w:rsidR="006F4917" w:rsidRPr="00BF2D87" w:rsidRDefault="006F4917" w:rsidP="006F4917">
      <w:pPr>
        <w:keepNext/>
        <w:ind w:right="-567"/>
        <w:contextualSpacing/>
      </w:pPr>
      <w:r w:rsidRPr="00BF2D87">
        <w:t xml:space="preserve">            _____________________</w:t>
      </w:r>
      <w:r w:rsidRPr="00BF2D87">
        <w:tab/>
        <w:t xml:space="preserve">    </w:t>
      </w:r>
      <w:r w:rsidRPr="00BF2D87">
        <w:tab/>
      </w:r>
      <w:r w:rsidRPr="00BF2D87">
        <w:tab/>
      </w:r>
      <w:r w:rsidRPr="00BF2D87">
        <w:tab/>
      </w:r>
      <w:r w:rsidRPr="00BF2D87">
        <w:tab/>
        <w:t xml:space="preserve"> _____________________          </w:t>
      </w:r>
    </w:p>
    <w:p w:rsidR="00A57180" w:rsidRPr="00A57180" w:rsidRDefault="006F4917" w:rsidP="00A57180">
      <w:pPr>
        <w:keepNext/>
        <w:ind w:left="5664" w:hanging="5664"/>
        <w:contextualSpacing/>
        <w:rPr>
          <w:noProof/>
          <w:color w:val="000000"/>
        </w:rPr>
      </w:pPr>
      <w:r w:rsidRPr="00BF2D87">
        <w:t xml:space="preserve">za </w:t>
      </w:r>
      <w:r w:rsidR="00394D53" w:rsidRPr="00BF2D87">
        <w:rPr>
          <w:b/>
        </w:rPr>
        <w:t>městskou</w:t>
      </w:r>
      <w:r w:rsidRPr="00BF2D87">
        <w:rPr>
          <w:b/>
        </w:rPr>
        <w:t xml:space="preserve"> část Praha – Satalic</w:t>
      </w:r>
      <w:r w:rsidR="00A57180">
        <w:rPr>
          <w:b/>
        </w:rPr>
        <w:t xml:space="preserve">e                            </w:t>
      </w:r>
      <w:r w:rsidR="00A57180">
        <w:rPr>
          <w:b/>
        </w:rPr>
        <w:tab/>
      </w:r>
      <w:r w:rsidR="00A57180" w:rsidRPr="00A57180">
        <w:t>za</w:t>
      </w:r>
      <w:r w:rsidR="00A57180">
        <w:rPr>
          <w:b/>
        </w:rPr>
        <w:t xml:space="preserve"> </w:t>
      </w:r>
      <w:proofErr w:type="spellStart"/>
      <w:r w:rsidR="00A57180">
        <w:rPr>
          <w:b/>
        </w:rPr>
        <w:t>Hinderstein</w:t>
      </w:r>
      <w:proofErr w:type="spellEnd"/>
      <w:r w:rsidR="00A57180">
        <w:rPr>
          <w:b/>
        </w:rPr>
        <w:t xml:space="preserve"> s.r.o., </w:t>
      </w:r>
      <w:r w:rsidR="00A57180" w:rsidRPr="00A57180">
        <w:t>Ing. Jindřich</w:t>
      </w:r>
    </w:p>
    <w:p w:rsidR="006F4917" w:rsidRPr="00BF2D87" w:rsidRDefault="00A57180" w:rsidP="00A57180">
      <w:pPr>
        <w:keepNext/>
        <w:ind w:left="5664" w:hanging="5664"/>
        <w:contextualSpacing/>
        <w:rPr>
          <w:b/>
        </w:rPr>
      </w:pPr>
      <w:r w:rsidRPr="00A57180">
        <w:rPr>
          <w:noProof/>
          <w:color w:val="000000"/>
        </w:rPr>
        <w:t>Mgr. Milada Voborská, starostka</w:t>
      </w:r>
      <w:r w:rsidRPr="00A57180">
        <w:t xml:space="preserve"> </w:t>
      </w:r>
      <w:r w:rsidRPr="00A57180">
        <w:tab/>
        <w:t>Baumruk, jednatel</w:t>
      </w:r>
      <w:r w:rsidR="006F4917" w:rsidRPr="00A57180">
        <w:t xml:space="preserve"> </w:t>
      </w:r>
    </w:p>
    <w:p w:rsidR="006F4917" w:rsidRPr="00BF2D87" w:rsidRDefault="006F4917" w:rsidP="006F4917">
      <w:pPr>
        <w:pStyle w:val="Normln1"/>
        <w:keepNext/>
        <w:widowControl/>
        <w:rPr>
          <w:rFonts w:ascii="Times New Roman" w:hAnsi="Times New Roman"/>
          <w:noProof/>
          <w:color w:val="000000"/>
          <w:sz w:val="22"/>
          <w:szCs w:val="22"/>
        </w:rPr>
      </w:pPr>
      <w:r w:rsidRPr="00BF2D87">
        <w:rPr>
          <w:rFonts w:ascii="Times New Roman" w:hAnsi="Times New Roman"/>
          <w:noProof/>
          <w:color w:val="000000"/>
          <w:sz w:val="22"/>
          <w:szCs w:val="22"/>
        </w:rPr>
        <w:t xml:space="preserve">      </w:t>
      </w:r>
      <w:r w:rsidRPr="00BF2D87">
        <w:rPr>
          <w:rFonts w:ascii="Times New Roman" w:hAnsi="Times New Roman"/>
          <w:noProof/>
          <w:color w:val="000000"/>
          <w:sz w:val="22"/>
          <w:szCs w:val="22"/>
        </w:rPr>
        <w:tab/>
      </w:r>
      <w:r w:rsidRPr="00BF2D87">
        <w:rPr>
          <w:rFonts w:ascii="Times New Roman" w:hAnsi="Times New Roman"/>
          <w:noProof/>
          <w:color w:val="000000"/>
          <w:sz w:val="22"/>
          <w:szCs w:val="22"/>
        </w:rPr>
        <w:tab/>
      </w:r>
      <w:r w:rsidRPr="00BF2D87">
        <w:rPr>
          <w:rFonts w:ascii="Times New Roman" w:hAnsi="Times New Roman"/>
          <w:noProof/>
          <w:color w:val="000000"/>
          <w:sz w:val="22"/>
          <w:szCs w:val="22"/>
        </w:rPr>
        <w:tab/>
      </w:r>
      <w:r w:rsidRPr="00BF2D87">
        <w:rPr>
          <w:rFonts w:ascii="Times New Roman" w:hAnsi="Times New Roman"/>
          <w:noProof/>
          <w:color w:val="000000"/>
          <w:sz w:val="22"/>
          <w:szCs w:val="22"/>
        </w:rPr>
        <w:tab/>
      </w:r>
      <w:r w:rsidRPr="00BF2D87">
        <w:rPr>
          <w:rFonts w:ascii="Times New Roman" w:hAnsi="Times New Roman"/>
          <w:noProof/>
          <w:color w:val="000000"/>
          <w:sz w:val="22"/>
          <w:szCs w:val="22"/>
        </w:rPr>
        <w:tab/>
        <w:t xml:space="preserve">    </w:t>
      </w:r>
    </w:p>
    <w:p w:rsidR="006F4917" w:rsidRPr="00C25F65" w:rsidRDefault="006F4917" w:rsidP="006F4917">
      <w:pPr>
        <w:rPr>
          <w:sz w:val="24"/>
          <w:szCs w:val="24"/>
        </w:rPr>
      </w:pPr>
    </w:p>
    <w:p w:rsidR="006F4917" w:rsidRPr="00C25F65" w:rsidRDefault="006F4917" w:rsidP="006F4917">
      <w:pPr>
        <w:rPr>
          <w:sz w:val="24"/>
          <w:szCs w:val="24"/>
        </w:rPr>
      </w:pPr>
    </w:p>
    <w:p w:rsidR="00E36B2A" w:rsidRDefault="00E36B2A" w:rsidP="00E36B2A">
      <w:pPr>
        <w:rPr>
          <w:sz w:val="24"/>
          <w:szCs w:val="24"/>
        </w:rPr>
      </w:pPr>
    </w:p>
    <w:p w:rsidR="00E36B2A" w:rsidRDefault="00E36B2A" w:rsidP="00E36B2A">
      <w:pPr>
        <w:rPr>
          <w:sz w:val="24"/>
          <w:szCs w:val="24"/>
        </w:rPr>
      </w:pPr>
    </w:p>
    <w:p w:rsidR="00E36B2A" w:rsidRPr="00C25F65" w:rsidRDefault="00E36B2A">
      <w:pPr>
        <w:rPr>
          <w:sz w:val="24"/>
          <w:szCs w:val="24"/>
        </w:rPr>
      </w:pPr>
      <w:r>
        <w:rPr>
          <w:sz w:val="24"/>
          <w:szCs w:val="24"/>
        </w:rPr>
        <w:t xml:space="preserve">Příloha č. 1: Geometrický plán </w:t>
      </w:r>
    </w:p>
    <w:sectPr w:rsidR="00E36B2A" w:rsidRPr="00C25F65" w:rsidSect="00BF2D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A4" w:rsidRDefault="00271FA4">
      <w:r>
        <w:separator/>
      </w:r>
    </w:p>
  </w:endnote>
  <w:endnote w:type="continuationSeparator" w:id="0">
    <w:p w:rsidR="00271FA4" w:rsidRDefault="0027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4848"/>
      <w:docPartObj>
        <w:docPartGallery w:val="Page Numbers (Bottom of Page)"/>
        <w:docPartUnique/>
      </w:docPartObj>
    </w:sdtPr>
    <w:sdtEndPr/>
    <w:sdtContent>
      <w:p w:rsidR="0050130D" w:rsidRDefault="00271FA4">
        <w:pPr>
          <w:pStyle w:val="Zpat"/>
          <w:jc w:val="center"/>
        </w:pPr>
        <w:r>
          <w:fldChar w:fldCharType="begin"/>
        </w:r>
        <w:r>
          <w:instrText xml:space="preserve"> PAGE   \* MERGEFORMAT </w:instrText>
        </w:r>
        <w:r>
          <w:fldChar w:fldCharType="separate"/>
        </w:r>
        <w:r w:rsidR="00520759">
          <w:rPr>
            <w:noProof/>
          </w:rPr>
          <w:t>1</w:t>
        </w:r>
        <w:r>
          <w:rPr>
            <w:noProof/>
          </w:rPr>
          <w:fldChar w:fldCharType="end"/>
        </w:r>
      </w:p>
    </w:sdtContent>
  </w:sdt>
  <w:p w:rsidR="0050130D" w:rsidRDefault="00501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A4" w:rsidRDefault="00271FA4">
      <w:r>
        <w:separator/>
      </w:r>
    </w:p>
  </w:footnote>
  <w:footnote w:type="continuationSeparator" w:id="0">
    <w:p w:rsidR="00271FA4" w:rsidRDefault="00271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7AA"/>
    <w:multiLevelType w:val="multilevel"/>
    <w:tmpl w:val="09B6EF6E"/>
    <w:lvl w:ilvl="0">
      <w:start w:val="1"/>
      <w:numFmt w:val="decimal"/>
      <w:lvlText w:val="%1."/>
      <w:lvlJc w:val="left"/>
      <w:pPr>
        <w:ind w:left="720" w:hanging="360"/>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F64C25"/>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2716F9"/>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9737DB"/>
    <w:multiLevelType w:val="hybridMultilevel"/>
    <w:tmpl w:val="5A863DCC"/>
    <w:lvl w:ilvl="0" w:tplc="C0C245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E94D7E"/>
    <w:multiLevelType w:val="hybridMultilevel"/>
    <w:tmpl w:val="258AA42C"/>
    <w:lvl w:ilvl="0" w:tplc="A7D8A620">
      <w:start w:val="1"/>
      <w:numFmt w:val="lowerLetter"/>
      <w:lvlText w:val="%1)"/>
      <w:lvlJc w:val="left"/>
      <w:pPr>
        <w:tabs>
          <w:tab w:val="num" w:pos="1069"/>
        </w:tabs>
        <w:ind w:left="1069"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nsid w:val="3AA05D14"/>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3B73AB"/>
    <w:multiLevelType w:val="hybridMultilevel"/>
    <w:tmpl w:val="749E4F32"/>
    <w:lvl w:ilvl="0" w:tplc="B35208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C56B7C"/>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661EAF"/>
    <w:multiLevelType w:val="hybridMultilevel"/>
    <w:tmpl w:val="B43846E8"/>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D5861FB"/>
    <w:multiLevelType w:val="hybridMultilevel"/>
    <w:tmpl w:val="25581C72"/>
    <w:lvl w:ilvl="0" w:tplc="04050017">
      <w:start w:val="1"/>
      <w:numFmt w:val="lowerLetter"/>
      <w:lvlText w:val="%1)"/>
      <w:lvlJc w:val="left"/>
      <w:pPr>
        <w:ind w:left="148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2C759B1"/>
    <w:multiLevelType w:val="hybridMultilevel"/>
    <w:tmpl w:val="63983980"/>
    <w:lvl w:ilvl="0" w:tplc="3FBEAFB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AC410F"/>
    <w:multiLevelType w:val="hybridMultilevel"/>
    <w:tmpl w:val="C1B61E3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625F1816"/>
    <w:multiLevelType w:val="hybridMultilevel"/>
    <w:tmpl w:val="77BA97A8"/>
    <w:lvl w:ilvl="0" w:tplc="80246A6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4D7612"/>
    <w:multiLevelType w:val="hybridMultilevel"/>
    <w:tmpl w:val="93C6B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7"/>
  </w:num>
  <w:num w:numId="5">
    <w:abstractNumId w:val="5"/>
  </w:num>
  <w:num w:numId="6">
    <w:abstractNumId w:val="2"/>
  </w:num>
  <w:num w:numId="7">
    <w:abstractNumId w:val="11"/>
  </w:num>
  <w:num w:numId="8">
    <w:abstractNumId w:val="10"/>
  </w:num>
  <w:num w:numId="9">
    <w:abstractNumId w:val="6"/>
  </w:num>
  <w:num w:numId="10">
    <w:abstractNumId w:val="3"/>
  </w:num>
  <w:num w:numId="11">
    <w:abstractNumId w:val="12"/>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17"/>
    <w:rsid w:val="00097797"/>
    <w:rsid w:val="000E7112"/>
    <w:rsid w:val="000F18E0"/>
    <w:rsid w:val="001641DB"/>
    <w:rsid w:val="00224DC7"/>
    <w:rsid w:val="00235F66"/>
    <w:rsid w:val="00271FA4"/>
    <w:rsid w:val="00322287"/>
    <w:rsid w:val="0034327E"/>
    <w:rsid w:val="0037349B"/>
    <w:rsid w:val="00394D53"/>
    <w:rsid w:val="003F5349"/>
    <w:rsid w:val="00404E5A"/>
    <w:rsid w:val="00440E24"/>
    <w:rsid w:val="00441F03"/>
    <w:rsid w:val="0046479A"/>
    <w:rsid w:val="0050130D"/>
    <w:rsid w:val="00520759"/>
    <w:rsid w:val="00520792"/>
    <w:rsid w:val="006D1C6F"/>
    <w:rsid w:val="006F4917"/>
    <w:rsid w:val="006F7061"/>
    <w:rsid w:val="007A26EA"/>
    <w:rsid w:val="00801033"/>
    <w:rsid w:val="009106AA"/>
    <w:rsid w:val="00960085"/>
    <w:rsid w:val="009838FE"/>
    <w:rsid w:val="009C2CE8"/>
    <w:rsid w:val="009D0358"/>
    <w:rsid w:val="00A57180"/>
    <w:rsid w:val="00A84862"/>
    <w:rsid w:val="00B10FDD"/>
    <w:rsid w:val="00B54433"/>
    <w:rsid w:val="00BF2D87"/>
    <w:rsid w:val="00C25F65"/>
    <w:rsid w:val="00C45840"/>
    <w:rsid w:val="00C82993"/>
    <w:rsid w:val="00E36B2A"/>
    <w:rsid w:val="00EE7B8F"/>
    <w:rsid w:val="00F05FFC"/>
    <w:rsid w:val="00F2683A"/>
    <w:rsid w:val="00F84825"/>
    <w:rsid w:val="00F85827"/>
    <w:rsid w:val="00F95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917"/>
    <w:pPr>
      <w:spacing w:after="0" w:line="240" w:lineRule="auto"/>
      <w:jc w:val="both"/>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4917"/>
    <w:pPr>
      <w:ind w:left="720"/>
      <w:contextualSpacing/>
    </w:pPr>
  </w:style>
  <w:style w:type="paragraph" w:customStyle="1" w:styleId="Normln1">
    <w:name w:val="Normální1"/>
    <w:basedOn w:val="Normln"/>
    <w:rsid w:val="006F4917"/>
    <w:pPr>
      <w:widowControl w:val="0"/>
      <w:jc w:val="left"/>
    </w:pPr>
    <w:rPr>
      <w:rFonts w:ascii="Arial" w:eastAsia="Times New Roman" w:hAnsi="Arial"/>
      <w:sz w:val="28"/>
      <w:szCs w:val="20"/>
      <w:lang w:eastAsia="cs-CZ"/>
    </w:rPr>
  </w:style>
  <w:style w:type="paragraph" w:styleId="Zpat">
    <w:name w:val="footer"/>
    <w:basedOn w:val="Normln"/>
    <w:link w:val="ZpatChar"/>
    <w:uiPriority w:val="99"/>
    <w:unhideWhenUsed/>
    <w:rsid w:val="006F4917"/>
    <w:pPr>
      <w:tabs>
        <w:tab w:val="center" w:pos="4536"/>
        <w:tab w:val="right" w:pos="9072"/>
      </w:tabs>
    </w:pPr>
  </w:style>
  <w:style w:type="character" w:customStyle="1" w:styleId="ZpatChar">
    <w:name w:val="Zápatí Char"/>
    <w:basedOn w:val="Standardnpsmoodstavce"/>
    <w:link w:val="Zpat"/>
    <w:uiPriority w:val="99"/>
    <w:rsid w:val="006F4917"/>
    <w:rPr>
      <w:rFonts w:ascii="Times New Roman" w:hAnsi="Times New Roman" w:cs="Times New Roman"/>
    </w:rPr>
  </w:style>
  <w:style w:type="paragraph" w:styleId="FormtovanvHTML">
    <w:name w:val="HTML Preformatted"/>
    <w:basedOn w:val="Normln"/>
    <w:link w:val="FormtovanvHTMLChar"/>
    <w:uiPriority w:val="99"/>
    <w:semiHidden/>
    <w:unhideWhenUsed/>
    <w:rsid w:val="00F0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olor w:val="000000"/>
      <w:sz w:val="20"/>
      <w:szCs w:val="20"/>
    </w:rPr>
  </w:style>
  <w:style w:type="character" w:customStyle="1" w:styleId="FormtovanvHTMLChar">
    <w:name w:val="Formátovaný v HTML Char"/>
    <w:basedOn w:val="Standardnpsmoodstavce"/>
    <w:link w:val="FormtovanvHTML"/>
    <w:uiPriority w:val="99"/>
    <w:semiHidden/>
    <w:rsid w:val="00F05FFC"/>
    <w:rPr>
      <w:rFonts w:ascii="Courier New" w:eastAsia="Calibri" w:hAnsi="Courier New" w:cs="Times New Roman"/>
      <w:color w:val="000000"/>
      <w:sz w:val="20"/>
      <w:szCs w:val="20"/>
    </w:rPr>
  </w:style>
  <w:style w:type="paragraph" w:styleId="Zkladntext">
    <w:name w:val="Body Text"/>
    <w:basedOn w:val="Normln"/>
    <w:link w:val="ZkladntextChar"/>
    <w:rsid w:val="00F95FC3"/>
    <w:pPr>
      <w:suppressAutoHyphens/>
      <w:overflowPunct w:val="0"/>
      <w:autoSpaceDE w:val="0"/>
      <w:textAlignment w:val="baseline"/>
    </w:pPr>
    <w:rPr>
      <w:rFonts w:eastAsia="Times New Roman"/>
      <w:i/>
      <w:sz w:val="24"/>
      <w:szCs w:val="20"/>
      <w:lang w:eastAsia="ar-SA"/>
    </w:rPr>
  </w:style>
  <w:style w:type="character" w:customStyle="1" w:styleId="ZkladntextChar">
    <w:name w:val="Základní text Char"/>
    <w:basedOn w:val="Standardnpsmoodstavce"/>
    <w:link w:val="Zkladntext"/>
    <w:rsid w:val="00F95FC3"/>
    <w:rPr>
      <w:rFonts w:ascii="Times New Roman" w:eastAsia="Times New Roman" w:hAnsi="Times New Roman" w:cs="Times New Roman"/>
      <w:i/>
      <w:sz w:val="24"/>
      <w:szCs w:val="20"/>
      <w:lang w:eastAsia="ar-SA"/>
    </w:rPr>
  </w:style>
  <w:style w:type="paragraph" w:customStyle="1" w:styleId="Zkladntext21">
    <w:name w:val="Základní text 21"/>
    <w:basedOn w:val="Normln"/>
    <w:rsid w:val="00F95FC3"/>
    <w:pPr>
      <w:suppressAutoHyphens/>
      <w:overflowPunct w:val="0"/>
      <w:autoSpaceDE w:val="0"/>
      <w:textAlignment w:val="baseline"/>
    </w:pPr>
    <w:rPr>
      <w:rFonts w:eastAsia="Times New Roman"/>
      <w:sz w:val="24"/>
      <w:szCs w:val="20"/>
      <w:lang w:eastAsia="ar-SA"/>
    </w:rPr>
  </w:style>
  <w:style w:type="paragraph" w:customStyle="1" w:styleId="Normln0">
    <w:name w:val="NormlnÍ"/>
    <w:rsid w:val="00F95FC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Zkladntextodsazen21">
    <w:name w:val="Základní text odsazený 21"/>
    <w:basedOn w:val="Normln"/>
    <w:rsid w:val="00F95FC3"/>
    <w:pPr>
      <w:suppressAutoHyphens/>
      <w:overflowPunct w:val="0"/>
      <w:autoSpaceDE w:val="0"/>
      <w:ind w:left="426" w:hanging="426"/>
      <w:textAlignment w:val="baseline"/>
    </w:pPr>
    <w:rPr>
      <w:rFonts w:eastAsia="Times New Roman"/>
      <w:sz w:val="20"/>
      <w:szCs w:val="20"/>
      <w:lang w:eastAsia="ar-SA"/>
    </w:rPr>
  </w:style>
  <w:style w:type="paragraph" w:customStyle="1" w:styleId="BodyTextIndent21">
    <w:name w:val="Body Text Indent 21"/>
    <w:basedOn w:val="Normln"/>
    <w:rsid w:val="00F95FC3"/>
    <w:pPr>
      <w:suppressAutoHyphens/>
      <w:overflowPunct w:val="0"/>
      <w:autoSpaceDE w:val="0"/>
      <w:ind w:left="426" w:hanging="426"/>
      <w:textAlignment w:val="baseline"/>
    </w:pPr>
    <w:rPr>
      <w:rFonts w:eastAsia="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917"/>
    <w:pPr>
      <w:spacing w:after="0" w:line="240" w:lineRule="auto"/>
      <w:jc w:val="both"/>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4917"/>
    <w:pPr>
      <w:ind w:left="720"/>
      <w:contextualSpacing/>
    </w:pPr>
  </w:style>
  <w:style w:type="paragraph" w:customStyle="1" w:styleId="Normln1">
    <w:name w:val="Normální1"/>
    <w:basedOn w:val="Normln"/>
    <w:rsid w:val="006F4917"/>
    <w:pPr>
      <w:widowControl w:val="0"/>
      <w:jc w:val="left"/>
    </w:pPr>
    <w:rPr>
      <w:rFonts w:ascii="Arial" w:eastAsia="Times New Roman" w:hAnsi="Arial"/>
      <w:sz w:val="28"/>
      <w:szCs w:val="20"/>
      <w:lang w:eastAsia="cs-CZ"/>
    </w:rPr>
  </w:style>
  <w:style w:type="paragraph" w:styleId="Zpat">
    <w:name w:val="footer"/>
    <w:basedOn w:val="Normln"/>
    <w:link w:val="ZpatChar"/>
    <w:uiPriority w:val="99"/>
    <w:unhideWhenUsed/>
    <w:rsid w:val="006F4917"/>
    <w:pPr>
      <w:tabs>
        <w:tab w:val="center" w:pos="4536"/>
        <w:tab w:val="right" w:pos="9072"/>
      </w:tabs>
    </w:pPr>
  </w:style>
  <w:style w:type="character" w:customStyle="1" w:styleId="ZpatChar">
    <w:name w:val="Zápatí Char"/>
    <w:basedOn w:val="Standardnpsmoodstavce"/>
    <w:link w:val="Zpat"/>
    <w:uiPriority w:val="99"/>
    <w:rsid w:val="006F4917"/>
    <w:rPr>
      <w:rFonts w:ascii="Times New Roman" w:hAnsi="Times New Roman" w:cs="Times New Roman"/>
    </w:rPr>
  </w:style>
  <w:style w:type="paragraph" w:styleId="FormtovanvHTML">
    <w:name w:val="HTML Preformatted"/>
    <w:basedOn w:val="Normln"/>
    <w:link w:val="FormtovanvHTMLChar"/>
    <w:uiPriority w:val="99"/>
    <w:semiHidden/>
    <w:unhideWhenUsed/>
    <w:rsid w:val="00F0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olor w:val="000000"/>
      <w:sz w:val="20"/>
      <w:szCs w:val="20"/>
    </w:rPr>
  </w:style>
  <w:style w:type="character" w:customStyle="1" w:styleId="FormtovanvHTMLChar">
    <w:name w:val="Formátovaný v HTML Char"/>
    <w:basedOn w:val="Standardnpsmoodstavce"/>
    <w:link w:val="FormtovanvHTML"/>
    <w:uiPriority w:val="99"/>
    <w:semiHidden/>
    <w:rsid w:val="00F05FFC"/>
    <w:rPr>
      <w:rFonts w:ascii="Courier New" w:eastAsia="Calibri" w:hAnsi="Courier New" w:cs="Times New Roman"/>
      <w:color w:val="000000"/>
      <w:sz w:val="20"/>
      <w:szCs w:val="20"/>
    </w:rPr>
  </w:style>
  <w:style w:type="paragraph" w:styleId="Zkladntext">
    <w:name w:val="Body Text"/>
    <w:basedOn w:val="Normln"/>
    <w:link w:val="ZkladntextChar"/>
    <w:rsid w:val="00F95FC3"/>
    <w:pPr>
      <w:suppressAutoHyphens/>
      <w:overflowPunct w:val="0"/>
      <w:autoSpaceDE w:val="0"/>
      <w:textAlignment w:val="baseline"/>
    </w:pPr>
    <w:rPr>
      <w:rFonts w:eastAsia="Times New Roman"/>
      <w:i/>
      <w:sz w:val="24"/>
      <w:szCs w:val="20"/>
      <w:lang w:eastAsia="ar-SA"/>
    </w:rPr>
  </w:style>
  <w:style w:type="character" w:customStyle="1" w:styleId="ZkladntextChar">
    <w:name w:val="Základní text Char"/>
    <w:basedOn w:val="Standardnpsmoodstavce"/>
    <w:link w:val="Zkladntext"/>
    <w:rsid w:val="00F95FC3"/>
    <w:rPr>
      <w:rFonts w:ascii="Times New Roman" w:eastAsia="Times New Roman" w:hAnsi="Times New Roman" w:cs="Times New Roman"/>
      <w:i/>
      <w:sz w:val="24"/>
      <w:szCs w:val="20"/>
      <w:lang w:eastAsia="ar-SA"/>
    </w:rPr>
  </w:style>
  <w:style w:type="paragraph" w:customStyle="1" w:styleId="Zkladntext21">
    <w:name w:val="Základní text 21"/>
    <w:basedOn w:val="Normln"/>
    <w:rsid w:val="00F95FC3"/>
    <w:pPr>
      <w:suppressAutoHyphens/>
      <w:overflowPunct w:val="0"/>
      <w:autoSpaceDE w:val="0"/>
      <w:textAlignment w:val="baseline"/>
    </w:pPr>
    <w:rPr>
      <w:rFonts w:eastAsia="Times New Roman"/>
      <w:sz w:val="24"/>
      <w:szCs w:val="20"/>
      <w:lang w:eastAsia="ar-SA"/>
    </w:rPr>
  </w:style>
  <w:style w:type="paragraph" w:customStyle="1" w:styleId="Normln0">
    <w:name w:val="NormlnÍ"/>
    <w:rsid w:val="00F95FC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Zkladntextodsazen21">
    <w:name w:val="Základní text odsazený 21"/>
    <w:basedOn w:val="Normln"/>
    <w:rsid w:val="00F95FC3"/>
    <w:pPr>
      <w:suppressAutoHyphens/>
      <w:overflowPunct w:val="0"/>
      <w:autoSpaceDE w:val="0"/>
      <w:ind w:left="426" w:hanging="426"/>
      <w:textAlignment w:val="baseline"/>
    </w:pPr>
    <w:rPr>
      <w:rFonts w:eastAsia="Times New Roman"/>
      <w:sz w:val="20"/>
      <w:szCs w:val="20"/>
      <w:lang w:eastAsia="ar-SA"/>
    </w:rPr>
  </w:style>
  <w:style w:type="paragraph" w:customStyle="1" w:styleId="BodyTextIndent21">
    <w:name w:val="Body Text Indent 21"/>
    <w:basedOn w:val="Normln"/>
    <w:rsid w:val="00F95FC3"/>
    <w:pPr>
      <w:suppressAutoHyphens/>
      <w:overflowPunct w:val="0"/>
      <w:autoSpaceDE w:val="0"/>
      <w:ind w:left="426" w:hanging="426"/>
      <w:textAlignment w:val="baseline"/>
    </w:pPr>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1619</Words>
  <Characters>9558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notebook1</cp:lastModifiedBy>
  <cp:revision>2</cp:revision>
  <cp:lastPrinted>2017-03-02T08:48:00Z</cp:lastPrinted>
  <dcterms:created xsi:type="dcterms:W3CDTF">2017-03-02T08:51:00Z</dcterms:created>
  <dcterms:modified xsi:type="dcterms:W3CDTF">2017-03-02T08:51:00Z</dcterms:modified>
</cp:coreProperties>
</file>