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6E61A0">
        <w:t>KAA-SZ-80/2017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E61A0" w:rsidRPr="006E61A0">
        <w:rPr>
          <w:rFonts w:cs="Arial"/>
          <w:szCs w:val="20"/>
        </w:rPr>
        <w:t xml:space="preserve">Ing. </w:t>
      </w:r>
      <w:r w:rsidR="006E61A0">
        <w:t>Dalibor Závacký</w:t>
      </w:r>
      <w:r w:rsidRPr="00A3020E">
        <w:rPr>
          <w:rFonts w:cs="Arial"/>
          <w:szCs w:val="20"/>
        </w:rPr>
        <w:t xml:space="preserve">, </w:t>
      </w:r>
      <w:r w:rsidR="006E61A0" w:rsidRPr="006E61A0">
        <w:rPr>
          <w:rFonts w:cs="Arial"/>
          <w:szCs w:val="20"/>
        </w:rPr>
        <w:t>ředitel kontaktního</w:t>
      </w:r>
      <w:r w:rsidR="006E61A0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E61A0" w:rsidRPr="006E61A0">
        <w:rPr>
          <w:rFonts w:cs="Arial"/>
          <w:szCs w:val="20"/>
        </w:rPr>
        <w:t>Dobrovského 1278</w:t>
      </w:r>
      <w:r w:rsidR="006E61A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E61A0" w:rsidRPr="006E61A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E61A0" w:rsidRPr="006E61A0">
        <w:rPr>
          <w:rFonts w:cs="Arial"/>
          <w:szCs w:val="20"/>
        </w:rPr>
        <w:t xml:space="preserve">tř. </w:t>
      </w:r>
      <w:r w:rsidR="006E61A0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E61A0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E61A0" w:rsidRPr="006E61A0">
        <w:rPr>
          <w:rFonts w:cs="Arial"/>
          <w:szCs w:val="20"/>
        </w:rPr>
        <w:t xml:space="preserve">GABEN, </w:t>
      </w:r>
      <w:r w:rsidR="006E61A0">
        <w:t>spol. s r. o.</w:t>
      </w:r>
      <w:r w:rsidR="006E61A0" w:rsidRPr="006E61A0">
        <w:rPr>
          <w:rFonts w:cs="Arial"/>
          <w:vanish/>
          <w:szCs w:val="20"/>
        </w:rPr>
        <w:t>0</w:t>
      </w:r>
    </w:p>
    <w:p w:rsidR="00B066F7" w:rsidRPr="0033691D" w:rsidRDefault="006E61A0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6E61A0">
        <w:rPr>
          <w:rFonts w:cs="Arial"/>
          <w:noProof/>
          <w:szCs w:val="20"/>
        </w:rPr>
        <w:t>Pavel Benda</w:t>
      </w:r>
      <w:r>
        <w:rPr>
          <w:noProof/>
        </w:rPr>
        <w:t>, jednatel</w:t>
      </w:r>
    </w:p>
    <w:p w:rsidR="00B066F7" w:rsidRPr="0033691D" w:rsidRDefault="006E61A0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6E61A0">
        <w:rPr>
          <w:rFonts w:cs="Arial"/>
          <w:szCs w:val="20"/>
        </w:rPr>
        <w:t>Hájkova č</w:t>
      </w:r>
      <w:r>
        <w:t>.p. 558/1, Přívoz,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6E61A0" w:rsidRPr="006E61A0">
        <w:rPr>
          <w:rFonts w:cs="Arial"/>
          <w:szCs w:val="20"/>
        </w:rPr>
        <w:t>19012021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6E61A0">
        <w:t>CZ.03.1.48/0.0/0.0/15_121/0000058</w:t>
      </w:r>
      <w:r w:rsidR="00282982">
        <w:rPr>
          <w:i/>
          <w:iCs/>
        </w:rPr>
        <w:t xml:space="preserve"> </w:t>
      </w:r>
      <w:r w:rsidR="006E61A0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E61A0">
        <w:rPr>
          <w:noProof/>
        </w:rPr>
        <w:t>technik - specialista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E61A0">
        <w:t>GABEN, spol. s r. o., Trocnovská č.p. 612/27, Přívoz,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94CC1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94CC1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94CC1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6E61A0">
        <w:t>1.3.2017</w:t>
      </w:r>
      <w:r>
        <w:t xml:space="preserve"> na dobu </w:t>
      </w:r>
      <w:r w:rsidR="006E61A0">
        <w:rPr>
          <w:noProof/>
        </w:rPr>
        <w:t>neurčitou</w:t>
      </w:r>
      <w:r w:rsidR="00DA5E4C">
        <w:t xml:space="preserve">, s týdenní pracovní dobou </w:t>
      </w:r>
      <w:r w:rsidR="006E61A0">
        <w:rPr>
          <w:noProof/>
        </w:rPr>
        <w:t>37,5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E61A0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E61A0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6E61A0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6E61A0">
        <w:rPr>
          <w:noProof/>
        </w:rPr>
        <w:t>1.3.2017</w:t>
      </w:r>
      <w:r w:rsidR="00781CAC">
        <w:t xml:space="preserve"> do</w:t>
      </w:r>
      <w:r w:rsidRPr="0058691B">
        <w:t> </w:t>
      </w:r>
      <w:r w:rsidR="006E61A0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B94CC1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E61A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B94CC1">
        <w:rPr>
          <w:rFonts w:cs="Arial"/>
          <w:szCs w:val="20"/>
        </w:rPr>
        <w:t>23.2.2017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E61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6E61A0" w:rsidP="009B751F">
      <w:pPr>
        <w:keepNext/>
        <w:keepLines/>
        <w:jc w:val="center"/>
        <w:rPr>
          <w:rFonts w:cs="Arial"/>
          <w:szCs w:val="20"/>
        </w:rPr>
      </w:pPr>
      <w:r w:rsidRPr="006E61A0">
        <w:rPr>
          <w:rFonts w:cs="Arial"/>
          <w:szCs w:val="20"/>
        </w:rPr>
        <w:t>Pavel Benda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6E61A0" w:rsidP="009B751F">
      <w:pPr>
        <w:keepNext/>
        <w:keepLines/>
        <w:jc w:val="center"/>
        <w:rPr>
          <w:rFonts w:cs="Arial"/>
          <w:szCs w:val="20"/>
        </w:rPr>
      </w:pPr>
      <w:r w:rsidRPr="006E61A0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6E61A0" w:rsidP="008269B6">
      <w:pPr>
        <w:keepNext/>
        <w:keepLines/>
        <w:jc w:val="center"/>
        <w:rPr>
          <w:rFonts w:cs="Arial"/>
          <w:szCs w:val="20"/>
        </w:rPr>
      </w:pPr>
      <w:r w:rsidRPr="006E61A0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E61A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E61A0" w:rsidRPr="006E61A0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E61A0" w:rsidRPr="006E61A0">
        <w:rPr>
          <w:rFonts w:cs="Arial"/>
          <w:szCs w:val="20"/>
        </w:rPr>
        <w:t>+ 420</w:t>
      </w:r>
      <w:r w:rsidR="006E61A0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E61A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B8" w:rsidRDefault="006E46B8">
      <w:r>
        <w:separator/>
      </w:r>
    </w:p>
  </w:endnote>
  <w:endnote w:type="continuationSeparator" w:id="0">
    <w:p w:rsidR="006E46B8" w:rsidRDefault="006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A0" w:rsidRDefault="006E61A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50CB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450CB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B8" w:rsidRDefault="006E46B8">
      <w:r>
        <w:separator/>
      </w:r>
    </w:p>
  </w:footnote>
  <w:footnote w:type="continuationSeparator" w:id="0">
    <w:p w:rsidR="006E46B8" w:rsidRDefault="006E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A0" w:rsidRDefault="006E61A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A0" w:rsidRDefault="006E61A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E40340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40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37E23"/>
    <w:rsid w:val="00450CB5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46B8"/>
    <w:rsid w:val="006E61A0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918E0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CC1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1D78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36D1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57E9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0340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00B4-EC4C-42C3-AFD1-5094A385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1994</Words>
  <Characters>11868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HeczkovaV</cp:lastModifiedBy>
  <cp:revision>2</cp:revision>
  <cp:lastPrinted>1900-12-31T23:00:00Z</cp:lastPrinted>
  <dcterms:created xsi:type="dcterms:W3CDTF">2017-02-28T11:49:00Z</dcterms:created>
  <dcterms:modified xsi:type="dcterms:W3CDTF">2017-02-28T11:49:00Z</dcterms:modified>
</cp:coreProperties>
</file>