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0F3" w:rsidRPr="006030F3" w:rsidRDefault="006030F3" w:rsidP="006030F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6030F3" w:rsidRPr="006030F3" w:rsidRDefault="006030F3" w:rsidP="006030F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sz w:val="28"/>
          <w:szCs w:val="28"/>
          <w:lang w:eastAsia="cs-CZ"/>
        </w:rPr>
      </w:pPr>
      <w:r w:rsidRPr="006030F3">
        <w:rPr>
          <w:rFonts w:ascii="Arial" w:eastAsiaTheme="minorEastAsia" w:hAnsi="Arial" w:cs="Arial"/>
          <w:b/>
          <w:bCs/>
          <w:sz w:val="28"/>
          <w:szCs w:val="28"/>
          <w:lang w:eastAsia="cs-CZ"/>
        </w:rPr>
        <w:t xml:space="preserve">Smlouva o poskytnutí dotace </w:t>
      </w:r>
    </w:p>
    <w:p w:rsidR="006030F3" w:rsidRPr="006030F3" w:rsidRDefault="006030F3" w:rsidP="006030F3">
      <w:pPr>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color w:val="FFFFFF" w:themeColor="background1"/>
          <w:sz w:val="16"/>
          <w:szCs w:val="16"/>
          <w:lang w:eastAsia="cs-CZ"/>
        </w:rPr>
      </w:pPr>
      <w:r w:rsidRPr="006030F3">
        <w:rPr>
          <w:rFonts w:ascii="Arial" w:eastAsiaTheme="minorEastAsia" w:hAnsi="Arial" w:cs="Arial"/>
          <w:color w:val="FFFFFF" w:themeColor="background1"/>
          <w:sz w:val="16"/>
          <w:szCs w:val="16"/>
          <w:lang w:eastAsia="cs-CZ"/>
        </w:rPr>
        <w:t>26264447_Lesy augustiniánského opatství, s.r.o._RP17-21/007</w:t>
      </w:r>
    </w:p>
    <w:p w:rsidR="006030F3" w:rsidRPr="006030F3" w:rsidRDefault="006030F3" w:rsidP="006030F3">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b/>
          <w:bCs/>
          <w:sz w:val="28"/>
          <w:szCs w:val="28"/>
          <w:lang w:eastAsia="cs-CZ"/>
        </w:rPr>
      </w:pPr>
      <w:r w:rsidRPr="006030F3">
        <w:rPr>
          <w:rFonts w:ascii="Arial" w:eastAsiaTheme="minorEastAsia" w:hAnsi="Arial" w:cs="Arial"/>
          <w:b/>
          <w:bCs/>
          <w:sz w:val="28"/>
          <w:szCs w:val="28"/>
          <w:lang w:eastAsia="cs-CZ"/>
        </w:rPr>
        <w:t>č. D/1052/2021/ŽPZE</w:t>
      </w:r>
    </w:p>
    <w:p w:rsidR="006030F3" w:rsidRPr="006030F3" w:rsidRDefault="006030F3" w:rsidP="006030F3">
      <w:pPr>
        <w:tabs>
          <w:tab w:val="clear" w:pos="851"/>
          <w:tab w:val="left" w:pos="8928"/>
        </w:tabs>
        <w:autoSpaceDE w:val="0"/>
        <w:autoSpaceDN w:val="0"/>
        <w:adjustRightInd w:val="0"/>
        <w:spacing w:before="72" w:after="120" w:line="276" w:lineRule="auto"/>
        <w:ind w:firstLine="0"/>
        <w:contextualSpacing w:val="0"/>
        <w:jc w:val="center"/>
        <w:rPr>
          <w:rFonts w:ascii="Arial" w:eastAsiaTheme="minorEastAsia" w:hAnsi="Arial" w:cs="Arial"/>
          <w:sz w:val="24"/>
          <w:szCs w:val="24"/>
          <w:lang w:eastAsia="cs-CZ"/>
        </w:rPr>
      </w:pPr>
      <w:r w:rsidRPr="006030F3">
        <w:rPr>
          <w:rFonts w:ascii="Arial" w:eastAsiaTheme="minorEastAsia" w:hAnsi="Arial" w:cs="Arial"/>
          <w:sz w:val="20"/>
          <w:szCs w:val="20"/>
          <w:lang w:eastAsia="cs-CZ"/>
        </w:rPr>
        <w:t xml:space="preserve"> (uzavřená dle § 159 a násl. zákona č. 500/2004 Sb., správní řád, ve znění pozdějších předpisů)</w:t>
      </w:r>
    </w:p>
    <w:p w:rsidR="006030F3" w:rsidRPr="006030F3" w:rsidRDefault="006030F3" w:rsidP="006030F3">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r w:rsidRPr="006030F3">
        <w:rPr>
          <w:rFonts w:ascii="Arial" w:eastAsiaTheme="minorEastAsia" w:hAnsi="Arial" w:cs="Arial"/>
          <w:sz w:val="20"/>
          <w:szCs w:val="20"/>
          <w:lang w:eastAsia="cs-CZ"/>
        </w:rPr>
        <w:t>mezi:</w:t>
      </w:r>
    </w:p>
    <w:p w:rsidR="006030F3" w:rsidRPr="006030F3" w:rsidRDefault="006030F3" w:rsidP="006030F3">
      <w:pPr>
        <w:tabs>
          <w:tab w:val="clear" w:pos="851"/>
        </w:tabs>
        <w:autoSpaceDE w:val="0"/>
        <w:autoSpaceDN w:val="0"/>
        <w:adjustRightInd w:val="0"/>
        <w:spacing w:line="276" w:lineRule="auto"/>
        <w:ind w:firstLine="0"/>
        <w:contextualSpacing w:val="0"/>
        <w:jc w:val="center"/>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6030F3" w:rsidRPr="006030F3" w:rsidTr="005A43DB">
        <w:tc>
          <w:tcPr>
            <w:tcW w:w="2122" w:type="dxa"/>
            <w:tcBorders>
              <w:top w:val="nil"/>
              <w:left w:val="nil"/>
              <w:bottom w:val="nil"/>
              <w:right w:val="nil"/>
            </w:tcBorders>
          </w:tcPr>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Poskytovatel dotace:</w:t>
            </w:r>
          </w:p>
        </w:tc>
        <w:tc>
          <w:tcPr>
            <w:tcW w:w="6940" w:type="dxa"/>
            <w:tcBorders>
              <w:top w:val="nil"/>
              <w:left w:val="nil"/>
              <w:bottom w:val="nil"/>
              <w:right w:val="nil"/>
            </w:tcBorders>
          </w:tcPr>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Zlínský kraj</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se sídlem ve Zlíně, tř. T. Bati 21, PSČ 761 90</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zastupuje: Bc. Hana Ančincová, statutární náměstkyně hejtmana Zlínského kraje, na základě pověření</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IČO: 70891320</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bankovní spojení: 1827552/0800</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(dále i jen „</w:t>
            </w:r>
            <w:r w:rsidRPr="006030F3">
              <w:rPr>
                <w:rFonts w:ascii="Arial" w:eastAsiaTheme="minorEastAsia" w:hAnsi="Arial" w:cs="Arial"/>
                <w:b/>
                <w:bCs/>
                <w:sz w:val="20"/>
                <w:szCs w:val="20"/>
                <w:lang w:eastAsia="cs-CZ"/>
              </w:rPr>
              <w:t>poskytovatel</w:t>
            </w:r>
            <w:r w:rsidRPr="006030F3">
              <w:rPr>
                <w:rFonts w:ascii="Arial" w:eastAsiaTheme="minorEastAsia" w:hAnsi="Arial" w:cs="Arial"/>
                <w:sz w:val="20"/>
                <w:szCs w:val="20"/>
                <w:lang w:eastAsia="cs-CZ"/>
              </w:rPr>
              <w:t>“)</w:t>
            </w:r>
          </w:p>
        </w:tc>
      </w:tr>
    </w:tbl>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a</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p>
    <w:tbl>
      <w:tblPr>
        <w:tblW w:w="0" w:type="auto"/>
        <w:tblLayout w:type="fixed"/>
        <w:tblLook w:val="0000" w:firstRow="0" w:lastRow="0" w:firstColumn="0" w:lastColumn="0" w:noHBand="0" w:noVBand="0"/>
      </w:tblPr>
      <w:tblGrid>
        <w:gridCol w:w="2122"/>
        <w:gridCol w:w="6940"/>
      </w:tblGrid>
      <w:tr w:rsidR="006030F3" w:rsidRPr="006030F3" w:rsidTr="005A43DB">
        <w:tc>
          <w:tcPr>
            <w:tcW w:w="2122" w:type="dxa"/>
            <w:tcBorders>
              <w:top w:val="nil"/>
              <w:left w:val="nil"/>
              <w:bottom w:val="nil"/>
              <w:right w:val="nil"/>
            </w:tcBorders>
          </w:tcPr>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Příjemce dotace:</w:t>
            </w:r>
          </w:p>
        </w:tc>
        <w:tc>
          <w:tcPr>
            <w:tcW w:w="6940" w:type="dxa"/>
            <w:tcBorders>
              <w:top w:val="nil"/>
              <w:left w:val="nil"/>
              <w:bottom w:val="nil"/>
              <w:right w:val="nil"/>
            </w:tcBorders>
          </w:tcPr>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6030F3">
              <w:rPr>
                <w:rFonts w:ascii="Arial" w:eastAsiaTheme="minorEastAsia" w:hAnsi="Arial" w:cs="Arial"/>
                <w:b/>
                <w:bCs/>
                <w:sz w:val="20"/>
                <w:szCs w:val="20"/>
                <w:lang w:eastAsia="cs-CZ"/>
              </w:rPr>
              <w:t>Lesy augustiniánského opatství, s.r.o.</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sídlo: Mendlovo náměstí 157/1, 60300 Brno</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typ příjemce: PRÁVNICKÁ OSOBA - Společnost s ručením omezeným</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IČO: 26264447</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bankovní spojení: Česká spořitelna, a.s., 3977600329/0800</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 xml:space="preserve">zastupuje: </w:t>
            </w:r>
            <w:r w:rsidR="00C1044B">
              <w:rPr>
                <w:rFonts w:ascii="Arial" w:eastAsiaTheme="minorEastAsia" w:hAnsi="Arial" w:cs="Arial"/>
                <w:sz w:val="20"/>
                <w:szCs w:val="20"/>
                <w:lang w:eastAsia="cs-CZ"/>
              </w:rPr>
              <w:t>XXXXXXXXXXXXXXXXX</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zapsaný: Krajský soud v Brně, oddíl C, vložka 39830</w:t>
            </w:r>
          </w:p>
          <w:p w:rsidR="006030F3" w:rsidRPr="006030F3" w:rsidRDefault="006030F3" w:rsidP="006030F3">
            <w:pPr>
              <w:tabs>
                <w:tab w:val="clear" w:pos="851"/>
              </w:tabs>
              <w:autoSpaceDE w:val="0"/>
              <w:autoSpaceDN w:val="0"/>
              <w:adjustRightInd w:val="0"/>
              <w:spacing w:line="276"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(dále jen „</w:t>
            </w:r>
            <w:r w:rsidRPr="006030F3">
              <w:rPr>
                <w:rFonts w:ascii="Arial" w:eastAsiaTheme="minorEastAsia" w:hAnsi="Arial" w:cs="Arial"/>
                <w:b/>
                <w:bCs/>
                <w:sz w:val="20"/>
                <w:szCs w:val="20"/>
                <w:lang w:eastAsia="cs-CZ"/>
              </w:rPr>
              <w:t>příjemce</w:t>
            </w:r>
            <w:r w:rsidRPr="006030F3">
              <w:rPr>
                <w:rFonts w:ascii="Arial" w:eastAsiaTheme="minorEastAsia" w:hAnsi="Arial" w:cs="Arial"/>
                <w:sz w:val="20"/>
                <w:szCs w:val="20"/>
                <w:lang w:eastAsia="cs-CZ"/>
              </w:rPr>
              <w:t>“)</w:t>
            </w:r>
          </w:p>
        </w:tc>
      </w:tr>
    </w:tbl>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1.</w:t>
      </w:r>
      <w:r w:rsidRPr="006030F3">
        <w:rPr>
          <w:rFonts w:ascii="Arial" w:eastAsiaTheme="minorEastAsia" w:hAnsi="Arial" w:cs="Arial"/>
          <w:b/>
          <w:sz w:val="20"/>
          <w:szCs w:val="24"/>
          <w:lang w:eastAsia="cs-CZ"/>
        </w:rPr>
        <w:tab/>
        <w:t>Předmět smlouvy</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1.1</w:t>
      </w:r>
      <w:r w:rsidRPr="006030F3">
        <w:rPr>
          <w:rFonts w:ascii="Arial" w:eastAsiaTheme="minorEastAsia" w:hAnsi="Arial" w:cs="Arial"/>
          <w:sz w:val="20"/>
          <w:szCs w:val="20"/>
          <w:lang w:eastAsia="cs-CZ"/>
        </w:rPr>
        <w:tab/>
        <w:t xml:space="preserve">Poskytovatel se zavazuje poskytnout příjemci </w:t>
      </w:r>
      <w:r w:rsidRPr="006030F3">
        <w:rPr>
          <w:rFonts w:ascii="Arial" w:eastAsiaTheme="minorEastAsia" w:hAnsi="Arial" w:cs="Arial"/>
          <w:b/>
          <w:sz w:val="20"/>
          <w:szCs w:val="20"/>
          <w:lang w:eastAsia="cs-CZ"/>
        </w:rPr>
        <w:t>INVESTIČNÍ</w:t>
      </w:r>
      <w:r w:rsidRPr="006030F3">
        <w:rPr>
          <w:rFonts w:ascii="Arial" w:eastAsiaTheme="minorEastAsia" w:hAnsi="Arial" w:cs="Arial"/>
          <w:i/>
          <w:iCs/>
          <w:color w:val="5B9BD5"/>
          <w:sz w:val="16"/>
          <w:szCs w:val="16"/>
          <w:lang w:eastAsia="cs-CZ"/>
        </w:rPr>
        <w:t xml:space="preserve"> </w:t>
      </w:r>
      <w:r w:rsidRPr="006030F3">
        <w:rPr>
          <w:rFonts w:ascii="Arial" w:eastAsiaTheme="minorEastAsia" w:hAnsi="Arial" w:cs="Arial"/>
          <w:b/>
          <w:bCs/>
          <w:sz w:val="20"/>
          <w:szCs w:val="20"/>
          <w:lang w:eastAsia="cs-CZ"/>
        </w:rPr>
        <w:t>dotaci</w:t>
      </w:r>
      <w:r w:rsidRPr="006030F3">
        <w:rPr>
          <w:rFonts w:ascii="Arial" w:eastAsiaTheme="minorEastAsia" w:hAnsi="Arial" w:cs="Arial"/>
          <w:sz w:val="20"/>
          <w:szCs w:val="20"/>
          <w:lang w:eastAsia="cs-CZ"/>
        </w:rPr>
        <w:t xml:space="preserve">  z Fondu Zlínského kraje (dále jen „</w:t>
      </w:r>
      <w:r w:rsidRPr="006030F3">
        <w:rPr>
          <w:rFonts w:ascii="Arial" w:eastAsiaTheme="minorEastAsia" w:hAnsi="Arial" w:cs="Arial"/>
          <w:b/>
          <w:bCs/>
          <w:sz w:val="20"/>
          <w:szCs w:val="20"/>
          <w:lang w:eastAsia="cs-CZ"/>
        </w:rPr>
        <w:t>dotace</w:t>
      </w:r>
      <w:r w:rsidRPr="006030F3">
        <w:rPr>
          <w:rFonts w:ascii="Arial" w:eastAsiaTheme="minorEastAsia" w:hAnsi="Arial" w:cs="Arial"/>
          <w:sz w:val="20"/>
          <w:szCs w:val="20"/>
          <w:lang w:eastAsia="cs-CZ"/>
        </w:rPr>
        <w:t>“) do výše </w:t>
      </w:r>
      <w:r w:rsidRPr="006030F3">
        <w:rPr>
          <w:rFonts w:ascii="Arial" w:eastAsiaTheme="minorEastAsia" w:hAnsi="Arial" w:cs="Arial"/>
          <w:b/>
          <w:bCs/>
          <w:sz w:val="20"/>
          <w:szCs w:val="20"/>
          <w:lang w:eastAsia="cs-CZ"/>
        </w:rPr>
        <w:t>458100,00 Kč</w:t>
      </w:r>
      <w:r w:rsidRPr="006030F3">
        <w:rPr>
          <w:rFonts w:ascii="Arial" w:eastAsiaTheme="minorEastAsia" w:hAnsi="Arial" w:cs="Arial"/>
          <w:sz w:val="20"/>
          <w:szCs w:val="20"/>
          <w:lang w:eastAsia="cs-CZ"/>
        </w:rPr>
        <w:t xml:space="preserve">, (slovy: čtyřistapadesátosmtisícjednostokorunčeských), současně však </w:t>
      </w:r>
      <w:r w:rsidRPr="006030F3">
        <w:rPr>
          <w:rFonts w:ascii="Arial" w:eastAsiaTheme="minorEastAsia" w:hAnsi="Arial" w:cs="Arial"/>
          <w:b/>
          <w:bCs/>
          <w:sz w:val="20"/>
          <w:szCs w:val="20"/>
          <w:lang w:eastAsia="cs-CZ"/>
        </w:rPr>
        <w:t>maximálně 70,00 % celkových způsobilých výdajů</w:t>
      </w:r>
      <w:r w:rsidRPr="006030F3">
        <w:rPr>
          <w:rFonts w:ascii="Arial" w:eastAsiaTheme="minorEastAsia" w:hAnsi="Arial" w:cs="Arial"/>
          <w:sz w:val="20"/>
          <w:szCs w:val="20"/>
          <w:lang w:eastAsia="cs-CZ"/>
        </w:rPr>
        <w:t xml:space="preserve"> projektu na realizaci projektu </w:t>
      </w:r>
      <w:r w:rsidRPr="006030F3">
        <w:rPr>
          <w:rFonts w:ascii="Arial" w:eastAsiaTheme="minorEastAsia" w:hAnsi="Arial" w:cs="Arial"/>
          <w:b/>
          <w:bCs/>
          <w:sz w:val="20"/>
          <w:szCs w:val="20"/>
          <w:lang w:eastAsia="cs-CZ"/>
        </w:rPr>
        <w:t>„Podpora usměrňování odtoku a vsakování vody v rámci lesních cest “</w:t>
      </w:r>
      <w:r w:rsidRPr="006030F3">
        <w:rPr>
          <w:rFonts w:ascii="Arial" w:eastAsiaTheme="minorEastAsia" w:hAnsi="Arial" w:cs="Arial"/>
          <w:sz w:val="20"/>
          <w:szCs w:val="20"/>
          <w:lang w:eastAsia="cs-CZ"/>
        </w:rPr>
        <w:t xml:space="preserve"> (dále jen „</w:t>
      </w:r>
      <w:r w:rsidRPr="006030F3">
        <w:rPr>
          <w:rFonts w:ascii="Arial" w:eastAsiaTheme="minorEastAsia" w:hAnsi="Arial" w:cs="Arial"/>
          <w:b/>
          <w:bCs/>
          <w:sz w:val="20"/>
          <w:szCs w:val="20"/>
          <w:lang w:eastAsia="cs-CZ"/>
        </w:rPr>
        <w:t>projekt</w:t>
      </w:r>
      <w:r w:rsidRPr="006030F3">
        <w:rPr>
          <w:rFonts w:ascii="Arial" w:eastAsiaTheme="minorEastAsia" w:hAnsi="Arial" w:cs="Arial"/>
          <w:sz w:val="20"/>
          <w:szCs w:val="20"/>
          <w:lang w:eastAsia="cs-CZ"/>
        </w:rPr>
        <w:t xml:space="preserve">“), evidovaného pod registračním číslem žádosti o poskytnutí dotace </w:t>
      </w:r>
      <w:r w:rsidRPr="006030F3">
        <w:rPr>
          <w:rFonts w:ascii="Arial" w:eastAsiaTheme="minorEastAsia" w:hAnsi="Arial" w:cs="Arial"/>
          <w:b/>
          <w:bCs/>
          <w:sz w:val="20"/>
          <w:szCs w:val="20"/>
          <w:lang w:eastAsia="cs-CZ"/>
        </w:rPr>
        <w:t>RP17-21/007</w:t>
      </w:r>
      <w:r w:rsidRPr="006030F3">
        <w:rPr>
          <w:rFonts w:ascii="Arial" w:eastAsiaTheme="minorEastAsia" w:hAnsi="Arial" w:cs="Arial"/>
          <w:sz w:val="20"/>
          <w:szCs w:val="20"/>
          <w:lang w:eastAsia="cs-CZ"/>
        </w:rPr>
        <w:t>, který je blíže popsán v žádosti o poskytnutí dotace.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1.2</w:t>
      </w:r>
      <w:r w:rsidRPr="006030F3">
        <w:rPr>
          <w:rFonts w:ascii="Arial" w:eastAsiaTheme="minorEastAsia" w:hAnsi="Arial" w:cs="Arial"/>
          <w:sz w:val="20"/>
          <w:szCs w:val="20"/>
          <w:lang w:eastAsia="cs-CZ"/>
        </w:rPr>
        <w:tab/>
        <w:t>Dotace je poskytována na základě programu RP17-21 Podpora zmírnění následků sucha v lesích, schváleného Radou Zlínského kraje dne 21.12.2020 usnesením č. 0928/R32/20 (dále jen „</w:t>
      </w:r>
      <w:r w:rsidRPr="006030F3">
        <w:rPr>
          <w:rFonts w:ascii="Arial" w:eastAsiaTheme="minorEastAsia" w:hAnsi="Arial" w:cs="Arial"/>
          <w:b/>
          <w:bCs/>
          <w:sz w:val="20"/>
          <w:szCs w:val="20"/>
          <w:lang w:eastAsia="cs-CZ"/>
        </w:rPr>
        <w:t>program</w:t>
      </w:r>
      <w:r w:rsidRPr="006030F3">
        <w:rPr>
          <w:rFonts w:ascii="Arial" w:eastAsiaTheme="minorEastAsia" w:hAnsi="Arial" w:cs="Arial"/>
          <w:sz w:val="20"/>
          <w:szCs w:val="20"/>
          <w:lang w:eastAsia="cs-CZ"/>
        </w:rPr>
        <w:t>“).</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1.3</w:t>
      </w:r>
      <w:r w:rsidRPr="006030F3">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2.</w:t>
      </w:r>
      <w:r w:rsidRPr="006030F3">
        <w:rPr>
          <w:rFonts w:ascii="Arial" w:eastAsiaTheme="minorEastAsia" w:hAnsi="Arial" w:cs="Arial"/>
          <w:b/>
          <w:sz w:val="20"/>
          <w:szCs w:val="24"/>
          <w:lang w:eastAsia="cs-CZ"/>
        </w:rPr>
        <w:tab/>
        <w:t>Doba realizace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2.1</w:t>
      </w:r>
      <w:r w:rsidRPr="006030F3">
        <w:rPr>
          <w:rFonts w:ascii="Arial" w:eastAsiaTheme="minorEastAsia" w:hAnsi="Arial" w:cs="Arial"/>
          <w:sz w:val="20"/>
          <w:szCs w:val="20"/>
          <w:lang w:eastAsia="cs-CZ"/>
        </w:rPr>
        <w:tab/>
        <w:t xml:space="preserve">Doba realizace začíná dnem1.1.2021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2.2</w:t>
      </w:r>
      <w:r w:rsidRPr="006030F3">
        <w:rPr>
          <w:rFonts w:ascii="Arial" w:eastAsiaTheme="minorEastAsia" w:hAnsi="Arial" w:cs="Arial"/>
          <w:sz w:val="20"/>
          <w:szCs w:val="20"/>
          <w:lang w:eastAsia="cs-CZ"/>
        </w:rPr>
        <w:tab/>
        <w:t>Doba realizace končí dnem 21.11.2021</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2.3</w:t>
      </w:r>
      <w:r w:rsidRPr="006030F3">
        <w:rPr>
          <w:rFonts w:ascii="Arial" w:eastAsiaTheme="minorEastAsia" w:hAnsi="Arial" w:cs="Arial"/>
          <w:sz w:val="20"/>
          <w:szCs w:val="20"/>
          <w:lang w:eastAsia="cs-CZ"/>
        </w:rPr>
        <w:tab/>
        <w:t xml:space="preserve">Způsobilé výdaje musí příjemci vzniknout v době realizace a musí jím být uhrazeny způsobem specifikovaným v odst. 5.2. </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lastRenderedPageBreak/>
        <w:t>3.</w:t>
      </w:r>
      <w:r w:rsidRPr="006030F3">
        <w:rPr>
          <w:rFonts w:ascii="Arial" w:eastAsiaTheme="minorEastAsia" w:hAnsi="Arial" w:cs="Arial"/>
          <w:b/>
          <w:sz w:val="20"/>
          <w:szCs w:val="24"/>
          <w:lang w:eastAsia="cs-CZ"/>
        </w:rPr>
        <w:tab/>
        <w:t>Monitorovací indikátory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3.1</w:t>
      </w:r>
      <w:r w:rsidRPr="006030F3">
        <w:rPr>
          <w:rFonts w:ascii="Arial" w:eastAsiaTheme="minorEastAsia" w:hAnsi="Arial" w:cs="Arial"/>
          <w:sz w:val="20"/>
          <w:szCs w:val="20"/>
          <w:lang w:eastAsia="cs-CZ"/>
        </w:rPr>
        <w:tab/>
        <w:t>Během doby realizace se příjemce zavazuje naplnit monitorovací indikátory projektu, jejichž minimální závazné hodnoty jsou uvedeny v následující tabulce, a to nejpozději k datu ukončení doby realizace:</w:t>
      </w:r>
    </w:p>
    <w:tbl>
      <w:tblPr>
        <w:tblW w:w="0" w:type="auto"/>
        <w:tblInd w:w="5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13"/>
        <w:gridCol w:w="2141"/>
        <w:gridCol w:w="2580"/>
      </w:tblGrid>
      <w:tr w:rsidR="006030F3" w:rsidRPr="006030F3" w:rsidTr="005A43DB">
        <w:trPr>
          <w:trHeight w:val="426"/>
        </w:trPr>
        <w:tc>
          <w:tcPr>
            <w:tcW w:w="8634" w:type="dxa"/>
            <w:gridSpan w:val="3"/>
            <w:tcBorders>
              <w:top w:val="single" w:sz="4" w:space="0" w:color="auto"/>
              <w:bottom w:val="single" w:sz="4" w:space="0" w:color="auto"/>
            </w:tcBorders>
            <w:shd w:val="clear" w:color="auto" w:fill="D9D9D9"/>
            <w:vAlign w:val="center"/>
          </w:tcPr>
          <w:p w:rsidR="006030F3" w:rsidRPr="006030F3" w:rsidRDefault="006030F3" w:rsidP="006030F3">
            <w:pPr>
              <w:tabs>
                <w:tab w:val="clear" w:pos="851"/>
                <w:tab w:val="left" w:pos="360"/>
              </w:tabs>
              <w:autoSpaceDE w:val="0"/>
              <w:autoSpaceDN w:val="0"/>
              <w:adjustRightInd w:val="0"/>
              <w:spacing w:after="160" w:line="252" w:lineRule="auto"/>
              <w:ind w:firstLine="0"/>
              <w:contextualSpacing w:val="0"/>
              <w:jc w:val="center"/>
              <w:rPr>
                <w:rFonts w:ascii="Arial" w:eastAsiaTheme="minorEastAsia" w:hAnsi="Arial" w:cs="Arial"/>
                <w:b/>
                <w:bCs/>
                <w:sz w:val="16"/>
                <w:szCs w:val="16"/>
                <w:lang w:eastAsia="cs-CZ"/>
              </w:rPr>
            </w:pPr>
            <w:r w:rsidRPr="006030F3">
              <w:rPr>
                <w:rFonts w:ascii="Arial" w:eastAsiaTheme="minorEastAsia" w:hAnsi="Arial" w:cs="Arial"/>
                <w:b/>
                <w:bCs/>
                <w:sz w:val="16"/>
                <w:szCs w:val="16"/>
                <w:lang w:eastAsia="cs-CZ"/>
              </w:rPr>
              <w:t>MONITOROVACÍ INDIKÁTORY - VÝSTUPY PROJEKTU</w:t>
            </w:r>
          </w:p>
        </w:tc>
      </w:tr>
      <w:tr w:rsidR="006030F3" w:rsidRPr="006030F3" w:rsidTr="005A43DB">
        <w:trPr>
          <w:trHeight w:val="306"/>
        </w:trPr>
        <w:tc>
          <w:tcPr>
            <w:tcW w:w="3913" w:type="dxa"/>
            <w:tcBorders>
              <w:top w:val="single" w:sz="4" w:space="0" w:color="auto"/>
              <w:bottom w:val="single" w:sz="4" w:space="0" w:color="auto"/>
              <w:right w:val="single" w:sz="4" w:space="0" w:color="auto"/>
            </w:tcBorders>
            <w:shd w:val="clear" w:color="auto" w:fill="C0C0C0"/>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Výstup</w:t>
            </w:r>
          </w:p>
        </w:tc>
        <w:tc>
          <w:tcPr>
            <w:tcW w:w="2141" w:type="dxa"/>
            <w:tcBorders>
              <w:top w:val="single" w:sz="4" w:space="0" w:color="auto"/>
              <w:left w:val="single" w:sz="4" w:space="0" w:color="auto"/>
              <w:bottom w:val="single" w:sz="4" w:space="0" w:color="auto"/>
              <w:right w:val="single" w:sz="4" w:space="0" w:color="auto"/>
            </w:tcBorders>
            <w:shd w:val="clear" w:color="auto" w:fill="C0C0C0"/>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měrná jednotka</w:t>
            </w:r>
          </w:p>
        </w:tc>
        <w:tc>
          <w:tcPr>
            <w:tcW w:w="2580" w:type="dxa"/>
            <w:tcBorders>
              <w:top w:val="single" w:sz="4" w:space="0" w:color="auto"/>
              <w:left w:val="single" w:sz="4" w:space="0" w:color="auto"/>
              <w:bottom w:val="single" w:sz="4" w:space="0" w:color="auto"/>
            </w:tcBorders>
            <w:shd w:val="clear" w:color="auto" w:fill="C0C0C0"/>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i/>
                <w:iCs/>
                <w:sz w:val="20"/>
                <w:szCs w:val="20"/>
                <w:lang w:eastAsia="cs-CZ"/>
              </w:rPr>
            </w:pPr>
            <w:r w:rsidRPr="006030F3">
              <w:rPr>
                <w:rFonts w:ascii="Arial" w:eastAsiaTheme="minorEastAsia" w:hAnsi="Arial" w:cs="Arial"/>
                <w:sz w:val="20"/>
                <w:szCs w:val="20"/>
                <w:lang w:eastAsia="cs-CZ"/>
              </w:rPr>
              <w:t>minimální závazná hodnota</w:t>
            </w:r>
          </w:p>
        </w:tc>
      </w:tr>
      <w:tr w:rsidR="006030F3" w:rsidRPr="006030F3" w:rsidTr="005A43DB">
        <w:trPr>
          <w:trHeight w:val="567"/>
        </w:trPr>
        <w:tc>
          <w:tcPr>
            <w:tcW w:w="3913" w:type="dxa"/>
            <w:tcBorders>
              <w:top w:val="single" w:sz="4" w:space="0" w:color="auto"/>
              <w:bottom w:val="single" w:sz="4" w:space="0" w:color="auto"/>
              <w:right w:val="single" w:sz="4" w:space="0" w:color="auto"/>
            </w:tcBorders>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Počet rekonstruovaných a doplněných objektů – drenáž, trativod, propustek, pramenná jímka, vsakovací objekt, protipožární nádržka</w:t>
            </w:r>
          </w:p>
        </w:tc>
        <w:tc>
          <w:tcPr>
            <w:tcW w:w="2141" w:type="dxa"/>
            <w:tcBorders>
              <w:top w:val="single" w:sz="4" w:space="0" w:color="auto"/>
              <w:left w:val="single" w:sz="4" w:space="0" w:color="auto"/>
              <w:bottom w:val="single" w:sz="4" w:space="0" w:color="auto"/>
              <w:right w:val="single" w:sz="4" w:space="0" w:color="auto"/>
            </w:tcBorders>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ks</w:t>
            </w:r>
          </w:p>
        </w:tc>
        <w:tc>
          <w:tcPr>
            <w:tcW w:w="2580" w:type="dxa"/>
            <w:tcBorders>
              <w:top w:val="single" w:sz="4" w:space="0" w:color="auto"/>
              <w:left w:val="single" w:sz="4" w:space="0" w:color="auto"/>
              <w:bottom w:val="single" w:sz="4" w:space="0" w:color="auto"/>
            </w:tcBorders>
            <w:vAlign w:val="center"/>
          </w:tcPr>
          <w:p w:rsidR="006030F3" w:rsidRPr="006030F3" w:rsidRDefault="006030F3" w:rsidP="006030F3">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b/>
                <w:bCs/>
                <w:sz w:val="20"/>
                <w:szCs w:val="20"/>
                <w:lang w:eastAsia="cs-CZ"/>
              </w:rPr>
              <w:t>24,00</w:t>
            </w:r>
          </w:p>
        </w:tc>
      </w:tr>
    </w:tbl>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3.2</w:t>
      </w:r>
      <w:r w:rsidRPr="006030F3">
        <w:rPr>
          <w:rFonts w:ascii="Arial" w:eastAsiaTheme="minorEastAsia" w:hAnsi="Arial" w:cs="Arial"/>
          <w:sz w:val="20"/>
          <w:szCs w:val="20"/>
          <w:lang w:eastAsia="cs-CZ"/>
        </w:rPr>
        <w:tab/>
        <w:t xml:space="preserve">Částečné nenaplnění kteréhokoliv monitorovacího indikátoru uvedeného v tabulce v předchozím odstavci, </w:t>
      </w:r>
      <w:r w:rsidRPr="006030F3">
        <w:rPr>
          <w:rFonts w:ascii="Arial" w:eastAsiaTheme="minorEastAsia" w:hAnsi="Arial" w:cs="Arial"/>
          <w:b/>
          <w:bCs/>
          <w:sz w:val="20"/>
          <w:szCs w:val="20"/>
          <w:lang w:eastAsia="cs-CZ"/>
        </w:rPr>
        <w:t>maximálně však o 5 %</w:t>
      </w:r>
      <w:r w:rsidRPr="006030F3">
        <w:rPr>
          <w:rFonts w:ascii="Arial" w:eastAsiaTheme="minorEastAsia" w:hAnsi="Arial" w:cs="Arial"/>
          <w:sz w:val="20"/>
          <w:szCs w:val="20"/>
          <w:lang w:eastAsia="cs-CZ"/>
        </w:rPr>
        <w:t xml:space="preserve">, zůstane-li zachován účel a smysl projektu, nebude považováno za porušení podmínek smlouvy. V případě překročení uvedené tolerance částečného nenaplnění monitorovacích indikátorů, se jedná o podstatné nenaplnění monitorovacích indikátorů. </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4.</w:t>
      </w:r>
      <w:r w:rsidRPr="006030F3">
        <w:rPr>
          <w:rFonts w:ascii="Arial" w:eastAsiaTheme="minorEastAsia" w:hAnsi="Arial" w:cs="Arial"/>
          <w:b/>
          <w:sz w:val="20"/>
          <w:szCs w:val="24"/>
          <w:lang w:eastAsia="cs-CZ"/>
        </w:rPr>
        <w:tab/>
        <w:t>Financování projektu</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4.1</w:t>
      </w:r>
      <w:r w:rsidRPr="006030F3">
        <w:rPr>
          <w:rFonts w:ascii="Arial" w:eastAsiaTheme="minorEastAsia" w:hAnsi="Arial" w:cs="Arial"/>
          <w:sz w:val="20"/>
          <w:szCs w:val="20"/>
          <w:lang w:eastAsia="cs-CZ"/>
        </w:rPr>
        <w:tab/>
        <w:t>Dotace bude příjemci poskytnuta na účet uvedený v záhlaví této smlouvy následujícím způsobem:</w:t>
      </w:r>
      <w:r w:rsidRPr="006030F3">
        <w:rPr>
          <w:rFonts w:ascii="Arial" w:eastAsiaTheme="minorEastAsia" w:hAnsi="Arial" w:cs="Arial"/>
          <w:sz w:val="20"/>
          <w:szCs w:val="20"/>
          <w:lang w:eastAsia="cs-CZ"/>
        </w:rPr>
        <w:br/>
      </w:r>
      <w:r w:rsidRPr="006030F3">
        <w:rPr>
          <w:rFonts w:ascii="Arial" w:eastAsiaTheme="minorEastAsia" w:hAnsi="Arial" w:cs="Arial"/>
          <w:b/>
          <w:bCs/>
          <w:sz w:val="20"/>
          <w:szCs w:val="20"/>
          <w:lang w:eastAsia="cs-CZ"/>
        </w:rPr>
        <w:t xml:space="preserve">do 30 </w:t>
      </w:r>
      <w:r w:rsidRPr="006030F3">
        <w:rPr>
          <w:rFonts w:ascii="Arial" w:eastAsiaTheme="minorEastAsia" w:hAnsi="Arial" w:cs="Arial"/>
          <w:sz w:val="20"/>
          <w:szCs w:val="20"/>
          <w:lang w:eastAsia="cs-CZ"/>
        </w:rPr>
        <w:t>pracovních</w:t>
      </w:r>
      <w:r w:rsidRPr="006030F3">
        <w:rPr>
          <w:rFonts w:ascii="Arial" w:eastAsiaTheme="minorEastAsia" w:hAnsi="Arial" w:cs="Arial"/>
          <w:b/>
          <w:bCs/>
          <w:sz w:val="20"/>
          <w:szCs w:val="20"/>
          <w:lang w:eastAsia="cs-CZ"/>
        </w:rPr>
        <w:t xml:space="preserve"> dnů po schválení Závěrečné zprávy</w:t>
      </w:r>
      <w:r w:rsidRPr="006030F3">
        <w:rPr>
          <w:rFonts w:ascii="Arial" w:eastAsiaTheme="minorEastAsia" w:hAnsi="Arial" w:cs="Arial"/>
          <w:sz w:val="20"/>
          <w:szCs w:val="20"/>
          <w:lang w:eastAsia="cs-CZ"/>
        </w:rPr>
        <w:t xml:space="preserve"> s vyúčtováním dotace předložené příjemcem dle čl. 4.4.</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4.2</w:t>
      </w:r>
      <w:r w:rsidRPr="006030F3">
        <w:rPr>
          <w:rFonts w:ascii="Arial" w:eastAsiaTheme="minorEastAsia" w:hAnsi="Arial" w:cs="Arial"/>
          <w:sz w:val="20"/>
          <w:szCs w:val="20"/>
          <w:lang w:eastAsia="cs-CZ"/>
        </w:rPr>
        <w:tab/>
      </w:r>
      <w:r w:rsidRPr="006030F3">
        <w:rPr>
          <w:rFonts w:ascii="Arial" w:eastAsiaTheme="minorEastAsia" w:hAnsi="Arial" w:cs="Arial"/>
          <w:b/>
          <w:bCs/>
          <w:sz w:val="20"/>
          <w:szCs w:val="20"/>
          <w:lang w:eastAsia="cs-CZ"/>
        </w:rPr>
        <w:t>Předpokládané celkové způsobilé výdaje</w:t>
      </w:r>
      <w:r w:rsidRPr="006030F3">
        <w:rPr>
          <w:rFonts w:ascii="Arial" w:eastAsiaTheme="minorEastAsia" w:hAnsi="Arial" w:cs="Arial"/>
          <w:sz w:val="20"/>
          <w:szCs w:val="20"/>
          <w:lang w:eastAsia="cs-CZ"/>
        </w:rPr>
        <w:t xml:space="preserve"> projektu činí </w:t>
      </w:r>
      <w:r w:rsidRPr="006030F3">
        <w:rPr>
          <w:rFonts w:ascii="Arial" w:eastAsiaTheme="minorEastAsia" w:hAnsi="Arial" w:cs="Arial"/>
          <w:b/>
          <w:bCs/>
          <w:sz w:val="20"/>
          <w:szCs w:val="20"/>
          <w:lang w:eastAsia="cs-CZ"/>
        </w:rPr>
        <w:t>654435,00</w:t>
      </w:r>
      <w:r w:rsidRPr="006030F3">
        <w:rPr>
          <w:rFonts w:ascii="Arial" w:eastAsiaTheme="minorEastAsia" w:hAnsi="Arial" w:cs="Arial"/>
          <w:sz w:val="20"/>
          <w:szCs w:val="20"/>
          <w:lang w:eastAsia="cs-CZ"/>
        </w:rPr>
        <w:t xml:space="preserve"> Kč. 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4.3</w:t>
      </w:r>
      <w:r w:rsidRPr="006030F3">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4.4</w:t>
      </w:r>
      <w:r w:rsidRPr="006030F3">
        <w:rPr>
          <w:rFonts w:ascii="Arial" w:eastAsiaTheme="minorEastAsia" w:hAnsi="Arial" w:cs="Arial"/>
          <w:sz w:val="20"/>
          <w:szCs w:val="20"/>
          <w:lang w:eastAsia="cs-CZ"/>
        </w:rPr>
        <w:tab/>
        <w:t xml:space="preserve">Po ukončení doby realizace dle odst. 2.2 je příjemce povinen předložit Odboru životního prostředí </w:t>
      </w:r>
      <w:r w:rsidR="00156BB8">
        <w:rPr>
          <w:rFonts w:ascii="Arial" w:eastAsiaTheme="minorEastAsia" w:hAnsi="Arial" w:cs="Arial"/>
          <w:sz w:val="20"/>
          <w:szCs w:val="20"/>
          <w:lang w:eastAsia="cs-CZ"/>
        </w:rPr>
        <w:t xml:space="preserve"> a zemědělství </w:t>
      </w:r>
      <w:r w:rsidRPr="006030F3">
        <w:rPr>
          <w:rFonts w:ascii="Arial" w:eastAsiaTheme="minorEastAsia" w:hAnsi="Arial" w:cs="Arial"/>
          <w:sz w:val="20"/>
          <w:szCs w:val="20"/>
          <w:lang w:eastAsia="cs-CZ"/>
        </w:rPr>
        <w:t xml:space="preserve">Krajského úřadu Zlínského kraje </w:t>
      </w:r>
      <w:r w:rsidRPr="006030F3">
        <w:rPr>
          <w:rFonts w:ascii="Arial" w:eastAsiaTheme="minorEastAsia" w:hAnsi="Arial" w:cs="Arial"/>
          <w:b/>
          <w:bCs/>
          <w:sz w:val="20"/>
          <w:szCs w:val="20"/>
          <w:lang w:eastAsia="cs-CZ"/>
        </w:rPr>
        <w:t>závěrečnou zprávu, a to nejpozději do 26.11.2021</w:t>
      </w:r>
      <w:r w:rsidRPr="006030F3">
        <w:rPr>
          <w:rFonts w:ascii="Arial" w:eastAsiaTheme="minorEastAsia" w:hAnsi="Arial" w:cs="Arial"/>
          <w:sz w:val="20"/>
          <w:szCs w:val="20"/>
          <w:lang w:eastAsia="cs-CZ"/>
        </w:rPr>
        <w:t>.</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4.5</w:t>
      </w:r>
      <w:r w:rsidRPr="006030F3">
        <w:rPr>
          <w:rFonts w:ascii="Arial" w:eastAsiaTheme="minorEastAsia" w:hAnsi="Arial" w:cs="Arial"/>
          <w:sz w:val="20"/>
          <w:szCs w:val="20"/>
          <w:lang w:eastAsia="cs-CZ"/>
        </w:rPr>
        <w:tab/>
        <w:t xml:space="preserve">Závěrečnou zprávou se rozumí předložení formuláře s vyplněnou tabulkou s výčtem všech celkových způsobilých výdajů projektu, a předložení všech potřebných dokladů uvedených ve </w:t>
      </w:r>
      <w:r w:rsidRPr="006030F3">
        <w:rPr>
          <w:rFonts w:ascii="Arial" w:eastAsiaTheme="minorEastAsia" w:hAnsi="Arial" w:cs="Arial"/>
          <w:b/>
          <w:bCs/>
          <w:sz w:val="20"/>
          <w:szCs w:val="20"/>
          <w:lang w:eastAsia="cs-CZ"/>
        </w:rPr>
        <w:t>formuláři závěrečné zprávy</w:t>
      </w:r>
      <w:r w:rsidRPr="006030F3">
        <w:rPr>
          <w:rFonts w:ascii="Arial" w:eastAsiaTheme="minorEastAsia" w:hAnsi="Arial" w:cs="Arial"/>
          <w:sz w:val="20"/>
          <w:szCs w:val="20"/>
          <w:lang w:eastAsia="cs-CZ"/>
        </w:rPr>
        <w:t xml:space="preserve"> ve výši celkových způsobilých výdajů projektu a dokladů prokazujících jejich úhradu (tj. výpisy z bankovních účtů, výdajové a příjmové pokladní doklady). </w:t>
      </w:r>
    </w:p>
    <w:p w:rsidR="006030F3" w:rsidRPr="006030F3" w:rsidRDefault="006030F3" w:rsidP="006030F3">
      <w:pPr>
        <w:tabs>
          <w:tab w:val="clear" w:pos="851"/>
        </w:tabs>
        <w:autoSpaceDE w:val="0"/>
        <w:autoSpaceDN w:val="0"/>
        <w:adjustRightInd w:val="0"/>
        <w:spacing w:before="60" w:after="60" w:line="276" w:lineRule="auto"/>
        <w:ind w:left="567" w:firstLine="0"/>
        <w:contextualSpacing w:val="0"/>
        <w:rPr>
          <w:rFonts w:ascii="Arial" w:eastAsiaTheme="minorEastAsia" w:hAnsi="Arial" w:cs="Arial"/>
          <w:sz w:val="20"/>
          <w:szCs w:val="20"/>
          <w:lang w:eastAsia="cs-CZ"/>
        </w:rPr>
      </w:pPr>
      <w:r w:rsidRPr="006030F3">
        <w:rPr>
          <w:rFonts w:ascii="Arial" w:eastAsiaTheme="minorEastAsia" w:hAnsi="Arial" w:cs="Arial"/>
          <w:b/>
          <w:bCs/>
          <w:sz w:val="20"/>
          <w:szCs w:val="20"/>
          <w:lang w:eastAsia="cs-CZ"/>
        </w:rPr>
        <w:t>Formulář závěrečné zprávy</w:t>
      </w:r>
      <w:r w:rsidRPr="006030F3">
        <w:rPr>
          <w:rFonts w:ascii="Arial" w:eastAsiaTheme="minorEastAsia" w:hAnsi="Arial" w:cs="Arial"/>
          <w:sz w:val="20"/>
          <w:szCs w:val="20"/>
          <w:lang w:eastAsia="cs-CZ"/>
        </w:rPr>
        <w:t xml:space="preserve"> bude příjemci zaslán kontaktní osobou poskytovatele nejpozději do 30 dnů od podpisu smlouvy druhou stranou. Příjemce je povinen společně se závěrečnou zprávou s vyúčtováním dotace předložit fotodokumentaci předmětných aktivit.</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4.6</w:t>
      </w:r>
      <w:r w:rsidRPr="006030F3">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lastRenderedPageBreak/>
        <w:t>5.</w:t>
      </w:r>
      <w:r w:rsidRPr="006030F3">
        <w:rPr>
          <w:rFonts w:ascii="Arial" w:eastAsiaTheme="minorEastAsia" w:hAnsi="Arial" w:cs="Arial"/>
          <w:b/>
          <w:sz w:val="20"/>
          <w:szCs w:val="24"/>
          <w:lang w:eastAsia="cs-CZ"/>
        </w:rPr>
        <w:tab/>
        <w:t>Podmínky použití dotace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5.1</w:t>
      </w:r>
      <w:r w:rsidRPr="006030F3">
        <w:rPr>
          <w:rFonts w:ascii="Arial" w:eastAsiaTheme="minorEastAsia" w:hAnsi="Arial" w:cs="Arial"/>
          <w:sz w:val="20"/>
          <w:szCs w:val="20"/>
          <w:lang w:eastAsia="cs-CZ"/>
        </w:rPr>
        <w:tab/>
        <w:t>Příjemce je oprávněn použít dotaci pouze k účelu uvedenému v čl. 1.</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5.2</w:t>
      </w:r>
      <w:r w:rsidRPr="006030F3">
        <w:rPr>
          <w:rFonts w:ascii="Arial" w:eastAsiaTheme="minorEastAsia" w:hAnsi="Arial" w:cs="Arial"/>
          <w:sz w:val="20"/>
          <w:szCs w:val="20"/>
          <w:lang w:eastAsia="cs-CZ"/>
        </w:rPr>
        <w:tab/>
      </w:r>
      <w:r w:rsidRPr="006030F3">
        <w:rPr>
          <w:rFonts w:ascii="Arial" w:eastAsiaTheme="minorEastAsia" w:hAnsi="Arial" w:cs="Arial"/>
          <w:b/>
          <w:bCs/>
          <w:sz w:val="20"/>
          <w:szCs w:val="20"/>
          <w:lang w:eastAsia="cs-CZ"/>
        </w:rPr>
        <w:t>Způsobilými výdaji</w:t>
      </w:r>
      <w:r w:rsidRPr="006030F3">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jim v té době i uhrazeny.</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5.3</w:t>
      </w:r>
      <w:r w:rsidRPr="006030F3">
        <w:rPr>
          <w:rFonts w:ascii="Arial" w:eastAsiaTheme="minorEastAsia" w:hAnsi="Arial" w:cs="Arial"/>
          <w:sz w:val="20"/>
          <w:szCs w:val="20"/>
          <w:lang w:eastAsia="cs-CZ"/>
        </w:rPr>
        <w:tab/>
      </w:r>
      <w:r w:rsidRPr="006030F3">
        <w:rPr>
          <w:rFonts w:ascii="Arial" w:eastAsiaTheme="minorEastAsia" w:hAnsi="Arial" w:cs="Arial"/>
          <w:b/>
          <w:bCs/>
          <w:sz w:val="20"/>
          <w:szCs w:val="20"/>
          <w:lang w:eastAsia="cs-CZ"/>
        </w:rPr>
        <w:t>Nezpůsobilými výdaji</w:t>
      </w:r>
      <w:r w:rsidRPr="006030F3">
        <w:rPr>
          <w:rFonts w:ascii="Arial" w:eastAsiaTheme="minorEastAsia" w:hAnsi="Arial" w:cs="Arial"/>
          <w:sz w:val="20"/>
          <w:szCs w:val="20"/>
          <w:lang w:eastAsia="cs-CZ"/>
        </w:rPr>
        <w:t xml:space="preserve"> jsou zejména: </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dlužný úrok, pokuty a finanční sankce</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výdaje na publicitu Zlínského kraje</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účetně nedoložitelné výdaje</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daň silniční, daň z nemovitých věcí, daň z nabytí nemovitých věcí, poplatek na znečistění ovzduší, televizní a rozhlasový poplatek atp.</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v čase a místě neobvyklé mzdové a platové výdaje</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výdaje na zaměstnance, ke kterým nejsou zaměstnavatelé povinni dle zvláštních právních předpisů (příspěvky na penzijní/životní pojištění, příspěvky na rekreaci, stravenky apod.)</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výdaje na pořádání workshopů, teambuildingů, výjezdních zasedání apod.</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 xml:space="preserve">výdaje na přípravné studie nebo jiné přípravné činnosti včetně zpracování Žádosti </w:t>
      </w:r>
    </w:p>
    <w:p w:rsidR="006030F3" w:rsidRPr="006030F3" w:rsidRDefault="006030F3" w:rsidP="006030F3">
      <w:pPr>
        <w:tabs>
          <w:tab w:val="clear" w:pos="851"/>
        </w:tabs>
        <w:autoSpaceDE w:val="0"/>
        <w:autoSpaceDN w:val="0"/>
        <w:adjustRightInd w:val="0"/>
        <w:spacing w:before="60" w:line="240" w:lineRule="auto"/>
        <w:ind w:left="1281" w:hanging="357"/>
        <w:contextualSpacing w:val="0"/>
        <w:jc w:val="left"/>
        <w:rPr>
          <w:rFonts w:ascii="Arial" w:eastAsiaTheme="minorEastAsia" w:hAnsi="Arial" w:cs="Arial"/>
          <w:sz w:val="20"/>
          <w:szCs w:val="20"/>
          <w:lang w:eastAsia="cs-CZ"/>
        </w:rPr>
      </w:pPr>
      <w:r w:rsidRPr="006030F3">
        <w:rPr>
          <w:rFonts w:ascii="Symbol" w:eastAsiaTheme="minorEastAsia" w:hAnsi="Symbol" w:cs="Symbol"/>
          <w:sz w:val="20"/>
          <w:szCs w:val="20"/>
          <w:lang w:eastAsia="cs-CZ"/>
        </w:rPr>
        <w:t></w:t>
      </w:r>
      <w:r w:rsidRPr="006030F3">
        <w:rPr>
          <w:rFonts w:ascii="Symbol" w:eastAsiaTheme="minorEastAsia" w:hAnsi="Symbol" w:cs="Symbol"/>
          <w:sz w:val="20"/>
          <w:szCs w:val="20"/>
          <w:lang w:eastAsia="cs-CZ"/>
        </w:rPr>
        <w:tab/>
      </w:r>
      <w:r w:rsidRPr="006030F3">
        <w:rPr>
          <w:rFonts w:ascii="Arial" w:eastAsiaTheme="minorEastAsia" w:hAnsi="Arial" w:cs="Arial"/>
          <w:sz w:val="20"/>
          <w:szCs w:val="20"/>
          <w:lang w:eastAsia="cs-CZ"/>
        </w:rPr>
        <w:t xml:space="preserve">výdaje na propagaci a marketing příjemce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5.4</w:t>
      </w:r>
      <w:r w:rsidRPr="006030F3">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„Dotace ZK“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w:t>
      </w:r>
      <w:r w:rsidRPr="006030F3">
        <w:rPr>
          <w:rFonts w:ascii="Arial" w:eastAsiaTheme="minorEastAsia" w:hAnsi="Arial" w:cs="Arial"/>
          <w:sz w:val="20"/>
          <w:szCs w:val="20"/>
          <w:lang w:eastAsia="cs-CZ"/>
        </w:rPr>
        <w:tab/>
        <w:t>Ustanovení o dani z přidané hodnoty (dále jen „DPH“) dle zákona č. 235/2004 Sb., o dani z přidané hodnoty, ve znění pozdějších předpisů (dále jen „zákon o DPH“):</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5.5.a)</w:t>
      </w:r>
      <w:r w:rsidRPr="006030F3">
        <w:rPr>
          <w:rFonts w:ascii="Arial" w:eastAsiaTheme="minorEastAsia" w:hAnsi="Arial" w:cs="Arial"/>
          <w:sz w:val="20"/>
          <w:szCs w:val="20"/>
          <w:lang w:eastAsia="cs-CZ"/>
        </w:rPr>
        <w:tab/>
        <w:t>DPH je pro příjemce způsobilým výdajem, pokud příjemce není plátcem DPH nebo příjemci nevzniká nárok na odpočet DPH;</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5.5.b)</w:t>
      </w:r>
      <w:r w:rsidRPr="006030F3">
        <w:rPr>
          <w:rFonts w:ascii="Arial" w:eastAsiaTheme="minorEastAsia" w:hAnsi="Arial" w:cs="Arial"/>
          <w:sz w:val="20"/>
          <w:szCs w:val="20"/>
          <w:lang w:eastAsia="cs-CZ"/>
        </w:rPr>
        <w:tab/>
        <w:t>v případě, že výdaje projektu jsou způsobilými výdaji pouze z části, pak je DPH způsobilým výdajem ze stejné části;</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5.5.c)</w:t>
      </w:r>
      <w:r w:rsidRPr="006030F3">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5.5.d)</w:t>
      </w:r>
      <w:r w:rsidRPr="006030F3">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5.5.e)</w:t>
      </w:r>
      <w:r w:rsidRPr="006030F3">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5.5.f)</w:t>
      </w:r>
      <w:r w:rsidRPr="006030F3">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5.5.g)</w:t>
      </w:r>
      <w:r w:rsidRPr="006030F3">
        <w:rPr>
          <w:rFonts w:ascii="Arial" w:eastAsiaTheme="minorEastAsia" w:hAnsi="Arial" w:cs="Arial"/>
          <w:sz w:val="20"/>
          <w:szCs w:val="20"/>
          <w:lang w:eastAsia="cs-CZ"/>
        </w:rPr>
        <w:tab/>
        <w:t xml:space="preserve">v případech, kdy je příjemce plátcem DPH a dotace bude použita v rámci ekonomické činnosti pro úhradu výdaje z titulu plnění, pro které je plátce povinen použít režim přenesení </w:t>
      </w:r>
      <w:r w:rsidRPr="006030F3">
        <w:rPr>
          <w:rFonts w:ascii="Arial" w:eastAsiaTheme="minorEastAsia" w:hAnsi="Arial" w:cs="Arial"/>
          <w:sz w:val="20"/>
          <w:szCs w:val="20"/>
          <w:lang w:eastAsia="cs-CZ"/>
        </w:rPr>
        <w:lastRenderedPageBreak/>
        <w:t>daňové povinnosti dle zákona o DPH, a DPH je způsobilým výdajem, doloží příjemce výši DPH poskytovateli vnitřním účetním dokladem s vyčíslením částky DPH, daňovým přiznáním k DPH, kontrolním hlášením a bankovním výpisem.</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5.6</w:t>
      </w:r>
      <w:r w:rsidRPr="006030F3">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5.7</w:t>
      </w:r>
      <w:r w:rsidRPr="006030F3">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který je obchodní korporací dle zákona 90/2012 Sb., je povinen informovat poskytovatele o přeměně právnické osoby a předat mu projekt přeměny alespoň 30 dnů přede dnem, kdy má být přeměna schválena příslušným orgánem. U ostatních právnických osob je příjemce povinen oznámit poskytovateli přeměnu právnické osoby do 15 dnů ode dne rozhodnutí příslušného orgánu. </w:t>
      </w:r>
    </w:p>
    <w:p w:rsidR="006030F3" w:rsidRPr="006030F3" w:rsidRDefault="006030F3" w:rsidP="006030F3">
      <w:pPr>
        <w:tabs>
          <w:tab w:val="clear" w:pos="851"/>
        </w:tabs>
        <w:autoSpaceDE w:val="0"/>
        <w:autoSpaceDN w:val="0"/>
        <w:adjustRightInd w:val="0"/>
        <w:spacing w:before="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5.8</w:t>
      </w:r>
      <w:r w:rsidRPr="006030F3">
        <w:rPr>
          <w:rFonts w:ascii="Arial" w:eastAsiaTheme="minorEastAsia" w:hAnsi="Arial" w:cs="Arial"/>
          <w:sz w:val="20"/>
          <w:szCs w:val="20"/>
          <w:lang w:eastAsia="cs-CZ"/>
        </w:rPr>
        <w:tab/>
        <w:t>Příjemce je dále povinen:</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5.8.a)</w:t>
      </w:r>
      <w:r w:rsidRPr="006030F3">
        <w:rPr>
          <w:rFonts w:ascii="Arial" w:eastAsiaTheme="minorEastAsia" w:hAnsi="Arial" w:cs="Arial"/>
          <w:sz w:val="20"/>
          <w:szCs w:val="20"/>
          <w:lang w:eastAsia="cs-CZ"/>
        </w:rPr>
        <w:tab/>
        <w:t>zajistit, aby všechny údaje, které uvádí poskytovateli, byly vždy úplné a pravdivé,</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5.8.b)</w:t>
      </w:r>
      <w:r w:rsidRPr="006030F3">
        <w:rPr>
          <w:rFonts w:ascii="Arial" w:eastAsiaTheme="minorEastAsia" w:hAnsi="Arial" w:cs="Arial"/>
          <w:sz w:val="20"/>
          <w:szCs w:val="20"/>
          <w:lang w:eastAsia="cs-CZ"/>
        </w:rPr>
        <w:tab/>
        <w:t>zabezpečit archivaci veškeré dokumentace k projektu včetně účetnictví o projektu po dobu 10 let ode dne skončení realizace programu,</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5.8.c)</w:t>
      </w:r>
      <w:r w:rsidRPr="006030F3">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5.8.d)</w:t>
      </w:r>
      <w:r w:rsidRPr="006030F3">
        <w:rPr>
          <w:rFonts w:ascii="Arial" w:eastAsiaTheme="minorEastAsia" w:hAnsi="Arial" w:cs="Arial"/>
          <w:sz w:val="20"/>
          <w:szCs w:val="20"/>
          <w:lang w:eastAsia="cs-CZ"/>
        </w:rPr>
        <w:tab/>
        <w:t xml:space="preserve">nezcizit majetek pořízený /rekonstruovaný na základě této dotace (movité i nemovité věci) nejméně po dobu tří let ode dne jeho pořízení /rekonstrukce, případně po dobu jeho životnosti či použitelnosti, je-li tato doba kratší. Po tuto dobu smí převést vlastnické právo k danému majetku na třetí osobu pouze s předchozím písemným souhlasem poskytovatele. Po uvedenou dobu je příjemce povinen zacházet s majetkem s péčí řádného hospodáře, zejména jej zabezpečit proti poškození, ztrátě nebo odcizení a nezatěžovat takový majetek žádnými věcnými právy třetích osob, včetně zástavního práva.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5.9</w:t>
      </w:r>
      <w:r w:rsidRPr="006030F3">
        <w:rPr>
          <w:rFonts w:ascii="Arial" w:eastAsiaTheme="minorEastAsia" w:hAnsi="Arial" w:cs="Arial"/>
          <w:sz w:val="20"/>
          <w:szCs w:val="20"/>
          <w:lang w:eastAsia="cs-CZ"/>
        </w:rPr>
        <w:tab/>
        <w:t>Příjemce bere na vědomí, že dotace poskytnutá dle této smlouvy je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b/>
          <w:bCs/>
          <w:sz w:val="20"/>
          <w:szCs w:val="20"/>
          <w:lang w:eastAsia="cs-CZ"/>
        </w:rPr>
        <w:t>5.9.a)</w:t>
      </w:r>
      <w:r w:rsidRPr="006030F3">
        <w:rPr>
          <w:rFonts w:ascii="Arial" w:eastAsiaTheme="minorEastAsia" w:hAnsi="Arial" w:cs="Arial"/>
          <w:b/>
          <w:bCs/>
          <w:sz w:val="20"/>
          <w:szCs w:val="20"/>
          <w:lang w:eastAsia="cs-CZ"/>
        </w:rPr>
        <w:tab/>
        <w:t>podporou de minimis</w:t>
      </w:r>
      <w:r w:rsidRPr="006030F3">
        <w:rPr>
          <w:rFonts w:ascii="Arial" w:eastAsiaTheme="minorEastAsia" w:hAnsi="Arial" w:cs="Arial"/>
          <w:sz w:val="20"/>
          <w:szCs w:val="20"/>
          <w:lang w:eastAsia="cs-CZ"/>
        </w:rPr>
        <w:t xml:space="preserve"> ve smyslu Nařízení Komise (EU) č. 1407/2013 ze dne 18. 12. 2013, o použití článků 107 a 108 Smlouvy o fungování Evropské unie na podporu de minimis (zveřejněno v Úředním věstníku L 352/1 dne 24. 12. 2013). V souvislosti s podporou de minimis se příjemce zavazuje, že v případě, že v období tří účetních let od nabytí účinnosti této smlouvy dojde k jeho rozdělení na dva či více samostatné podniky, respektive v případě jeho sloučení s jiným podnikem nebo převodu jmění podniku na společníka, je povinen do 15 dnů písemně informovat poskytovatele o této skutečnosti a poskytnout mu informace nezbytné pro úpravu záznamu podpory de minimis poskytnuté dle této smlouvy v centrálním registru podpor malého rozsahu. </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6.</w:t>
      </w:r>
      <w:r w:rsidRPr="006030F3">
        <w:rPr>
          <w:rFonts w:ascii="Arial" w:eastAsiaTheme="minorEastAsia" w:hAnsi="Arial" w:cs="Arial"/>
          <w:b/>
          <w:sz w:val="20"/>
          <w:szCs w:val="24"/>
          <w:lang w:eastAsia="cs-CZ"/>
        </w:rPr>
        <w:tab/>
        <w:t>Povinnosti příjemce při zajišťování publicity poskytovatele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6.1</w:t>
      </w:r>
      <w:r w:rsidRPr="006030F3">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6.2</w:t>
      </w:r>
      <w:r w:rsidRPr="006030F3">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6.3</w:t>
      </w:r>
      <w:r w:rsidRPr="006030F3">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w:t>
      </w:r>
      <w:hyperlink r:id="rId7" w:history="1">
        <w:r w:rsidRPr="006030F3">
          <w:rPr>
            <w:rFonts w:ascii="Arial" w:eastAsiaTheme="minorEastAsia" w:hAnsi="Arial" w:cs="Arial"/>
            <w:sz w:val="20"/>
            <w:szCs w:val="20"/>
            <w:lang w:eastAsia="cs-CZ"/>
          </w:rPr>
          <w:t>www.kr-zlinsky.cz</w:t>
        </w:r>
      </w:hyperlink>
      <w:r w:rsidRPr="006030F3">
        <w:rPr>
          <w:rFonts w:ascii="Arial" w:eastAsiaTheme="minorEastAsia" w:hAnsi="Arial" w:cs="Arial"/>
          <w:sz w:val="20"/>
          <w:szCs w:val="20"/>
          <w:lang w:eastAsia="cs-CZ"/>
        </w:rPr>
        <w:t xml:space="preserve"> pod chráněným přístupem. Logo bude umístěno na všech dokumentech souvisejících s realizací projektu, které budou propagovat aktivitu financovanou z rozpočtu Zlínského kraje.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lastRenderedPageBreak/>
        <w:t>6.4</w:t>
      </w:r>
      <w:r w:rsidRPr="006030F3">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w:t>
      </w:r>
      <w:r w:rsidRPr="006030F3">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6.5.a)</w:t>
      </w:r>
      <w:r w:rsidRPr="006030F3">
        <w:rPr>
          <w:rFonts w:ascii="Arial" w:eastAsiaTheme="minorEastAsia" w:hAnsi="Arial" w:cs="Arial"/>
          <w:sz w:val="20"/>
          <w:szCs w:val="20"/>
          <w:lang w:eastAsia="cs-CZ"/>
        </w:rPr>
        <w:tab/>
        <w:t>billboard (doloží se fotografií a informací o období vyvěšení),</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6.5.b)</w:t>
      </w:r>
      <w:r w:rsidRPr="006030F3">
        <w:rPr>
          <w:rFonts w:ascii="Arial" w:eastAsiaTheme="minorEastAsia" w:hAnsi="Arial" w:cs="Arial"/>
          <w:sz w:val="20"/>
          <w:szCs w:val="20"/>
          <w:lang w:eastAsia="cs-CZ"/>
        </w:rPr>
        <w:tab/>
        <w:t>informační tabule (nástěnky, apod.), (doloží se kopií informace, která byla uveřejněna s uvedením doby uveřejnění),</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6.5.c)</w:t>
      </w:r>
      <w:r w:rsidRPr="006030F3">
        <w:rPr>
          <w:rFonts w:ascii="Arial" w:eastAsiaTheme="minorEastAsia" w:hAnsi="Arial" w:cs="Arial"/>
          <w:sz w:val="20"/>
          <w:szCs w:val="20"/>
          <w:lang w:eastAsia="cs-CZ"/>
        </w:rPr>
        <w:tab/>
        <w:t>obecní zpravodaj (doloží se originálem nebo kopií příslušného článku a informací, kdy byl publikován),</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6.5.d)</w:t>
      </w:r>
      <w:r w:rsidRPr="006030F3">
        <w:rPr>
          <w:rFonts w:ascii="Arial" w:eastAsiaTheme="minorEastAsia" w:hAnsi="Arial" w:cs="Arial"/>
          <w:sz w:val="20"/>
          <w:szCs w:val="20"/>
          <w:lang w:eastAsia="cs-CZ"/>
        </w:rPr>
        <w:tab/>
        <w:t>pamětní deska (doloží se fotografií a informací o datu umístění této desky),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6.5.e)</w:t>
      </w:r>
      <w:r w:rsidRPr="006030F3">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6.5.f)</w:t>
      </w:r>
      <w:r w:rsidRPr="006030F3">
        <w:rPr>
          <w:rFonts w:ascii="Arial" w:eastAsiaTheme="minorEastAsia" w:hAnsi="Arial" w:cs="Arial"/>
          <w:sz w:val="20"/>
          <w:szCs w:val="20"/>
          <w:lang w:eastAsia="cs-CZ"/>
        </w:rPr>
        <w:tab/>
        <w:t>propagační předměty (doloží se předložením propagačního předmětu),</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6.5.g)</w:t>
      </w:r>
      <w:r w:rsidRPr="006030F3">
        <w:rPr>
          <w:rFonts w:ascii="Arial" w:eastAsiaTheme="minorEastAsia" w:hAnsi="Arial" w:cs="Arial"/>
          <w:sz w:val="20"/>
          <w:szCs w:val="20"/>
          <w:lang w:eastAsia="cs-CZ"/>
        </w:rPr>
        <w:tab/>
        <w:t>regionální tisk (doloží se originálem či kopií příslušného článku a informací, kdy byl publikován),</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6.5.h)</w:t>
      </w:r>
      <w:r w:rsidRPr="006030F3">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6.5.i)</w:t>
      </w:r>
      <w:r w:rsidRPr="006030F3">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6.5.j)</w:t>
      </w:r>
      <w:r w:rsidRPr="006030F3">
        <w:rPr>
          <w:rFonts w:ascii="Arial" w:eastAsiaTheme="minorEastAsia" w:hAnsi="Arial" w:cs="Arial"/>
          <w:sz w:val="20"/>
          <w:szCs w:val="20"/>
          <w:lang w:eastAsia="cs-CZ"/>
        </w:rPr>
        <w:tab/>
        <w:t>úřední deska (doloží se kopií informace, která byla uveřejněna, s uvedením doby uveřejnění),</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6.5.k)</w:t>
      </w:r>
      <w:r w:rsidRPr="006030F3">
        <w:rPr>
          <w:rFonts w:ascii="Arial" w:eastAsiaTheme="minorEastAsia" w:hAnsi="Arial" w:cs="Arial"/>
          <w:sz w:val="20"/>
          <w:szCs w:val="20"/>
          <w:lang w:eastAsia="cs-CZ"/>
        </w:rPr>
        <w:tab/>
        <w:t>výroční zpráva (doloží se originálem nebo kopií této zprávy či její části obsahující prezentaci poskytovatele),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6.5.l)</w:t>
      </w:r>
      <w:r w:rsidRPr="006030F3">
        <w:rPr>
          <w:rFonts w:ascii="Arial" w:eastAsiaTheme="minorEastAsia" w:hAnsi="Arial" w:cs="Arial"/>
          <w:sz w:val="20"/>
          <w:szCs w:val="20"/>
          <w:lang w:eastAsia="cs-CZ"/>
        </w:rPr>
        <w:tab/>
        <w:t>webové stránky (doloží se odkazem na příslušné stránky s uvedením, kdy byla informace uveřejněna),</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6030F3">
        <w:rPr>
          <w:rFonts w:ascii="Arial" w:eastAsiaTheme="minorEastAsia" w:hAnsi="Arial" w:cs="Arial"/>
          <w:sz w:val="20"/>
          <w:szCs w:val="20"/>
          <w:lang w:eastAsia="cs-CZ"/>
        </w:rPr>
        <w:t>6.5.m)</w:t>
      </w:r>
      <w:r w:rsidRPr="006030F3">
        <w:rPr>
          <w:rFonts w:ascii="Arial" w:eastAsiaTheme="minorEastAsia" w:hAnsi="Arial" w:cs="Arial"/>
          <w:sz w:val="20"/>
          <w:szCs w:val="20"/>
          <w:lang w:eastAsia="cs-CZ"/>
        </w:rPr>
        <w:tab/>
        <w:t>vlastní návrh příjemce odsouhlasený poskytovatelem.</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7.</w:t>
      </w:r>
      <w:r w:rsidRPr="006030F3">
        <w:rPr>
          <w:rFonts w:ascii="Arial" w:eastAsiaTheme="minorEastAsia" w:hAnsi="Arial" w:cs="Arial"/>
          <w:b/>
          <w:sz w:val="20"/>
          <w:szCs w:val="24"/>
          <w:lang w:eastAsia="cs-CZ"/>
        </w:rPr>
        <w:tab/>
        <w:t>Sankce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7.1</w:t>
      </w:r>
      <w:r w:rsidRPr="006030F3">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„zákon o rozpočtových pravidlech územních rozpočtů“).</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w:t>
      </w:r>
      <w:r w:rsidRPr="006030F3">
        <w:rPr>
          <w:rFonts w:ascii="Arial" w:eastAsiaTheme="minorEastAsia" w:hAnsi="Arial" w:cs="Arial"/>
          <w:sz w:val="20"/>
          <w:szCs w:val="20"/>
          <w:lang w:eastAsia="cs-CZ"/>
        </w:rPr>
        <w:tab/>
        <w:t xml:space="preserve">Za </w:t>
      </w:r>
      <w:r w:rsidRPr="006030F3">
        <w:rPr>
          <w:rFonts w:ascii="Arial" w:eastAsiaTheme="minorEastAsia" w:hAnsi="Arial" w:cs="Arial"/>
          <w:b/>
          <w:bCs/>
          <w:sz w:val="20"/>
          <w:szCs w:val="20"/>
          <w:lang w:eastAsia="cs-CZ"/>
        </w:rPr>
        <w:t>porušení rozpočtové kázně</w:t>
      </w:r>
      <w:r w:rsidRPr="006030F3">
        <w:rPr>
          <w:rFonts w:ascii="Arial" w:eastAsiaTheme="minorEastAsia" w:hAnsi="Arial" w:cs="Arial"/>
          <w:sz w:val="20"/>
          <w:szCs w:val="20"/>
          <w:lang w:eastAsia="cs-CZ"/>
        </w:rPr>
        <w:t xml:space="preserve"> dle § 22 zákona o rozpočtových pravidlech územních rozpočtů, za který bude příjemci uložen </w:t>
      </w:r>
      <w:r w:rsidRPr="006030F3">
        <w:rPr>
          <w:rFonts w:ascii="Arial" w:eastAsiaTheme="minorEastAsia" w:hAnsi="Arial" w:cs="Arial"/>
          <w:b/>
          <w:bCs/>
          <w:sz w:val="20"/>
          <w:szCs w:val="20"/>
          <w:lang w:eastAsia="cs-CZ"/>
        </w:rPr>
        <w:t>odvod ve výši poskytnuté dotace</w:t>
      </w:r>
      <w:r w:rsidRPr="006030F3">
        <w:rPr>
          <w:rFonts w:ascii="Arial" w:eastAsiaTheme="minorEastAsia" w:hAnsi="Arial" w:cs="Arial"/>
          <w:sz w:val="20"/>
          <w:szCs w:val="20"/>
          <w:lang w:eastAsia="cs-CZ"/>
        </w:rPr>
        <w:t>, se považuje zejména pokud:</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7.2.a)</w:t>
      </w:r>
      <w:r w:rsidRPr="006030F3">
        <w:rPr>
          <w:rFonts w:ascii="Arial" w:eastAsiaTheme="minorEastAsia" w:hAnsi="Arial" w:cs="Arial"/>
          <w:sz w:val="20"/>
          <w:szCs w:val="20"/>
          <w:lang w:eastAsia="cs-CZ"/>
        </w:rPr>
        <w:tab/>
        <w:t>příjemce nedodrží účel dotace,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7.2.b)</w:t>
      </w:r>
      <w:r w:rsidRPr="006030F3">
        <w:rPr>
          <w:rFonts w:ascii="Arial" w:eastAsiaTheme="minorEastAsia" w:hAnsi="Arial" w:cs="Arial"/>
          <w:sz w:val="20"/>
          <w:szCs w:val="20"/>
          <w:lang w:eastAsia="cs-CZ"/>
        </w:rPr>
        <w:tab/>
        <w:t>příjemce vůbec nedoloží úhrady výdajů,</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7.2.c)</w:t>
      </w:r>
      <w:r w:rsidRPr="006030F3">
        <w:rPr>
          <w:rFonts w:ascii="Arial" w:eastAsiaTheme="minorEastAsia" w:hAnsi="Arial" w:cs="Arial"/>
          <w:sz w:val="20"/>
          <w:szCs w:val="20"/>
          <w:lang w:eastAsia="cs-CZ"/>
        </w:rPr>
        <w:tab/>
        <w:t>dojde k podstatnému nenaplnění monitorovacího indikátoru dle čl. 3.2,</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7.2.d)</w:t>
      </w:r>
      <w:r w:rsidRPr="006030F3">
        <w:rPr>
          <w:rFonts w:ascii="Arial" w:eastAsiaTheme="minorEastAsia" w:hAnsi="Arial" w:cs="Arial"/>
          <w:sz w:val="20"/>
          <w:szCs w:val="20"/>
          <w:lang w:eastAsia="cs-CZ"/>
        </w:rPr>
        <w:tab/>
        <w:t>příjemce nepředloží Závěrečnou zprávu ani ve lhůtě 30 pracovních dní po uplynutí lhůty dle čl. 4.4,</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7.2.e)</w:t>
      </w:r>
      <w:r w:rsidRPr="006030F3">
        <w:rPr>
          <w:rFonts w:ascii="Arial" w:eastAsiaTheme="minorEastAsia" w:hAnsi="Arial" w:cs="Arial"/>
          <w:sz w:val="20"/>
          <w:szCs w:val="20"/>
          <w:lang w:eastAsia="cs-CZ"/>
        </w:rPr>
        <w:tab/>
        <w:t>příjemce poruší povinnost dle čl. 5.7 nebo 5.8,</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7.2.f)</w:t>
      </w:r>
      <w:r w:rsidRPr="006030F3">
        <w:rPr>
          <w:rFonts w:ascii="Arial" w:eastAsiaTheme="minorEastAsia" w:hAnsi="Arial" w:cs="Arial"/>
          <w:sz w:val="20"/>
          <w:szCs w:val="20"/>
          <w:lang w:eastAsia="cs-CZ"/>
        </w:rPr>
        <w:tab/>
        <w:t xml:space="preserve"> příjemce poruší pravidla veřejné podpory dle čl. 5.9</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7.3</w:t>
      </w:r>
      <w:r w:rsidRPr="006030F3">
        <w:rPr>
          <w:rFonts w:ascii="Arial" w:eastAsiaTheme="minorEastAsia" w:hAnsi="Arial" w:cs="Arial"/>
          <w:sz w:val="20"/>
          <w:szCs w:val="20"/>
          <w:lang w:eastAsia="cs-CZ"/>
        </w:rPr>
        <w:tab/>
        <w:t xml:space="preserve">Za </w:t>
      </w:r>
      <w:r w:rsidRPr="006030F3">
        <w:rPr>
          <w:rFonts w:ascii="Arial" w:eastAsiaTheme="minorEastAsia" w:hAnsi="Arial" w:cs="Arial"/>
          <w:b/>
          <w:bCs/>
          <w:sz w:val="20"/>
          <w:szCs w:val="20"/>
          <w:lang w:eastAsia="cs-CZ"/>
        </w:rPr>
        <w:t>porušení rozpočtové kázně</w:t>
      </w:r>
      <w:r w:rsidRPr="006030F3">
        <w:rPr>
          <w:rFonts w:ascii="Arial" w:eastAsiaTheme="minorEastAsia" w:hAnsi="Arial" w:cs="Arial"/>
          <w:sz w:val="20"/>
          <w:szCs w:val="20"/>
          <w:lang w:eastAsia="cs-CZ"/>
        </w:rPr>
        <w:t xml:space="preserve"> dle § 22 zákona o rozpočtových pravidlech územních rozpočtů, za který bude příjemci uložen </w:t>
      </w:r>
      <w:r w:rsidRPr="006030F3">
        <w:rPr>
          <w:rFonts w:ascii="Arial" w:eastAsiaTheme="minorEastAsia" w:hAnsi="Arial" w:cs="Arial"/>
          <w:b/>
          <w:bCs/>
          <w:sz w:val="20"/>
          <w:szCs w:val="20"/>
          <w:lang w:eastAsia="cs-CZ"/>
        </w:rPr>
        <w:t>odvod ve výši neoprávněně použitých nebo zadržených peněžních prostředků</w:t>
      </w:r>
      <w:r w:rsidRPr="006030F3">
        <w:rPr>
          <w:rFonts w:ascii="Arial" w:eastAsiaTheme="minorEastAsia" w:hAnsi="Arial" w:cs="Arial"/>
          <w:sz w:val="20"/>
          <w:szCs w:val="20"/>
          <w:lang w:eastAsia="cs-CZ"/>
        </w:rPr>
        <w:t>, se považuje zejména pokud:</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6030F3">
        <w:rPr>
          <w:rFonts w:ascii="Arial" w:eastAsiaTheme="minorEastAsia" w:hAnsi="Arial" w:cs="Arial"/>
          <w:sz w:val="20"/>
          <w:szCs w:val="20"/>
          <w:lang w:eastAsia="cs-CZ"/>
        </w:rPr>
        <w:t>7.3.a)</w:t>
      </w:r>
      <w:r w:rsidRPr="006030F3">
        <w:rPr>
          <w:rFonts w:ascii="Arial" w:eastAsiaTheme="minorEastAsia" w:hAnsi="Arial" w:cs="Arial"/>
          <w:sz w:val="20"/>
          <w:szCs w:val="20"/>
          <w:lang w:eastAsia="cs-CZ"/>
        </w:rPr>
        <w:tab/>
        <w:t>příjemce neodstraní nedostatky v předložené Závěrečné zprávě ani v náhradní lhůtě dle čl. 4.6, výše odvodu se v tomto případě rovná výši neoprávněně použitých nebo zadržených peněžních prostředků,</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lastRenderedPageBreak/>
        <w:t>7.3.b)</w:t>
      </w:r>
      <w:r w:rsidRPr="006030F3">
        <w:rPr>
          <w:rFonts w:ascii="Arial" w:eastAsiaTheme="minorEastAsia" w:hAnsi="Arial" w:cs="Arial"/>
          <w:sz w:val="20"/>
          <w:szCs w:val="20"/>
          <w:lang w:eastAsia="cs-CZ"/>
        </w:rPr>
        <w:tab/>
        <w:t xml:space="preserve">příjemce v rozporu s čl. 5.2 uhradí výdaje později než ve lhůtě stanovené pro předložení závěrečné zprávy. Za toto porušení bude příjemci uložen odvod ve výši takto opožděně uhrazené částky způsobilých výdajů.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7.4</w:t>
      </w:r>
      <w:r w:rsidRPr="006030F3">
        <w:rPr>
          <w:rFonts w:ascii="Arial" w:eastAsiaTheme="minorEastAsia" w:hAnsi="Arial" w:cs="Arial"/>
          <w:sz w:val="20"/>
          <w:szCs w:val="20"/>
          <w:lang w:eastAsia="cs-CZ"/>
        </w:rPr>
        <w:tab/>
        <w:t xml:space="preserve">O </w:t>
      </w:r>
      <w:r w:rsidRPr="006030F3">
        <w:rPr>
          <w:rFonts w:ascii="Arial" w:eastAsiaTheme="minorEastAsia" w:hAnsi="Arial" w:cs="Arial"/>
          <w:b/>
          <w:bCs/>
          <w:sz w:val="20"/>
          <w:szCs w:val="20"/>
          <w:lang w:eastAsia="cs-CZ"/>
        </w:rPr>
        <w:t>méně závažné porušení</w:t>
      </w:r>
      <w:r w:rsidRPr="006030F3">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6030F3">
        <w:rPr>
          <w:rFonts w:ascii="Arial" w:eastAsiaTheme="minorEastAsia" w:hAnsi="Arial" w:cs="Arial"/>
          <w:b/>
          <w:bCs/>
          <w:sz w:val="20"/>
          <w:szCs w:val="20"/>
          <w:lang w:eastAsia="cs-CZ"/>
        </w:rPr>
        <w:t>odvod ve výši 5 %</w:t>
      </w:r>
      <w:r w:rsidRPr="006030F3">
        <w:rPr>
          <w:rFonts w:ascii="Arial" w:eastAsiaTheme="minorEastAsia" w:hAnsi="Arial" w:cs="Arial"/>
          <w:sz w:val="20"/>
          <w:szCs w:val="20"/>
          <w:lang w:eastAsia="cs-CZ"/>
        </w:rPr>
        <w:t xml:space="preserve"> z poskytnuté dotace, se jedná v případě, kdy: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7.4.a)</w:t>
      </w:r>
      <w:r w:rsidRPr="006030F3">
        <w:rPr>
          <w:rFonts w:ascii="Arial" w:eastAsiaTheme="minorEastAsia" w:hAnsi="Arial" w:cs="Arial"/>
          <w:sz w:val="20"/>
          <w:szCs w:val="20"/>
          <w:lang w:eastAsia="cs-CZ"/>
        </w:rPr>
        <w:tab/>
        <w:t>příjemce předloží Závěrečnou zprávu ve lhůtě do 30 pracovních dní po uplynutí lhůty dle čl. 4.4,</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7.4.b)</w:t>
      </w:r>
      <w:r w:rsidRPr="006030F3">
        <w:rPr>
          <w:rFonts w:ascii="Arial" w:eastAsiaTheme="minorEastAsia" w:hAnsi="Arial" w:cs="Arial"/>
          <w:sz w:val="20"/>
          <w:szCs w:val="20"/>
          <w:lang w:eastAsia="cs-CZ"/>
        </w:rPr>
        <w:tab/>
        <w:t>příjemce poruší povinnosti dle čl. 6.</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7.5</w:t>
      </w:r>
      <w:r w:rsidRPr="006030F3">
        <w:rPr>
          <w:rFonts w:ascii="Arial" w:eastAsiaTheme="minorEastAsia" w:hAnsi="Arial" w:cs="Arial"/>
          <w:sz w:val="20"/>
          <w:szCs w:val="20"/>
          <w:lang w:eastAsia="cs-CZ"/>
        </w:rPr>
        <w:tab/>
        <w:t xml:space="preserve">O </w:t>
      </w:r>
      <w:r w:rsidRPr="006030F3">
        <w:rPr>
          <w:rFonts w:ascii="Arial" w:eastAsiaTheme="minorEastAsia" w:hAnsi="Arial" w:cs="Arial"/>
          <w:b/>
          <w:bCs/>
          <w:sz w:val="20"/>
          <w:szCs w:val="20"/>
          <w:lang w:eastAsia="cs-CZ"/>
        </w:rPr>
        <w:t>méně závažné porušení</w:t>
      </w:r>
      <w:r w:rsidRPr="006030F3">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7.5.a)</w:t>
      </w:r>
      <w:r w:rsidRPr="006030F3">
        <w:rPr>
          <w:rFonts w:ascii="Arial" w:eastAsiaTheme="minorEastAsia" w:hAnsi="Arial" w:cs="Arial"/>
          <w:sz w:val="20"/>
          <w:szCs w:val="20"/>
          <w:lang w:eastAsia="cs-CZ"/>
        </w:rPr>
        <w:tab/>
        <w:t xml:space="preserve">příjemce odstraní nedostatky či nesrovnalosti v závěrečné zprávě až v náhradní lhůtě dle čl. 4.6. Příjemci bude uložen snížený odvod ve výši 5 % z částky dotace, které se týkaly odstraněné nedostatky či nesrovnalosti; pokud takový rozsah nelze stanovit, bude mu uložen odvod ve výši 5% ze schválené dotace, </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7.5.b)</w:t>
      </w:r>
      <w:r w:rsidRPr="006030F3">
        <w:rPr>
          <w:rFonts w:ascii="Arial" w:eastAsiaTheme="minorEastAsia" w:hAnsi="Arial" w:cs="Arial"/>
          <w:sz w:val="20"/>
          <w:szCs w:val="20"/>
          <w:lang w:eastAsia="cs-CZ"/>
        </w:rPr>
        <w:tab/>
        <w:t xml:space="preserve">příjemce v rozporu s čl. 5.2 uhradí výdaje po uplynutí lhůty pro úhradu výdajů dle čl. 5.2, ale ne později než do lhůty pro předložení Závěrečné zprávy dle čl. 4.4. Příjemci bude uložen snížený odvod ve výši 10 % z takto opožděně uhrazené částky způsobilých výdajů. </w:t>
      </w:r>
    </w:p>
    <w:p w:rsidR="006030F3" w:rsidRPr="006030F3" w:rsidRDefault="006030F3" w:rsidP="006030F3">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7.6</w:t>
      </w:r>
      <w:r w:rsidRPr="006030F3">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8.</w:t>
      </w:r>
      <w:r w:rsidRPr="006030F3">
        <w:rPr>
          <w:rFonts w:ascii="Arial" w:eastAsiaTheme="minorEastAsia" w:hAnsi="Arial" w:cs="Arial"/>
          <w:b/>
          <w:sz w:val="20"/>
          <w:szCs w:val="24"/>
          <w:lang w:eastAsia="cs-CZ"/>
        </w:rPr>
        <w:tab/>
        <w:t>Změny podmínek smlouvy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w:t>
      </w:r>
      <w:r w:rsidRPr="006030F3">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8.1.a)</w:t>
      </w:r>
      <w:r w:rsidRPr="006030F3">
        <w:rPr>
          <w:rFonts w:ascii="Arial" w:eastAsiaTheme="minorEastAsia" w:hAnsi="Arial" w:cs="Arial"/>
          <w:sz w:val="20"/>
          <w:szCs w:val="20"/>
          <w:lang w:eastAsia="cs-CZ"/>
        </w:rPr>
        <w:tab/>
        <w:t xml:space="preserve">změna adresy nebo sídla příjemce /zřizovatele, </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8.1.b)</w:t>
      </w:r>
      <w:r w:rsidRPr="006030F3">
        <w:rPr>
          <w:rFonts w:ascii="Arial" w:eastAsiaTheme="minorEastAsia" w:hAnsi="Arial" w:cs="Arial"/>
          <w:sz w:val="20"/>
          <w:szCs w:val="20"/>
          <w:lang w:eastAsia="cs-CZ"/>
        </w:rPr>
        <w:tab/>
        <w:t>změna statutárního orgánu nebo kontaktní osoby,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8.1.c)</w:t>
      </w:r>
      <w:r w:rsidRPr="006030F3">
        <w:rPr>
          <w:rFonts w:ascii="Arial" w:eastAsiaTheme="minorEastAsia" w:hAnsi="Arial" w:cs="Arial"/>
          <w:sz w:val="20"/>
          <w:szCs w:val="20"/>
          <w:lang w:eastAsia="cs-CZ"/>
        </w:rPr>
        <w:tab/>
        <w:t xml:space="preserve">změna názvu příjemce /zřizovatele, </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8.1.d)</w:t>
      </w:r>
      <w:r w:rsidRPr="006030F3">
        <w:rPr>
          <w:rFonts w:ascii="Arial" w:eastAsiaTheme="minorEastAsia" w:hAnsi="Arial" w:cs="Arial"/>
          <w:sz w:val="20"/>
          <w:szCs w:val="20"/>
          <w:lang w:eastAsia="cs-CZ"/>
        </w:rPr>
        <w:tab/>
        <w:t>změna názvu akce/projektu při zachování účelu a všech ostatních parametrů akce/projektu,</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8.1.e)</w:t>
      </w:r>
      <w:r w:rsidRPr="006030F3">
        <w:rPr>
          <w:rFonts w:ascii="Arial" w:eastAsiaTheme="minorEastAsia" w:hAnsi="Arial" w:cs="Arial"/>
          <w:sz w:val="20"/>
          <w:szCs w:val="20"/>
          <w:lang w:eastAsia="cs-CZ"/>
        </w:rPr>
        <w:tab/>
        <w:t xml:space="preserve">částečné nenaplnění monitorovacích indikátorů; maximální snížení jednotlivého monitorovacího indikátoru o 5 % u projektů s dotací nad 50 tis. Kč a maximální snížení jednotlivého monitorovacího indikátoru o 30 % u projektů s dotací do 50 tis. Kč, </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8.1.f)</w:t>
      </w:r>
      <w:r w:rsidRPr="006030F3">
        <w:rPr>
          <w:rFonts w:ascii="Arial" w:eastAsiaTheme="minorEastAsia" w:hAnsi="Arial" w:cs="Arial"/>
          <w:sz w:val="20"/>
          <w:szCs w:val="20"/>
          <w:lang w:eastAsia="cs-CZ"/>
        </w:rPr>
        <w:tab/>
        <w:t>změna zdrojů nebo výše podílů těchto zdrojů na financování projektu (s výjimkou dotace od Zlínského kraje),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8.1.g)</w:t>
      </w:r>
      <w:r w:rsidRPr="006030F3">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8.2</w:t>
      </w:r>
      <w:r w:rsidRPr="006030F3">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8.3</w:t>
      </w:r>
      <w:r w:rsidRPr="006030F3">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lastRenderedPageBreak/>
        <w:t>9.</w:t>
      </w:r>
      <w:r w:rsidRPr="006030F3">
        <w:rPr>
          <w:rFonts w:ascii="Arial" w:eastAsiaTheme="minorEastAsia" w:hAnsi="Arial" w:cs="Arial"/>
          <w:b/>
          <w:sz w:val="20"/>
          <w:szCs w:val="24"/>
          <w:lang w:eastAsia="cs-CZ"/>
        </w:rPr>
        <w:tab/>
        <w:t>Ukončení smlouvy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9.1</w:t>
      </w:r>
      <w:r w:rsidRPr="006030F3">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9.2</w:t>
      </w:r>
      <w:r w:rsidRPr="006030F3">
        <w:rPr>
          <w:rFonts w:ascii="Arial" w:eastAsiaTheme="minorEastAsia" w:hAnsi="Arial" w:cs="Arial"/>
          <w:sz w:val="20"/>
          <w:szCs w:val="20"/>
          <w:lang w:eastAsia="cs-CZ"/>
        </w:rPr>
        <w:tab/>
        <w:t>Poskytovatel je oprávněn vypovědět smlouvu jak před proplacením, tak i po proplacení dotace.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w:t>
      </w:r>
      <w:r w:rsidRPr="006030F3">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9.3.a)</w:t>
      </w:r>
      <w:r w:rsidRPr="006030F3">
        <w:rPr>
          <w:rFonts w:ascii="Arial" w:eastAsiaTheme="minorEastAsia" w:hAnsi="Arial" w:cs="Arial"/>
          <w:sz w:val="20"/>
          <w:szCs w:val="20"/>
          <w:lang w:eastAsia="cs-CZ"/>
        </w:rPr>
        <w:tab/>
        <w:t>nedodrží účel dotace,</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9.3.b)</w:t>
      </w:r>
      <w:r w:rsidRPr="006030F3">
        <w:rPr>
          <w:rFonts w:ascii="Arial" w:eastAsiaTheme="minorEastAsia" w:hAnsi="Arial" w:cs="Arial"/>
          <w:sz w:val="20"/>
          <w:szCs w:val="20"/>
          <w:lang w:eastAsia="cs-CZ"/>
        </w:rPr>
        <w:tab/>
        <w:t>svým jednáním poruší rozpočtovou kázeň zejména dle čl. 7.2, ve smyslu zákona o rozpočtových pravidlech územních rozpočtů,</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9.3.c)</w:t>
      </w:r>
      <w:r w:rsidRPr="006030F3">
        <w:rPr>
          <w:rFonts w:ascii="Arial" w:eastAsiaTheme="minorEastAsia" w:hAnsi="Arial" w:cs="Arial"/>
          <w:sz w:val="20"/>
          <w:szCs w:val="20"/>
          <w:lang w:eastAsia="cs-CZ"/>
        </w:rPr>
        <w:tab/>
        <w:t>poruší pravidla veřejné podpory zejména dle čl. 5.9,</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9.3.d)</w:t>
      </w:r>
      <w:r w:rsidRPr="006030F3">
        <w:rPr>
          <w:rFonts w:ascii="Arial" w:eastAsiaTheme="minorEastAsia" w:hAnsi="Arial" w:cs="Arial"/>
          <w:sz w:val="20"/>
          <w:szCs w:val="20"/>
          <w:lang w:eastAsia="cs-CZ"/>
        </w:rPr>
        <w:tab/>
        <w:t>příjemce se opozdí s předložením závěrečné zprávy o více než 30 pracovních dnů oproti lhůtě dle čl. 4.4,</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9.3.e)</w:t>
      </w:r>
      <w:r w:rsidRPr="006030F3">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9.3.f)</w:t>
      </w:r>
      <w:r w:rsidRPr="006030F3">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9.3.g)</w:t>
      </w:r>
      <w:r w:rsidRPr="006030F3">
        <w:rPr>
          <w:rFonts w:ascii="Arial" w:eastAsiaTheme="minorEastAsia" w:hAnsi="Arial" w:cs="Arial"/>
          <w:sz w:val="20"/>
          <w:szCs w:val="20"/>
          <w:lang w:eastAsia="cs-CZ"/>
        </w:rPr>
        <w:tab/>
        <w:t>uvedl nepravdivé, neúplné nebo zkreslené údaje, na které se váže uzavření této smlouvy,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9.3.h)</w:t>
      </w:r>
      <w:r w:rsidRPr="006030F3">
        <w:rPr>
          <w:rFonts w:ascii="Arial" w:eastAsiaTheme="minorEastAsia" w:hAnsi="Arial" w:cs="Arial"/>
          <w:sz w:val="20"/>
          <w:szCs w:val="20"/>
          <w:lang w:eastAsia="cs-CZ"/>
        </w:rPr>
        <w:tab/>
        <w:t>je v likvidaci,</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9.3.i)</w:t>
      </w:r>
      <w:r w:rsidRPr="006030F3">
        <w:rPr>
          <w:rFonts w:ascii="Arial" w:eastAsiaTheme="minorEastAsia" w:hAnsi="Arial" w:cs="Arial"/>
          <w:sz w:val="20"/>
          <w:szCs w:val="20"/>
          <w:lang w:eastAsia="cs-CZ"/>
        </w:rPr>
        <w:tab/>
        <w:t>změní právní formu a stane se tak nezpůsobilým příjemcem pro danou oblast podpory,</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9.3.j)</w:t>
      </w:r>
      <w:r w:rsidRPr="006030F3">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6030F3" w:rsidRPr="006030F3" w:rsidRDefault="006030F3" w:rsidP="006030F3">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9.3.k)</w:t>
      </w:r>
      <w:r w:rsidRPr="006030F3">
        <w:rPr>
          <w:rFonts w:ascii="Arial" w:eastAsiaTheme="minorEastAsia" w:hAnsi="Arial" w:cs="Arial"/>
          <w:sz w:val="20"/>
          <w:szCs w:val="20"/>
          <w:lang w:eastAsia="cs-CZ"/>
        </w:rPr>
        <w:tab/>
        <w:t xml:space="preserve">nenaplní jednotlivý monitorovací indikátor o více než 5 % v případě projektů s dotací nad 50 tis. Kč nebo o více než 30 % v případě projektů s dotací do 50 tis. Kč,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9.4</w:t>
      </w:r>
      <w:r w:rsidRPr="006030F3">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9.5</w:t>
      </w:r>
      <w:r w:rsidRPr="006030F3">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9.6</w:t>
      </w:r>
      <w:r w:rsidRPr="006030F3">
        <w:rPr>
          <w:rFonts w:ascii="Arial" w:eastAsiaTheme="minorEastAsia" w:hAnsi="Arial" w:cs="Arial"/>
          <w:sz w:val="20"/>
          <w:szCs w:val="20"/>
          <w:lang w:eastAsia="cs-CZ"/>
        </w:rPr>
        <w:tab/>
        <w:t>Výpověď smlouvy musí být učiněna písemně a musí v ní být uvedeny důvody jejího udělení.</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9.7</w:t>
      </w:r>
      <w:r w:rsidRPr="006030F3">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9.8</w:t>
      </w:r>
      <w:r w:rsidRPr="006030F3">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9.9</w:t>
      </w:r>
      <w:r w:rsidRPr="006030F3">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lastRenderedPageBreak/>
        <w:t>9.10</w:t>
      </w:r>
      <w:r w:rsidRPr="006030F3">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9.11</w:t>
      </w:r>
      <w:r w:rsidRPr="006030F3">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9.12</w:t>
      </w:r>
      <w:r w:rsidRPr="006030F3">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6030F3" w:rsidRPr="006030F3" w:rsidRDefault="006030F3" w:rsidP="006030F3">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4"/>
          <w:lang w:eastAsia="cs-CZ"/>
        </w:rPr>
      </w:pPr>
      <w:r w:rsidRPr="006030F3">
        <w:rPr>
          <w:rFonts w:ascii="Arial" w:eastAsiaTheme="minorEastAsia" w:hAnsi="Arial" w:cs="Arial"/>
          <w:b/>
          <w:sz w:val="20"/>
          <w:szCs w:val="24"/>
          <w:lang w:eastAsia="cs-CZ"/>
        </w:rPr>
        <w:t>10.</w:t>
      </w:r>
      <w:r w:rsidRPr="006030F3">
        <w:rPr>
          <w:rFonts w:ascii="Arial" w:eastAsiaTheme="minorEastAsia" w:hAnsi="Arial" w:cs="Arial"/>
          <w:b/>
          <w:sz w:val="20"/>
          <w:szCs w:val="24"/>
          <w:lang w:eastAsia="cs-CZ"/>
        </w:rPr>
        <w:tab/>
        <w:t xml:space="preserve"> Závěrečná ustanovení</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10.1</w:t>
      </w:r>
      <w:r w:rsidRPr="006030F3">
        <w:rPr>
          <w:rFonts w:ascii="Arial" w:eastAsiaTheme="minorEastAsia" w:hAnsi="Arial" w:cs="Arial"/>
          <w:sz w:val="20"/>
          <w:szCs w:val="20"/>
          <w:lang w:eastAsia="cs-CZ"/>
        </w:rPr>
        <w:tab/>
        <w:t xml:space="preserve">Jako kontaktní místo poskytovatele se pro účely této smlouvy stanovuje: </w:t>
      </w:r>
      <w:r w:rsidRPr="006030F3">
        <w:rPr>
          <w:rFonts w:ascii="Arial" w:eastAsiaTheme="minorEastAsia" w:hAnsi="Arial" w:cs="Arial"/>
          <w:sz w:val="20"/>
          <w:szCs w:val="20"/>
          <w:lang w:eastAsia="cs-CZ"/>
        </w:rPr>
        <w:br/>
        <w:t>Krajský úřad Zlínského kraje, odbor stavebního řádu a životního prostředí, tel.: 577 043 369, e-mail: marcela.strakosova@kr-zlinsky.cz.</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10.2</w:t>
      </w:r>
      <w:r w:rsidRPr="006030F3">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10.3</w:t>
      </w:r>
      <w:r w:rsidRPr="006030F3">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10.4</w:t>
      </w:r>
      <w:r w:rsidRPr="006030F3">
        <w:rPr>
          <w:rFonts w:ascii="Arial" w:eastAsiaTheme="minorEastAsia" w:hAnsi="Arial" w:cs="Arial"/>
          <w:sz w:val="20"/>
          <w:szCs w:val="20"/>
          <w:lang w:eastAsia="cs-CZ"/>
        </w:rPr>
        <w:tab/>
        <w:t>Tato smlouva byla uzavřena na základě svobodné vůle, nebyla uzavřena v tísni za nápadně nevýhodných podmínek.</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10.5</w:t>
      </w:r>
      <w:r w:rsidRPr="006030F3">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10.6</w:t>
      </w:r>
      <w:r w:rsidRPr="006030F3">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6030F3" w:rsidRPr="006030F3" w:rsidRDefault="006030F3" w:rsidP="006030F3">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10.7</w:t>
      </w:r>
      <w:r w:rsidRPr="006030F3">
        <w:rPr>
          <w:rFonts w:ascii="Arial" w:eastAsiaTheme="minorEastAsia" w:hAnsi="Arial" w:cs="Arial"/>
          <w:sz w:val="20"/>
          <w:szCs w:val="20"/>
          <w:lang w:eastAsia="cs-CZ"/>
        </w:rPr>
        <w:tab/>
        <w:t xml:space="preserve">Tato smlouva nabývá účinnosti dnem zveřejnění v registru smluv. </w:t>
      </w:r>
    </w:p>
    <w:p w:rsidR="006030F3" w:rsidRPr="006030F3" w:rsidRDefault="006030F3" w:rsidP="006030F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6030F3">
        <w:rPr>
          <w:rFonts w:ascii="Arial" w:eastAsiaTheme="minorEastAsia" w:hAnsi="Arial" w:cs="Arial"/>
          <w:b/>
          <w:bCs/>
          <w:sz w:val="20"/>
          <w:szCs w:val="20"/>
          <w:lang w:eastAsia="cs-CZ"/>
        </w:rPr>
        <w:t>Doložka dle § 23 zákona č. 129/2000 Sb., o krajích, ve znění pozdějších předpisů</w:t>
      </w:r>
    </w:p>
    <w:p w:rsidR="006030F3" w:rsidRPr="006030F3" w:rsidRDefault="006030F3" w:rsidP="006030F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Schváleno orgánem kraje:  Zastupitelstvo Zlínského kraje</w:t>
      </w:r>
    </w:p>
    <w:p w:rsidR="006030F3" w:rsidRPr="006030F3" w:rsidRDefault="006030F3" w:rsidP="006030F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Datum jednání a číslo usnesení: 19.4.2021, usnesení č. 0092/Z04/21</w:t>
      </w:r>
    </w:p>
    <w:p w:rsidR="006030F3" w:rsidRPr="006030F3" w:rsidRDefault="006030F3" w:rsidP="006030F3">
      <w:pPr>
        <w:tabs>
          <w:tab w:val="clear" w:pos="851"/>
          <w:tab w:val="left" w:pos="4820"/>
        </w:tabs>
        <w:autoSpaceDE w:val="0"/>
        <w:autoSpaceDN w:val="0"/>
        <w:adjustRightInd w:val="0"/>
        <w:spacing w:before="360" w:after="160" w:line="252" w:lineRule="auto"/>
        <w:ind w:firstLine="0"/>
        <w:contextualSpacing w:val="0"/>
        <w:rPr>
          <w:rFonts w:ascii="Arial" w:eastAsiaTheme="minorEastAsia" w:hAnsi="Arial" w:cs="Arial"/>
          <w:sz w:val="20"/>
          <w:szCs w:val="20"/>
          <w:lang w:eastAsia="cs-CZ"/>
        </w:rPr>
      </w:pPr>
      <w:r w:rsidRPr="006030F3">
        <w:rPr>
          <w:rFonts w:ascii="Arial" w:eastAsiaTheme="minorEastAsia" w:hAnsi="Arial" w:cs="Arial"/>
          <w:sz w:val="20"/>
          <w:szCs w:val="20"/>
          <w:lang w:eastAsia="cs-CZ"/>
        </w:rPr>
        <w:t xml:space="preserve">Zlín, dne </w:t>
      </w:r>
      <w:r w:rsidR="00B30540">
        <w:rPr>
          <w:rFonts w:ascii="Arial" w:eastAsiaTheme="minorEastAsia" w:hAnsi="Arial" w:cs="Arial"/>
          <w:sz w:val="20"/>
          <w:szCs w:val="20"/>
          <w:lang w:eastAsia="cs-CZ"/>
        </w:rPr>
        <w:t>26.5.2021</w:t>
      </w:r>
      <w:r w:rsidRPr="006030F3">
        <w:rPr>
          <w:rFonts w:ascii="Arial" w:eastAsiaTheme="minorEastAsia" w:hAnsi="Arial" w:cs="Arial"/>
          <w:sz w:val="20"/>
          <w:szCs w:val="20"/>
          <w:lang w:eastAsia="cs-CZ"/>
        </w:rPr>
        <w:tab/>
        <w:t xml:space="preserve">Brno, dne </w:t>
      </w:r>
      <w:r w:rsidR="00B30540">
        <w:rPr>
          <w:rFonts w:ascii="Arial" w:eastAsiaTheme="minorEastAsia" w:hAnsi="Arial" w:cs="Arial"/>
          <w:sz w:val="20"/>
          <w:szCs w:val="20"/>
          <w:lang w:eastAsia="cs-CZ"/>
        </w:rPr>
        <w:t>17.5.2021</w:t>
      </w:r>
    </w:p>
    <w:p w:rsidR="006030F3" w:rsidRPr="006030F3" w:rsidRDefault="006030F3" w:rsidP="006030F3">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za poskytovatele</w:t>
      </w:r>
      <w:r w:rsidRPr="006030F3">
        <w:rPr>
          <w:rFonts w:ascii="Arial" w:eastAsiaTheme="minorEastAsia" w:hAnsi="Arial" w:cs="Arial"/>
          <w:sz w:val="20"/>
          <w:szCs w:val="20"/>
          <w:lang w:eastAsia="cs-CZ"/>
        </w:rPr>
        <w:tab/>
        <w:t>za příjemce</w:t>
      </w:r>
    </w:p>
    <w:p w:rsidR="006030F3" w:rsidRPr="006030F3" w:rsidRDefault="006030F3" w:rsidP="006030F3">
      <w:pPr>
        <w:tabs>
          <w:tab w:val="clear" w:pos="851"/>
          <w:tab w:val="left" w:pos="4820"/>
          <w:tab w:val="left" w:pos="8928"/>
        </w:tabs>
        <w:autoSpaceDE w:val="0"/>
        <w:autoSpaceDN w:val="0"/>
        <w:adjustRightInd w:val="0"/>
        <w:spacing w:before="144" w:after="160" w:line="252" w:lineRule="auto"/>
        <w:ind w:left="360" w:hanging="360"/>
        <w:contextualSpacing w:val="0"/>
        <w:jc w:val="center"/>
        <w:rPr>
          <w:rFonts w:ascii="Arial" w:eastAsiaTheme="minorEastAsia" w:hAnsi="Arial" w:cs="Arial"/>
          <w:sz w:val="20"/>
          <w:szCs w:val="20"/>
          <w:lang w:eastAsia="cs-CZ"/>
        </w:rPr>
      </w:pPr>
    </w:p>
    <w:p w:rsidR="006030F3" w:rsidRPr="006030F3" w:rsidRDefault="00B30540" w:rsidP="00B30540">
      <w:pPr>
        <w:tabs>
          <w:tab w:val="clear" w:pos="851"/>
          <w:tab w:val="left" w:pos="4820"/>
          <w:tab w:val="left" w:pos="8928"/>
        </w:tabs>
        <w:autoSpaceDE w:val="0"/>
        <w:autoSpaceDN w:val="0"/>
        <w:adjustRightInd w:val="0"/>
        <w:spacing w:before="144" w:after="160" w:line="252" w:lineRule="auto"/>
        <w:ind w:left="360" w:hanging="360"/>
        <w:contextualSpacing w:val="0"/>
        <w:jc w:val="left"/>
        <w:rPr>
          <w:rFonts w:ascii="Arial" w:eastAsiaTheme="minorEastAsia" w:hAnsi="Arial" w:cs="Arial"/>
          <w:sz w:val="20"/>
          <w:szCs w:val="20"/>
          <w:lang w:eastAsia="cs-CZ"/>
        </w:rPr>
      </w:pPr>
      <w:r>
        <w:rPr>
          <w:rFonts w:ascii="Arial" w:eastAsiaTheme="minorEastAsia" w:hAnsi="Arial" w:cs="Arial"/>
          <w:sz w:val="20"/>
          <w:szCs w:val="20"/>
          <w:lang w:eastAsia="cs-CZ"/>
        </w:rPr>
        <w:t>XXXXXXXXXXXX                                                          XXXXXXXXXXXXXX</w:t>
      </w:r>
    </w:p>
    <w:p w:rsidR="006030F3" w:rsidRPr="006030F3" w:rsidRDefault="006030F3" w:rsidP="006030F3">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w:t>
      </w:r>
      <w:r w:rsidRPr="006030F3">
        <w:rPr>
          <w:rFonts w:ascii="Arial" w:eastAsiaTheme="minorEastAsia" w:hAnsi="Arial" w:cs="Arial"/>
          <w:sz w:val="20"/>
          <w:szCs w:val="20"/>
          <w:lang w:eastAsia="cs-CZ"/>
        </w:rPr>
        <w:tab/>
        <w:t>.........................................</w:t>
      </w:r>
    </w:p>
    <w:p w:rsidR="006030F3" w:rsidRPr="006030F3" w:rsidRDefault="006030F3" w:rsidP="006030F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Bc. Hana Ančincová,</w:t>
      </w:r>
      <w:r w:rsidRPr="006030F3">
        <w:rPr>
          <w:rFonts w:ascii="Arial" w:eastAsiaTheme="minorEastAsia" w:hAnsi="Arial" w:cs="Arial"/>
          <w:sz w:val="20"/>
          <w:szCs w:val="20"/>
          <w:lang w:eastAsia="cs-CZ"/>
        </w:rPr>
        <w:tab/>
      </w:r>
      <w:r w:rsidR="00C1044B">
        <w:rPr>
          <w:rFonts w:ascii="Arial" w:eastAsiaTheme="minorEastAsia" w:hAnsi="Arial" w:cs="Arial"/>
          <w:sz w:val="20"/>
          <w:szCs w:val="20"/>
          <w:lang w:eastAsia="cs-CZ"/>
        </w:rPr>
        <w:t>XXXXXXXXXXXXX</w:t>
      </w:r>
    </w:p>
    <w:p w:rsidR="006030F3" w:rsidRPr="006030F3" w:rsidRDefault="006030F3" w:rsidP="006030F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6030F3">
        <w:rPr>
          <w:rFonts w:ascii="Arial" w:eastAsiaTheme="minorEastAsia" w:hAnsi="Arial" w:cs="Arial"/>
          <w:sz w:val="20"/>
          <w:szCs w:val="20"/>
          <w:lang w:eastAsia="cs-CZ"/>
        </w:rPr>
        <w:t>statutární náměstkyně hejtmana</w:t>
      </w:r>
      <w:r w:rsidRPr="006030F3">
        <w:rPr>
          <w:rFonts w:ascii="Arial" w:eastAsiaTheme="minorEastAsia" w:hAnsi="Arial" w:cs="Arial"/>
          <w:sz w:val="20"/>
          <w:szCs w:val="20"/>
          <w:lang w:eastAsia="cs-CZ"/>
        </w:rPr>
        <w:tab/>
      </w:r>
      <w:r w:rsidR="00C1044B">
        <w:rPr>
          <w:rFonts w:ascii="Arial" w:eastAsiaTheme="minorEastAsia" w:hAnsi="Arial" w:cs="Arial"/>
          <w:sz w:val="20"/>
          <w:szCs w:val="20"/>
          <w:lang w:eastAsia="cs-CZ"/>
        </w:rPr>
        <w:t>XXXXXXXXXXXXXXXXXXXXX</w:t>
      </w:r>
      <w:bookmarkStart w:id="0" w:name="_GoBack"/>
      <w:bookmarkEnd w:id="0"/>
    </w:p>
    <w:p w:rsidR="006030F3" w:rsidRPr="006030F3" w:rsidRDefault="006030F3" w:rsidP="006030F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p>
    <w:p w:rsidR="006030F3" w:rsidRPr="006030F3" w:rsidRDefault="006030F3" w:rsidP="006030F3">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sectPr w:rsidR="006030F3" w:rsidRPr="006030F3" w:rsidSect="004B4077">
          <w:footerReference w:type="default" r:id="rId8"/>
          <w:pgSz w:w="12240" w:h="15840"/>
          <w:pgMar w:top="1417" w:right="1417" w:bottom="1417" w:left="1417" w:header="708" w:footer="708" w:gutter="0"/>
          <w:pgNumType w:start="1"/>
          <w:cols w:space="708"/>
          <w:noEndnote/>
        </w:sectPr>
      </w:pPr>
    </w:p>
    <w:p w:rsidR="003A0033" w:rsidRPr="006030F3" w:rsidRDefault="003A0033" w:rsidP="006030F3"/>
    <w:sectPr w:rsidR="003A0033" w:rsidRPr="006030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517" w:rsidRDefault="00FD3A3D">
      <w:pPr>
        <w:spacing w:line="240" w:lineRule="auto"/>
      </w:pPr>
      <w:r>
        <w:separator/>
      </w:r>
    </w:p>
  </w:endnote>
  <w:endnote w:type="continuationSeparator" w:id="0">
    <w:p w:rsidR="00730517" w:rsidRDefault="00FD3A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E9C" w:rsidRPr="008A601B" w:rsidRDefault="006030F3" w:rsidP="008A601B">
    <w:pPr>
      <w:pStyle w:val="Zpat"/>
    </w:pPr>
    <w:r w:rsidRPr="008A601B">
      <w:rPr>
        <w:bCs/>
      </w:rPr>
      <w:fldChar w:fldCharType="begin"/>
    </w:r>
    <w:r w:rsidRPr="008A601B">
      <w:rPr>
        <w:bCs/>
      </w:rPr>
      <w:instrText>PAGE</w:instrText>
    </w:r>
    <w:r w:rsidRPr="008A601B">
      <w:rPr>
        <w:bCs/>
      </w:rPr>
      <w:fldChar w:fldCharType="separate"/>
    </w:r>
    <w:r w:rsidR="00C1044B">
      <w:rPr>
        <w:bCs/>
        <w:noProof/>
      </w:rPr>
      <w:t>7</w:t>
    </w:r>
    <w:r w:rsidRPr="008A601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517" w:rsidRDefault="00FD3A3D">
      <w:pPr>
        <w:spacing w:line="240" w:lineRule="auto"/>
      </w:pPr>
      <w:r>
        <w:separator/>
      </w:r>
    </w:p>
  </w:footnote>
  <w:footnote w:type="continuationSeparator" w:id="0">
    <w:p w:rsidR="00730517" w:rsidRDefault="00FD3A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F3"/>
    <w:rsid w:val="00047DA0"/>
    <w:rsid w:val="0013529D"/>
    <w:rsid w:val="00156BB8"/>
    <w:rsid w:val="003A0033"/>
    <w:rsid w:val="00443EE3"/>
    <w:rsid w:val="004442A3"/>
    <w:rsid w:val="00551FEB"/>
    <w:rsid w:val="006030F3"/>
    <w:rsid w:val="006C65BA"/>
    <w:rsid w:val="00707117"/>
    <w:rsid w:val="00730517"/>
    <w:rsid w:val="00875C10"/>
    <w:rsid w:val="008A3194"/>
    <w:rsid w:val="008C7B7E"/>
    <w:rsid w:val="008D62BE"/>
    <w:rsid w:val="008E47EC"/>
    <w:rsid w:val="00B30540"/>
    <w:rsid w:val="00C1044B"/>
    <w:rsid w:val="00EC7CD3"/>
    <w:rsid w:val="00F355FA"/>
    <w:rsid w:val="00FD3A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4DD9F"/>
  <w15:chartTrackingRefBased/>
  <w15:docId w15:val="{15E00C0B-5E69-4641-9AA8-929E3D36E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 w:type="paragraph" w:styleId="Textbubliny">
    <w:name w:val="Balloon Text"/>
    <w:basedOn w:val="Normln"/>
    <w:link w:val="TextbublinyChar"/>
    <w:uiPriority w:val="99"/>
    <w:semiHidden/>
    <w:unhideWhenUsed/>
    <w:rsid w:val="00156BB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6B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DATA\PROGRAMY\2021\smlouvy\generovani\www.kr-zlinsk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3681</Words>
  <Characters>21723</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25354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Strakošová Marcela</cp:lastModifiedBy>
  <cp:revision>4</cp:revision>
  <cp:lastPrinted>2021-04-28T08:13:00Z</cp:lastPrinted>
  <dcterms:created xsi:type="dcterms:W3CDTF">2021-05-26T08:24:00Z</dcterms:created>
  <dcterms:modified xsi:type="dcterms:W3CDTF">2021-05-26T08:39:00Z</dcterms:modified>
</cp:coreProperties>
</file>